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838E21">
      <w:pPr>
        <w:widowControl w:val="0"/>
        <w:spacing w:before="63" w:line="224" w:lineRule="auto"/>
        <w:jc w:val="center"/>
        <w:rPr>
          <w:rFonts w:ascii="宋体" w:hAnsi="宋体" w:eastAsia="宋体" w:cs="宋体"/>
          <w:color w:val="auto"/>
          <w:sz w:val="31"/>
          <w:szCs w:val="31"/>
          <w:highlight w:val="none"/>
          <w:lang w:eastAsia="zh-CN"/>
        </w:rPr>
      </w:pPr>
      <w:r>
        <w:rPr>
          <w:rFonts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  <w:r>
        <w:rPr>
          <w:rFonts w:hint="eastAsia" w:ascii="宋体" w:hAnsi="宋体" w:eastAsia="宋体" w:cs="宋体"/>
          <w:color w:val="auto"/>
          <w:spacing w:val="9"/>
          <w:sz w:val="31"/>
          <w:szCs w:val="31"/>
          <w:highlight w:val="none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表及采购要求</w:t>
      </w:r>
    </w:p>
    <w:p w14:paraId="2C9F2FA6">
      <w:pPr>
        <w:widowControl w:val="0"/>
        <w:spacing w:before="78" w:line="220" w:lineRule="auto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</w:p>
    <w:p w14:paraId="00AB3FCA">
      <w:pPr>
        <w:widowControl w:val="0"/>
        <w:spacing w:before="78" w:line="220" w:lineRule="auto"/>
        <w:jc w:val="both"/>
        <w:outlineLvl w:val="1"/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采购需求表</w:t>
      </w:r>
    </w:p>
    <w:tbl>
      <w:tblPr>
        <w:tblStyle w:val="2"/>
        <w:tblW w:w="92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35"/>
        <w:gridCol w:w="6376"/>
      </w:tblGrid>
      <w:tr w14:paraId="7E893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0" w:hRule="atLeast"/>
          <w:jc w:val="center"/>
        </w:trPr>
        <w:tc>
          <w:tcPr>
            <w:tcW w:w="2835" w:type="dxa"/>
            <w:tcBorders>
              <w:top w:val="single" w:color="auto" w:sz="12" w:space="0"/>
              <w:left w:val="single" w:color="auto" w:sz="12" w:space="0"/>
              <w:tl2br w:val="single" w:color="auto" w:sz="4" w:space="0"/>
            </w:tcBorders>
            <w:vAlign w:val="center"/>
          </w:tcPr>
          <w:p w14:paraId="3B5FBD70">
            <w:pPr>
              <w:spacing w:line="360" w:lineRule="auto"/>
              <w:ind w:firstLine="465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</w:p>
          <w:p w14:paraId="4FE1D017">
            <w:pPr>
              <w:spacing w:line="360" w:lineRule="auto"/>
              <w:ind w:firstLine="1540" w:firstLineChars="642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采购名称</w:t>
            </w:r>
          </w:p>
          <w:p w14:paraId="72DD473E">
            <w:pPr>
              <w:spacing w:line="360" w:lineRule="auto"/>
              <w:ind w:firstLine="465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内容</w:t>
            </w:r>
          </w:p>
        </w:tc>
        <w:tc>
          <w:tcPr>
            <w:tcW w:w="637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7D06A3F">
            <w:pPr>
              <w:spacing w:line="900" w:lineRule="exact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详见“第一章磋商邀请”</w:t>
            </w:r>
          </w:p>
        </w:tc>
      </w:tr>
      <w:tr w14:paraId="06072A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  <w:jc w:val="center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4DD9BC3D">
            <w:pPr>
              <w:spacing w:line="276" w:lineRule="auto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数量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7B6871D8">
            <w:pPr>
              <w:spacing w:line="276" w:lineRule="auto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详见第五章中的“商务要求”</w:t>
            </w:r>
          </w:p>
        </w:tc>
      </w:tr>
      <w:tr w14:paraId="25B8D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  <w:jc w:val="center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56E4E895">
            <w:pPr>
              <w:spacing w:line="276" w:lineRule="auto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工期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0D5B6CE1">
            <w:pPr>
              <w:spacing w:line="276" w:lineRule="auto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详见第五章中的“商务要求”</w:t>
            </w:r>
          </w:p>
        </w:tc>
      </w:tr>
      <w:tr w14:paraId="2C9AD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  <w:jc w:val="center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50C0C15F">
            <w:pPr>
              <w:spacing w:line="276" w:lineRule="auto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工程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地点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400815B4">
            <w:pPr>
              <w:spacing w:line="440" w:lineRule="exact"/>
              <w:jc w:val="center"/>
              <w:rPr>
                <w:rFonts w:asciiTheme="minorEastAsia" w:hAnsiTheme="minorEastAsia" w:eastAsiaTheme="minorEastAsia" w:cstheme="minorEastAsia"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详见第五章中的“商务要求”</w:t>
            </w:r>
          </w:p>
        </w:tc>
      </w:tr>
      <w:tr w14:paraId="0AC06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82" w:hRule="atLeast"/>
          <w:jc w:val="center"/>
        </w:trPr>
        <w:tc>
          <w:tcPr>
            <w:tcW w:w="2835" w:type="dxa"/>
            <w:tcBorders>
              <w:left w:val="single" w:color="auto" w:sz="12" w:space="0"/>
            </w:tcBorders>
            <w:vAlign w:val="center"/>
          </w:tcPr>
          <w:p w14:paraId="1D919926">
            <w:pPr>
              <w:spacing w:line="276" w:lineRule="auto"/>
              <w:jc w:val="center"/>
              <w:rPr>
                <w:rFonts w:asciiTheme="minorEastAsia" w:hAnsiTheme="minorEastAsia" w:eastAsiaTheme="minorEastAsia" w:cstheme="minorEastAsia"/>
                <w:color w:val="auto"/>
                <w:sz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</w:rPr>
              <w:t>备注</w:t>
            </w:r>
          </w:p>
        </w:tc>
        <w:tc>
          <w:tcPr>
            <w:tcW w:w="6376" w:type="dxa"/>
            <w:tcBorders>
              <w:right w:val="single" w:color="auto" w:sz="12" w:space="0"/>
            </w:tcBorders>
            <w:vAlign w:val="center"/>
          </w:tcPr>
          <w:p w14:paraId="14627FB1">
            <w:pPr>
              <w:spacing w:line="440" w:lineRule="exact"/>
              <w:rPr>
                <w:rFonts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highlight w:val="none"/>
                <w:lang w:eastAsia="zh-CN"/>
              </w:rPr>
              <w:t>磋商报价包含磋商文件所约定的范围内全部内容价格体现的“交钥匙工程”。供应商应该认真研究施工图纸等资料，工程量清单是施工图纸的完整体现，图纸范围内的措施费用全部包含于报价中。磋商报价应包括但不限于施工机械、劳务、材料(包括采购人选定的材料供应商所供材料的运输、到现场的卸力及采购保管费用等)、临时设施(包括场地内施工用水、电及场内施工道路等)、余土外运、垃圾清运、保险、税金等各项直接、间接费用等完成本项目所需的一切相关费用。</w:t>
            </w:r>
          </w:p>
        </w:tc>
      </w:tr>
    </w:tbl>
    <w:p w14:paraId="68EECA1B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33756C"/>
    <w:rsid w:val="4733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2026-07-04T12:59:00Z</dcterms:created>
  <dc:creator>Administrator</dc:creator>
  <cp:lastModifiedBy>Administrator</cp:lastModifiedBy>
  <dcterms:modified xsi:type="dcterms:W3CDTF">2026-07-04T12:59:11Z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31506ECF48FB4B879FDA2CE40AA11727_11</vt:lpwstr>
  </property>
  <property fmtid="{D5CDD505-2E9C-101B-9397-08002B2CF9AE}" pid="4" name="KSOTemplateDocerSaveRecord">
    <vt:lpwstr>eyJoZGlkIjoiN2NiMTAxMTE1MGYwNjljNmJmYTM4NGNmMDFhYmViNDkiLCJ1c2VySWQiOiI1MDgxNDIzODkifQ==</vt:lpwstr>
  </property>
</Properties>
</file>