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B18E8D">
      <w:pPr>
        <w:pStyle w:val="3"/>
        <w:spacing w:before="0" w:after="0" w:line="460" w:lineRule="exact"/>
        <w:jc w:val="center"/>
        <w:rPr>
          <w:rFonts w:hint="default"/>
          <w:sz w:val="32"/>
          <w:szCs w:val="32"/>
          <w:highlight w:val="none"/>
        </w:rPr>
      </w:pPr>
      <w:bookmarkStart w:id="0" w:name="_Toc67737578"/>
      <w:r>
        <w:rPr>
          <w:rFonts w:hint="eastAsia" w:asciiTheme="minorEastAsia" w:hAnsiTheme="minorEastAsia" w:eastAsiaTheme="minorEastAsia" w:cstheme="minorEastAsia"/>
          <w:color w:val="auto"/>
          <w:sz w:val="36"/>
          <w:szCs w:val="36"/>
          <w:highlight w:val="none"/>
        </w:rPr>
        <w:t>二、服务内容</w:t>
      </w:r>
      <w:bookmarkEnd w:id="0"/>
      <w:r>
        <w:rPr>
          <w:rFonts w:hint="eastAsia" w:asciiTheme="minorEastAsia" w:hAnsiTheme="minorEastAsia" w:eastAsiaTheme="minorEastAsia" w:cstheme="minorEastAsia"/>
          <w:color w:val="auto"/>
          <w:sz w:val="36"/>
          <w:szCs w:val="36"/>
          <w:highlight w:val="none"/>
        </w:rPr>
        <w:t>及要求</w:t>
      </w:r>
      <w:bookmarkStart w:id="1" w:name="_Toc67737579"/>
    </w:p>
    <w:p w14:paraId="5407A3F7">
      <w:pPr>
        <w:pStyle w:val="4"/>
        <w:pageBreakBefore w:val="0"/>
        <w:widowControl w:val="0"/>
        <w:kinsoku/>
        <w:wordWrap/>
        <w:overflowPunct/>
        <w:topLinePunct w:val="0"/>
        <w:autoSpaceDE/>
        <w:autoSpaceDN/>
        <w:bidi w:val="0"/>
        <w:adjustRightInd/>
        <w:snapToGrid/>
        <w:spacing w:before="0" w:after="0" w:line="360" w:lineRule="auto"/>
        <w:textAlignment w:val="auto"/>
        <w:rPr>
          <w:rFonts w:hint="eastAsia" w:asciiTheme="minorEastAsia" w:hAnsiTheme="minorEastAsia" w:eastAsiaTheme="minorEastAsia" w:cstheme="minorEastAsia"/>
          <w:sz w:val="28"/>
          <w:szCs w:val="28"/>
          <w:highlight w:val="none"/>
        </w:rPr>
      </w:pPr>
      <w:r>
        <w:rPr>
          <w:rFonts w:hint="eastAsia" w:asciiTheme="minorEastAsia" w:hAnsiTheme="minorEastAsia" w:eastAsiaTheme="minorEastAsia" w:cstheme="minorEastAsia"/>
          <w:sz w:val="28"/>
          <w:szCs w:val="28"/>
          <w:highlight w:val="none"/>
          <w:lang w:eastAsia="zh-CN"/>
        </w:rPr>
        <w:t>（</w:t>
      </w:r>
      <w:r>
        <w:rPr>
          <w:rFonts w:hint="eastAsia" w:asciiTheme="minorEastAsia" w:hAnsiTheme="minorEastAsia" w:eastAsiaTheme="minorEastAsia" w:cstheme="minorEastAsia"/>
          <w:sz w:val="28"/>
          <w:szCs w:val="28"/>
          <w:highlight w:val="none"/>
          <w:lang w:val="en-US" w:eastAsia="zh-CN"/>
        </w:rPr>
        <w:t>一</w:t>
      </w:r>
      <w:r>
        <w:rPr>
          <w:rFonts w:hint="eastAsia" w:asciiTheme="minorEastAsia" w:hAnsiTheme="minorEastAsia" w:eastAsiaTheme="minorEastAsia" w:cstheme="minorEastAsia"/>
          <w:sz w:val="28"/>
          <w:szCs w:val="28"/>
          <w:highlight w:val="none"/>
          <w:lang w:eastAsia="zh-CN"/>
        </w:rPr>
        <w:t>）、</w:t>
      </w:r>
      <w:r>
        <w:rPr>
          <w:rFonts w:hint="eastAsia" w:asciiTheme="minorEastAsia" w:hAnsiTheme="minorEastAsia" w:eastAsiaTheme="minorEastAsia" w:cstheme="minorEastAsia"/>
          <w:sz w:val="28"/>
          <w:szCs w:val="28"/>
          <w:highlight w:val="none"/>
        </w:rPr>
        <w:t>采购需求</w:t>
      </w:r>
    </w:p>
    <w:p w14:paraId="04A2F38A">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根据《江西省自然资源厅办公室关于进一步做好政府公示地价制定更新工作的通知》（赣自然资办函[2025]305号）通知要求，为进一步完善全省基准地价、标定地价等政府公示地价体系，保持基准地价现势性，积极适应土地市场供求关系发生重大变化的新形势，为土地资源合理配置提供价格依据，做好全省基准地价等政府公示地价制定更新有关工作。</w:t>
      </w:r>
    </w:p>
    <w:p w14:paraId="23DBCEAA">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val="0"/>
          <w:bCs w:val="0"/>
          <w:color w:val="auto"/>
          <w:sz w:val="24"/>
          <w:szCs w:val="24"/>
          <w:highlight w:val="none"/>
          <w:lang w:val="en-US" w:eastAsia="zh-CN"/>
        </w:rPr>
        <w:t>委托专业机构开展上饶市广信区20个乡镇（华坛山镇、郑坊镇、望仙乡、石人乡、煌固镇、清水乡、湖村乡、枫岭头镇、石狮乡、茶亭镇、尊桥乡、皂头镇、黄沙岭乡、应家乡、田墩镇、上泸镇、四十八镇、铁山乡、花厅镇、五府山镇）国有建设用地定级与基准地价更新工作，出具相应成果，并通过主管部门验收</w:t>
      </w:r>
      <w:r>
        <w:rPr>
          <w:rFonts w:hint="eastAsia" w:asciiTheme="minorEastAsia" w:hAnsiTheme="minorEastAsia" w:eastAsiaTheme="minorEastAsia" w:cstheme="minorEastAsia"/>
          <w:b w:val="0"/>
          <w:bCs w:val="0"/>
          <w:sz w:val="24"/>
          <w:szCs w:val="24"/>
          <w:highlight w:val="none"/>
          <w:lang w:val="en-US" w:eastAsia="zh-CN"/>
        </w:rPr>
        <w:t>。</w:t>
      </w:r>
    </w:p>
    <w:p w14:paraId="6FFB73CB">
      <w:pPr>
        <w:pStyle w:val="4"/>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highlight w:val="none"/>
        </w:rPr>
      </w:pPr>
      <w:r>
        <w:rPr>
          <w:rFonts w:hint="eastAsia" w:asciiTheme="minorEastAsia" w:hAnsiTheme="minorEastAsia" w:eastAsiaTheme="minorEastAsia" w:cstheme="minorEastAsia"/>
          <w:sz w:val="28"/>
          <w:szCs w:val="28"/>
          <w:highlight w:val="none"/>
          <w:lang w:eastAsia="zh-CN"/>
        </w:rPr>
        <w:t>（</w:t>
      </w:r>
      <w:r>
        <w:rPr>
          <w:rFonts w:hint="eastAsia" w:asciiTheme="minorEastAsia" w:hAnsiTheme="minorEastAsia" w:eastAsiaTheme="minorEastAsia" w:cstheme="minorEastAsia"/>
          <w:sz w:val="28"/>
          <w:szCs w:val="28"/>
          <w:highlight w:val="none"/>
          <w:lang w:val="en-US" w:eastAsia="zh-CN"/>
        </w:rPr>
        <w:t>二</w:t>
      </w:r>
      <w:r>
        <w:rPr>
          <w:rFonts w:hint="eastAsia" w:asciiTheme="minorEastAsia" w:hAnsiTheme="minorEastAsia" w:eastAsiaTheme="minorEastAsia" w:cstheme="minorEastAsia"/>
          <w:sz w:val="28"/>
          <w:szCs w:val="28"/>
          <w:highlight w:val="none"/>
          <w:lang w:eastAsia="zh-CN"/>
        </w:rPr>
        <w:t>）、</w:t>
      </w:r>
      <w:r>
        <w:rPr>
          <w:rFonts w:hint="eastAsia" w:asciiTheme="minorEastAsia" w:hAnsiTheme="minorEastAsia" w:eastAsiaTheme="minorEastAsia" w:cstheme="minorEastAsia"/>
          <w:sz w:val="28"/>
          <w:szCs w:val="28"/>
          <w:highlight w:val="none"/>
        </w:rPr>
        <w:t>技术</w:t>
      </w:r>
      <w:r>
        <w:rPr>
          <w:rFonts w:hint="eastAsia" w:asciiTheme="minorEastAsia" w:hAnsiTheme="minorEastAsia" w:eastAsiaTheme="minorEastAsia" w:cstheme="minorEastAsia"/>
          <w:sz w:val="28"/>
          <w:szCs w:val="28"/>
          <w:highlight w:val="none"/>
          <w:lang w:val="en-US" w:eastAsia="zh-CN"/>
        </w:rPr>
        <w:t>服务</w:t>
      </w:r>
      <w:r>
        <w:rPr>
          <w:rFonts w:hint="eastAsia" w:asciiTheme="minorEastAsia" w:hAnsiTheme="minorEastAsia" w:eastAsiaTheme="minorEastAsia" w:cstheme="minorEastAsia"/>
          <w:sz w:val="28"/>
          <w:szCs w:val="28"/>
          <w:highlight w:val="none"/>
        </w:rPr>
        <w:t>要求</w:t>
      </w:r>
    </w:p>
    <w:p w14:paraId="5A0A153F">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bookmarkStart w:id="2" w:name="OLE_LINK16"/>
      <w:r>
        <w:rPr>
          <w:rFonts w:hint="eastAsia" w:asciiTheme="minorEastAsia" w:hAnsiTheme="minorEastAsia" w:eastAsiaTheme="minorEastAsia" w:cstheme="minorEastAsia"/>
          <w:b w:val="0"/>
          <w:bCs w:val="0"/>
          <w:color w:val="auto"/>
          <w:sz w:val="24"/>
          <w:szCs w:val="24"/>
          <w:highlight w:val="none"/>
          <w:lang w:val="en-US" w:eastAsia="zh-CN"/>
        </w:rPr>
        <w:t>1.工作依据:</w:t>
      </w:r>
    </w:p>
    <w:p w14:paraId="3E928694">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（1）《关于扩大国有土地有偿使用范围的意见》（国土资规〔2016〕20号）。</w:t>
      </w:r>
    </w:p>
    <w:p w14:paraId="195F518B">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（2）《关于加强公示地价体系建设和管理有关问题的通知》（国土资厅发〔2017〕27号）。</w:t>
      </w:r>
    </w:p>
    <w:p w14:paraId="7A57187B">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（3）《江西省自然资源厅办公室关于做好政府公示地价制定更新工作的通知》。</w:t>
      </w:r>
    </w:p>
    <w:p w14:paraId="074EBDA8">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2.工作目标和任务:</w:t>
      </w:r>
    </w:p>
    <w:p w14:paraId="37BA723B">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（1）根据上饶市广信区国土空间总体规划（2021-2035年）确定的城镇开发边界范围，结合全市社会经济发展实际，确定本次20个乡镇国有建设用地土地定级和基准地价更新范围。</w:t>
      </w:r>
    </w:p>
    <w:p w14:paraId="1A9DE2A4">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（2）按照《城镇土地分等定级规程》（GB/T18507-2014）的要求，构建综合定级因素体系，对上饶市广信区20个乡镇国有建设用地范围内的土地进行综合定级。</w:t>
      </w:r>
    </w:p>
    <w:p w14:paraId="345986CB">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3）按照《城镇土地估价规程》（GB/T18508-2014）的要求，在调查上饶市广信区20个乡镇国有建设用地土地市场及土地级别基础上，评价更新相应的商服、住宅、工业和公共服务用地的基准地价，并制定相应的基准地价及其修正体系。</w:t>
      </w:r>
    </w:p>
    <w:p w14:paraId="22BEFCAE">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（4）形成城区土地定级与基准地价更新工作报告、技术报告等文字成果，以及商服、住宅、工业和公共服务用地土地级别与基准地价图件成果、数据库等。</w:t>
      </w:r>
    </w:p>
    <w:p w14:paraId="27750389">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3.范围对象:</w:t>
      </w:r>
    </w:p>
    <w:p w14:paraId="5347E98C">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上饶市广信区20个乡镇（华坛山镇、郑坊镇、望仙乡、石人乡、煌固镇、清水乡、湖村乡、枫岭头镇、石狮乡、茶亭镇、尊桥乡、皂头镇、黄沙岭乡、应家乡、田墩镇、上泸镇、四十八镇、铁山乡、花厅镇、五府山镇）国有建设用地。</w:t>
      </w:r>
    </w:p>
    <w:p w14:paraId="11D83B60">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4.工作原则:</w:t>
      </w:r>
    </w:p>
    <w:p w14:paraId="454CDC5D">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（1）连续性原则</w:t>
      </w:r>
    </w:p>
    <w:p w14:paraId="45F8D714">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此次地价更新项目是在原有基准地价的成果基础上进行的，充分利用原有成果，保持与原有成果的衔接与连续性，并对现状与原有成果进行充分的分析。</w:t>
      </w:r>
    </w:p>
    <w:p w14:paraId="504DB11D">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（2）适用性原则</w:t>
      </w:r>
    </w:p>
    <w:p w14:paraId="2748C8DF">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虽然基准地价更新的各种技术过程均有相应规程可循，但成果的生命力在于应用，应充分考虑成果的实际需要，要具有可操作性与实用性，所采取的技术路线、方法与措施一定要符合当地实际。</w:t>
      </w:r>
    </w:p>
    <w:p w14:paraId="0C6185AE">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（3）技术创新原则</w:t>
      </w:r>
    </w:p>
    <w:p w14:paraId="2B67F23E">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充分发挥先进、稳定、可靠、高效的新兴技术，应用如计算机、地理信息系统、无人机勘测及影像采集等先进技术方法，尽量采用新技术、新机制、新手段，推动技术创新，增加技术含量，提高成果质量。</w:t>
      </w:r>
    </w:p>
    <w:p w14:paraId="7500FB89">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（4）系统性原则</w:t>
      </w:r>
    </w:p>
    <w:p w14:paraId="52E3CD95">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地价更新主要内容包括土地定级与基准地价更新等内容，是一个复杂的系统工程，该项工作应做到统筹安排、系统集成，并充分利用计算机与系统软件，同时注意与现有管理系统的衔接。</w:t>
      </w:r>
    </w:p>
    <w:p w14:paraId="180AB278">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5.技术路线：</w:t>
      </w:r>
    </w:p>
    <w:p w14:paraId="471F2D27">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此次城镇基准地价更新，以《城镇土地分等定级规程》和《城镇土地估价规程》为依据，在统一的基准地价内涵前提下，借助现代计算机技术，完成城镇土地定级、基准地价更新及地价管理信息系统建立等工作。</w:t>
      </w:r>
    </w:p>
    <w:p w14:paraId="23C5F5EC">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（1）城镇土地定级</w:t>
      </w:r>
    </w:p>
    <w:p w14:paraId="5C06CD59">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城镇土地定级，采用综合定级的技术路线。首先选取合适网格为基本定级单元，采用科学的方法确定定级因素因子及影响权重；然后，通过资料调查，整理量化确定每个因素因子对应的空间要素及其作用分值和影响半径，利用定级软件采用综合评定法计算确定单元作用总分值，根据单元总分频率直方图拟定土地级别的划分标准，初步划分土地级别，并将土地级别落实到以道路等自然地物为边界的应用评价单元上；最后，利用市场交易样点地价进行校核与验证后确定土地级别，由系统自动进行分级别面积的统计，并最终输出土地定级图。</w:t>
      </w:r>
    </w:p>
    <w:p w14:paraId="69DF853E">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（2）基准地价更新</w:t>
      </w:r>
    </w:p>
    <w:p w14:paraId="42D9C589">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首先，以土地级别为基础，按土地条件划分均质地域；然后，对土地出让、土地转让、土地出租、房屋出租、商品房买卖、土地征用、柜台出租等土地交易资料分别进行地价计算，根据统一基准地价内涵的要求，结合市20个乡镇的城市地价动态监测，进行开发程度和容积率修正，对修正后的样点进行检验和处理，剔除不合格的样点数据；最后，测算确定均质地域区片（段）价格及分类基准地价，并建立宗地地价修正体系。</w:t>
      </w:r>
    </w:p>
    <w:p w14:paraId="333BB8DD">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6.技术成果:</w:t>
      </w:r>
    </w:p>
    <w:p w14:paraId="0FCC4C9E">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（1）上饶市广信区20个乡镇国有建设用地定级与基准地价更新工作报告。</w:t>
      </w:r>
    </w:p>
    <w:p w14:paraId="08E26D2E">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（2）上饶市广信区20个乡镇国有建设用地定级与基准地价更新技术报告。</w:t>
      </w:r>
    </w:p>
    <w:p w14:paraId="43ACE397">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（3）上饶市广信区20个乡镇国有建设用地综合定级基准地价图。</w:t>
      </w:r>
    </w:p>
    <w:p w14:paraId="18DE464F">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（4）上饶市广信区20个乡镇国有建设用地基准地价表。</w:t>
      </w:r>
    </w:p>
    <w:p w14:paraId="06D39198">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（5）上饶市广信区20个乡镇国有建设用地宗地地价修正系数表。</w:t>
      </w:r>
    </w:p>
    <w:p w14:paraId="6DCAE1CA">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7.技术标准及成果验收:</w:t>
      </w:r>
    </w:p>
    <w:p w14:paraId="41A7BD0D">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（1）所提供的产品或服务必须符合《城镇土地分等定级规程》（GB/T18507-2014）和《城镇土地估价规程》（GB/T18508-2014）以及相关法律、法规。</w:t>
      </w:r>
    </w:p>
    <w:p w14:paraId="49F63031">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（2）成果通过省级自然资源主管部门验收。</w:t>
      </w:r>
    </w:p>
    <w:p w14:paraId="44EABFBF">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8.要求提交的成果:</w:t>
      </w:r>
    </w:p>
    <w:p w14:paraId="21CAF0CC">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（1）要求成交供应商提供初步成果文档（满足上级主管部门验收使用）。</w:t>
      </w:r>
    </w:p>
    <w:p w14:paraId="6A2336B8">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（2）项目通过省级自然资源主管部门验收后，成交供应商必须按以上要求提供完整的项目文档1套。</w:t>
      </w:r>
    </w:p>
    <w:p w14:paraId="6E4261E0">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（3）出具的报告需加盖土地估价机构公章，并有至少2名承办该业务的土地估价专业人员签名。</w:t>
      </w:r>
    </w:p>
    <w:p w14:paraId="799011B6">
      <w:pPr>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9.人员要求:</w:t>
      </w:r>
    </w:p>
    <w:p w14:paraId="4071E9F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eastAsia="宋体" w:asciiTheme="minorEastAsia" w:hAnsi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要求配备1名项目总负责人；1名项目技术负责人；1名项目现场负责人及项目实施团队成员</w:t>
      </w:r>
      <w:bookmarkEnd w:id="2"/>
      <w:r>
        <w:rPr>
          <w:rFonts w:hint="eastAsia" w:asciiTheme="minorEastAsia" w:hAnsiTheme="minorEastAsia" w:eastAsiaTheme="minorEastAsia" w:cstheme="minorEastAsia"/>
          <w:b w:val="0"/>
          <w:bCs w:val="0"/>
          <w:color w:val="auto"/>
          <w:sz w:val="24"/>
          <w:szCs w:val="24"/>
          <w:highlight w:val="none"/>
          <w:lang w:val="en-US" w:eastAsia="zh-CN"/>
        </w:rPr>
        <w:t>，</w:t>
      </w:r>
      <w:r>
        <w:rPr>
          <w:rFonts w:ascii="宋体" w:hAnsi="宋体" w:eastAsia="宋体" w:cs="宋体"/>
          <w:color w:val="auto"/>
          <w:sz w:val="24"/>
          <w:szCs w:val="24"/>
          <w:highlight w:val="none"/>
        </w:rPr>
        <w:t>全体技术人员须为本项目适配的复合型专业人才</w:t>
      </w:r>
      <w:r>
        <w:rPr>
          <w:rFonts w:hint="eastAsia" w:ascii="宋体" w:hAnsi="宋体" w:cs="宋体"/>
          <w:color w:val="auto"/>
          <w:sz w:val="24"/>
          <w:szCs w:val="24"/>
          <w:highlight w:val="none"/>
          <w:lang w:eastAsia="zh-CN"/>
        </w:rPr>
        <w:t>。</w:t>
      </w:r>
    </w:p>
    <w:p w14:paraId="33CCFA3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00" w:lineRule="exact"/>
        <w:jc w:val="both"/>
        <w:textAlignment w:val="baseline"/>
        <w:rPr>
          <w:rFonts w:hint="eastAsia" w:ascii="宋体" w:hAnsi="宋体" w:cs="宋体"/>
          <w:b/>
          <w:bCs/>
          <w:color w:val="auto"/>
          <w:sz w:val="28"/>
          <w:szCs w:val="28"/>
          <w:highlight w:val="none"/>
          <w:lang w:val="en-US" w:eastAsia="zh-CN"/>
        </w:rPr>
      </w:pPr>
    </w:p>
    <w:p w14:paraId="4889DEB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cs="宋体"/>
          <w:b/>
          <w:bCs/>
          <w:color w:val="auto"/>
          <w:sz w:val="28"/>
          <w:szCs w:val="28"/>
          <w:highlight w:val="none"/>
          <w:lang w:val="en-US" w:eastAsia="zh-CN"/>
        </w:rPr>
      </w:pPr>
    </w:p>
    <w:p w14:paraId="1E42D3B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b/>
          <w:bCs/>
          <w:color w:val="auto"/>
          <w:sz w:val="32"/>
          <w:szCs w:val="32"/>
          <w:highlight w:val="none"/>
          <w:lang w:val="en-US" w:eastAsia="zh-CN"/>
        </w:rPr>
      </w:pPr>
      <w:r>
        <w:rPr>
          <w:rFonts w:hint="eastAsia" w:ascii="宋体" w:hAnsi="宋体" w:cs="宋体"/>
          <w:b/>
          <w:bCs/>
          <w:color w:val="auto"/>
          <w:sz w:val="32"/>
          <w:szCs w:val="32"/>
          <w:highlight w:val="none"/>
          <w:lang w:val="en-US" w:eastAsia="zh-CN"/>
        </w:rPr>
        <w:t>三</w:t>
      </w:r>
      <w:r>
        <w:rPr>
          <w:rFonts w:hint="eastAsia" w:ascii="宋体" w:hAnsi="宋体" w:eastAsia="宋体" w:cs="宋体"/>
          <w:b/>
          <w:bCs/>
          <w:color w:val="auto"/>
          <w:sz w:val="32"/>
          <w:szCs w:val="32"/>
          <w:highlight w:val="none"/>
          <w:lang w:val="en-US" w:eastAsia="zh-CN"/>
        </w:rPr>
        <w:t>、商务条款</w:t>
      </w:r>
      <w:bookmarkEnd w:id="1"/>
    </w:p>
    <w:p w14:paraId="35E9F7D6">
      <w:pPr>
        <w:spacing w:line="360" w:lineRule="auto"/>
        <w:rPr>
          <w:rFonts w:hint="eastAsia"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1.项目踏勘：项目所在地交通运输情况及自然地理条件等由投标人自行前往踏勘，对本项目现有情况和影响服务的因素以及困难条件进行踏勘和充分研究，做出判断结论和估价，报价时应充分考虑上述因素。供应商参加投标，即表明供应商对标的的情况和特别规定的认可，投标成功后不得以未咨询或对标的不了解而提出异议或反悔，中标人不得提出增加项目报价或索赔的要求，投标人一旦中标，服务期内中标价不予调整。</w:t>
      </w:r>
    </w:p>
    <w:p w14:paraId="6611591D">
      <w:pPr>
        <w:spacing w:line="360" w:lineRule="auto"/>
        <w:rPr>
          <w:rFonts w:hint="default"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2.服务地点：广信区内</w:t>
      </w:r>
    </w:p>
    <w:p w14:paraId="55A9259E">
      <w:pPr>
        <w:spacing w:line="360" w:lineRule="auto"/>
        <w:rPr>
          <w:rFonts w:hint="eastAsia"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3.合同履行期限：三个月内完成并通过省级自然资源主管部门验收（具体以合同约定为准）。</w:t>
      </w:r>
    </w:p>
    <w:p w14:paraId="26225D06">
      <w:pPr>
        <w:spacing w:line="360" w:lineRule="auto"/>
        <w:rPr>
          <w:rFonts w:hint="eastAsia"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4.</w:t>
      </w:r>
      <w:r>
        <w:rPr>
          <w:rFonts w:hint="default" w:cs="宋体" w:asciiTheme="minorEastAsia" w:hAnsiTheme="minorEastAsia" w:eastAsiaTheme="minorEastAsia"/>
          <w:b w:val="0"/>
          <w:bCs w:val="0"/>
          <w:color w:val="auto"/>
          <w:sz w:val="24"/>
          <w:szCs w:val="24"/>
          <w:highlight w:val="none"/>
          <w:lang w:val="en-US" w:eastAsia="zh-CN"/>
        </w:rPr>
        <w:t>付款方式</w:t>
      </w:r>
      <w:r>
        <w:rPr>
          <w:rFonts w:hint="eastAsia" w:cs="宋体" w:asciiTheme="minorEastAsia" w:hAnsiTheme="minorEastAsia" w:eastAsiaTheme="minorEastAsia"/>
          <w:b w:val="0"/>
          <w:bCs w:val="0"/>
          <w:color w:val="auto"/>
          <w:sz w:val="24"/>
          <w:szCs w:val="24"/>
          <w:highlight w:val="none"/>
          <w:lang w:val="en-US" w:eastAsia="zh-CN"/>
        </w:rPr>
        <w:t>：最终成果经甲方验收通过后且在收到供应商发票后10天内一次性付清。</w:t>
      </w:r>
    </w:p>
    <w:p w14:paraId="367D476C">
      <w:pPr>
        <w:spacing w:line="360" w:lineRule="auto"/>
        <w:rPr>
          <w:rFonts w:hint="eastAsia"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5.售后服务：投标人应承担深化成果及因上级有关主管部门审查而出现的修改工作，以及其他相关部门专家、领导进行评审的意见修改、补充和完善工作，并提交政府及相关部门审查，根据审查意见修改完善形成最终成果。</w:t>
      </w:r>
    </w:p>
    <w:p w14:paraId="29952C77">
      <w:pPr>
        <w:spacing w:line="360" w:lineRule="auto"/>
        <w:rPr>
          <w:rFonts w:hint="eastAsia"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6.验收要求：按照编制要求，完成技术要求规定的所有工作内容，按采购需求提交所有成果资料，实施进度符合采购要求，最终项目通过相关部门审批并经采购人组织验收通过并出具书面验收意见。</w:t>
      </w:r>
    </w:p>
    <w:p w14:paraId="72DBB879">
      <w:pPr>
        <w:spacing w:line="360" w:lineRule="auto"/>
        <w:rPr>
          <w:rFonts w:hint="eastAsia"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7.违约责任：</w:t>
      </w:r>
    </w:p>
    <w:p w14:paraId="54056530">
      <w:pPr>
        <w:spacing w:line="360" w:lineRule="auto"/>
        <w:rPr>
          <w:rFonts w:hint="eastAsia"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（1）成交供应商逾期交付时，应比照中国人民银行有关延期付款的规定，每逾1日成交供应商向采购人偿付合同价款总额万分之五的违约金，涉及不可抗力因素有所延误的，由供应商和采购人协商解决。</w:t>
      </w:r>
    </w:p>
    <w:p w14:paraId="2D581FAC">
      <w:pPr>
        <w:spacing w:line="360" w:lineRule="auto"/>
        <w:rPr>
          <w:rFonts w:hint="eastAsia"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（2）因无法通过专家评审的，按逾期交付处理。</w:t>
      </w:r>
    </w:p>
    <w:p w14:paraId="21602329">
      <w:pPr>
        <w:spacing w:line="360" w:lineRule="auto"/>
        <w:rPr>
          <w:rFonts w:hint="eastAsia"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（3）成交供应商不能履行签订的采购合同，采购人可取消其中标资格，所造成的一切经济损失由成交供应商赔偿。</w:t>
      </w:r>
    </w:p>
    <w:p w14:paraId="377E9E42">
      <w:pPr>
        <w:spacing w:line="360" w:lineRule="auto"/>
        <w:rPr>
          <w:rFonts w:hint="eastAsia"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（4）其它未尽事宜，双方签订合同时另行约定。</w:t>
      </w:r>
    </w:p>
    <w:p w14:paraId="46A0F029">
      <w:pPr>
        <w:spacing w:line="360" w:lineRule="auto"/>
        <w:rPr>
          <w:rFonts w:hint="eastAsia" w:cs="宋体" w:asciiTheme="minorEastAsia" w:hAnsiTheme="minorEastAsia" w:eastAsiaTheme="minorEastAsia"/>
          <w:b w:val="0"/>
          <w:bCs w:val="0"/>
          <w:color w:val="auto"/>
          <w:sz w:val="24"/>
          <w:szCs w:val="24"/>
          <w:highlight w:val="none"/>
          <w:lang w:val="en-US" w:eastAsia="zh-CN"/>
        </w:rPr>
      </w:pPr>
      <w:r>
        <w:rPr>
          <w:rFonts w:hint="eastAsia" w:cs="宋体" w:asciiTheme="minorEastAsia" w:hAnsiTheme="minorEastAsia" w:eastAsiaTheme="minorEastAsia"/>
          <w:b w:val="0"/>
          <w:bCs w:val="0"/>
          <w:color w:val="auto"/>
          <w:sz w:val="24"/>
          <w:szCs w:val="24"/>
          <w:highlight w:val="none"/>
          <w:lang w:val="en-US" w:eastAsia="zh-CN"/>
        </w:rPr>
        <w:t>8.其他</w:t>
      </w:r>
    </w:p>
    <w:p w14:paraId="54F41780">
      <w:pPr>
        <w:spacing w:line="360" w:lineRule="auto"/>
        <w:rPr>
          <w:rFonts w:hint="default" w:cs="宋体" w:asciiTheme="minorEastAsia" w:hAnsiTheme="minorEastAsia" w:eastAsiaTheme="minorEastAsia"/>
          <w:b w:val="0"/>
          <w:bCs w:val="0"/>
          <w:color w:val="auto"/>
          <w:sz w:val="24"/>
          <w:szCs w:val="24"/>
          <w:highlight w:val="none"/>
          <w:lang w:val="en-US" w:eastAsia="zh-CN"/>
        </w:rPr>
      </w:pPr>
      <w:r>
        <w:rPr>
          <w:rFonts w:hint="default" w:cs="宋体" w:asciiTheme="minorEastAsia" w:hAnsiTheme="minorEastAsia" w:eastAsiaTheme="minorEastAsia"/>
          <w:b w:val="0"/>
          <w:bCs w:val="0"/>
          <w:color w:val="auto"/>
          <w:sz w:val="24"/>
          <w:szCs w:val="24"/>
          <w:highlight w:val="none"/>
          <w:lang w:val="en-US" w:eastAsia="zh-CN"/>
        </w:rPr>
        <w:t>(1)中标人应保证在本项目使用的任何产品和服务（包括部分使用）时，不会产生因第三方提出侵犯其专利权、商标权或其它知识产权而引起的法律和经济纠纷，如因专利权、商标权或其它知识产权而引起法律和经济纠纷，由中标人承担一切与之有关的责任。</w:t>
      </w:r>
    </w:p>
    <w:p w14:paraId="71B0A2E8">
      <w:pPr>
        <w:spacing w:line="360" w:lineRule="auto"/>
        <w:rPr>
          <w:rFonts w:hint="default" w:cs="宋体" w:asciiTheme="minorEastAsia" w:hAnsiTheme="minorEastAsia" w:eastAsiaTheme="minorEastAsia"/>
          <w:b w:val="0"/>
          <w:bCs w:val="0"/>
          <w:color w:val="auto"/>
          <w:sz w:val="24"/>
          <w:szCs w:val="24"/>
          <w:highlight w:val="none"/>
          <w:lang w:val="en-US" w:eastAsia="zh-CN"/>
        </w:rPr>
      </w:pPr>
      <w:r>
        <w:rPr>
          <w:rFonts w:hint="default" w:cs="宋体" w:asciiTheme="minorEastAsia" w:hAnsiTheme="minorEastAsia" w:eastAsiaTheme="minorEastAsia"/>
          <w:b w:val="0"/>
          <w:bCs w:val="0"/>
          <w:color w:val="auto"/>
          <w:sz w:val="24"/>
          <w:szCs w:val="24"/>
          <w:highlight w:val="none"/>
          <w:lang w:val="en-US" w:eastAsia="zh-CN"/>
        </w:rPr>
        <w:t>(2)因本合同引起的或与本合同有关的一切争议，甲、乙双方友好协商解决；协商不成，可向项目所在地的人民法院提起诉讼。发生争议期间，除非法院等有权机构要求停止合同履行，双方都应继续履行合同。</w:t>
      </w:r>
    </w:p>
    <w:p w14:paraId="47433575">
      <w:r>
        <w:rPr>
          <w:rFonts w:hint="default" w:cs="宋体" w:asciiTheme="minorEastAsia" w:hAnsiTheme="minorEastAsia" w:eastAsiaTheme="minorEastAsia"/>
          <w:b w:val="0"/>
          <w:bCs w:val="0"/>
          <w:color w:val="auto"/>
          <w:sz w:val="24"/>
          <w:szCs w:val="24"/>
          <w:highlight w:val="none"/>
          <w:lang w:val="en-US" w:eastAsia="zh-CN"/>
        </w:rPr>
        <w:t>(3)其他未尽事宜可在合同中约定。</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CD6F63"/>
    <w:rsid w:val="3DCD6F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lang w:val="en-US" w:eastAsia="zh-CN" w:bidi="ar-SA"/>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6" w:lineRule="auto"/>
      <w:outlineLvl w:val="2"/>
    </w:pPr>
    <w:rPr>
      <w:b/>
      <w:bCs/>
      <w:sz w:val="32"/>
      <w:szCs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customStyle="1" w:styleId="2">
    <w:name w:val="p0"/>
    <w:basedOn w:val="1"/>
    <w:qFormat/>
    <w:uiPriority w:val="0"/>
    <w:pPr>
      <w:widowControl/>
      <w:adjustRightInd/>
      <w:spacing w:line="240" w:lineRule="auto"/>
      <w:textAlignment w:val="auto"/>
    </w:pPr>
    <w:rPr>
      <w:rFonts w:ascii="Times New Roman" w:eastAsia="宋体"/>
      <w:sz w:val="21"/>
    </w:rPr>
  </w:style>
  <w:style w:type="paragraph" w:styleId="5">
    <w:name w:val="footer"/>
    <w:basedOn w:val="1"/>
    <w:qFormat/>
    <w:uiPriority w:val="99"/>
    <w:pPr>
      <w:tabs>
        <w:tab w:val="center" w:pos="4153"/>
        <w:tab w:val="right" w:pos="8306"/>
      </w:tabs>
      <w:snapToGrid w:val="0"/>
      <w:jc w:val="left"/>
    </w:pPr>
    <w:rPr>
      <w:sz w:val="18"/>
    </w:rPr>
  </w:style>
  <w:style w:type="character" w:styleId="8">
    <w:name w:val="page number"/>
    <w:basedOn w:val="7"/>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2026-07-03T14:44:00Z</dcterms:created>
  <dc:creator>1</dc:creator>
  <cp:lastModifiedBy>1</cp:lastModifiedBy>
  <dcterms:modified xsi:type="dcterms:W3CDTF">2026-07-03T14:45:42Z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77EBEDC21EE74171859C59712D6736FD_11</vt:lpwstr>
  </property>
  <property fmtid="{D5CDD505-2E9C-101B-9397-08002B2CF9AE}" pid="4" name="KSOTemplateDocerSaveRecord">
    <vt:lpwstr>eyJoZGlkIjoiOTQ1ZjcwZDc4NTU0NDg3MTdkNzA4ODA0MGJlZThhMzIiLCJ1c2VySWQiOiI3MzkzOTk4NjYifQ==</vt:lpwstr>
  </property>
</Properties>
</file>