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1EA4B">
      <w:pPr>
        <w:pStyle w:val="2"/>
        <w:spacing w:before="0" w:after="0" w:line="460" w:lineRule="exact"/>
        <w:jc w:val="center"/>
        <w:rPr>
          <w:rFonts w:hint="eastAsia" w:ascii="宋体" w:hAnsi="宋体" w:eastAsia="宋体" w:cs="宋体"/>
          <w:sz w:val="30"/>
          <w:szCs w:val="30"/>
        </w:rPr>
      </w:pPr>
      <w:r>
        <w:rPr>
          <w:rFonts w:hint="eastAsia" w:ascii="宋体" w:hAnsi="宋体" w:eastAsia="宋体" w:cs="宋体"/>
          <w:sz w:val="30"/>
          <w:szCs w:val="30"/>
        </w:rPr>
        <w:t>采购要求</w:t>
      </w:r>
    </w:p>
    <w:p w14:paraId="41F1FA74">
      <w:pPr>
        <w:adjustRightInd w:val="0"/>
        <w:spacing w:line="460" w:lineRule="exact"/>
        <w:rPr>
          <w:rFonts w:hint="eastAsia" w:ascii="宋体" w:hAnsi="宋体" w:cs="宋体"/>
          <w:b/>
          <w:sz w:val="24"/>
          <w:szCs w:val="24"/>
        </w:rPr>
      </w:pPr>
      <w:r>
        <w:rPr>
          <w:rFonts w:hint="eastAsia" w:ascii="宋体" w:hAnsi="宋体" w:cs="宋体"/>
          <w:b/>
          <w:sz w:val="24"/>
          <w:szCs w:val="24"/>
        </w:rPr>
        <w:t>（一）服务要求</w:t>
      </w:r>
    </w:p>
    <w:p w14:paraId="0B2D33A0">
      <w:pPr>
        <w:spacing w:line="460" w:lineRule="exact"/>
        <w:ind w:firstLine="482" w:firstLineChars="200"/>
        <w:rPr>
          <w:rFonts w:ascii="宋体" w:hAnsi="宋体" w:cs="宋体"/>
          <w:sz w:val="24"/>
          <w:szCs w:val="24"/>
        </w:rPr>
      </w:pPr>
      <w:r>
        <w:rPr>
          <w:rFonts w:hint="eastAsia" w:ascii="宋体" w:hAnsi="宋体" w:cs="宋体"/>
          <w:b/>
          <w:bCs/>
          <w:sz w:val="24"/>
          <w:szCs w:val="24"/>
        </w:rPr>
        <w:t>一）、抚州市人力资源产业园运营</w:t>
      </w:r>
    </w:p>
    <w:p w14:paraId="612FBAE2">
      <w:pPr>
        <w:spacing w:line="460" w:lineRule="exact"/>
        <w:ind w:firstLine="480" w:firstLineChars="200"/>
        <w:rPr>
          <w:rFonts w:hint="eastAsia" w:ascii="宋体" w:hAnsi="宋体" w:cs="宋体"/>
          <w:sz w:val="24"/>
          <w:szCs w:val="24"/>
        </w:rPr>
      </w:pPr>
      <w:r>
        <w:rPr>
          <w:rFonts w:hint="eastAsia" w:ascii="宋体" w:hAnsi="宋体" w:cs="宋体"/>
          <w:sz w:val="24"/>
          <w:szCs w:val="24"/>
        </w:rPr>
        <w:t>1、运营服务内容</w:t>
      </w:r>
    </w:p>
    <w:p w14:paraId="09D7B411">
      <w:pPr>
        <w:spacing w:line="460" w:lineRule="exact"/>
        <w:ind w:firstLine="480" w:firstLineChars="200"/>
        <w:rPr>
          <w:rFonts w:hint="eastAsia" w:ascii="宋体" w:hAnsi="宋体" w:cs="宋体"/>
          <w:sz w:val="24"/>
          <w:szCs w:val="24"/>
        </w:rPr>
      </w:pPr>
      <w:r>
        <w:rPr>
          <w:rFonts w:hint="eastAsia" w:ascii="宋体" w:hAnsi="宋体" w:cs="宋体"/>
          <w:sz w:val="24"/>
          <w:szCs w:val="24"/>
        </w:rPr>
        <w:t>负责抚州人力资源服务产业园日常基础运营、维护与管理服务，确保园区安全、规范、有序运行，具体包括：</w:t>
      </w:r>
    </w:p>
    <w:p w14:paraId="0656F925">
      <w:pPr>
        <w:spacing w:line="460" w:lineRule="exact"/>
        <w:ind w:firstLine="480" w:firstLineChars="200"/>
        <w:rPr>
          <w:rFonts w:hint="eastAsia" w:ascii="宋体" w:hAnsi="宋体" w:cs="宋体"/>
          <w:sz w:val="24"/>
          <w:szCs w:val="24"/>
        </w:rPr>
      </w:pPr>
      <w:r>
        <w:rPr>
          <w:rFonts w:hint="eastAsia" w:ascii="宋体" w:hAnsi="宋体" w:cs="宋体"/>
          <w:sz w:val="24"/>
          <w:szCs w:val="24"/>
        </w:rPr>
        <w:t>1.1.负责园区基础运营管理，承担园区运营期间产生的水费、电费、小型零星维修服务费及其他与基础运营相关的公共费用（相关的公共费用：主要用于负责产业园正常运行所需的水、电、卷纸、清洁消耗用品、垃圾清运、房屋及各类设施设备小型零星维修服务等费用，单项零星维修服务在5000元人民币以下的由投标人全部负责，还包括其他与基础运营相关的公共费用）。</w:t>
      </w:r>
    </w:p>
    <w:p w14:paraId="4D335C81">
      <w:pPr>
        <w:spacing w:line="460" w:lineRule="exact"/>
        <w:ind w:firstLine="480" w:firstLineChars="200"/>
        <w:rPr>
          <w:rFonts w:hint="eastAsia" w:ascii="宋体" w:hAnsi="宋体" w:cs="宋体"/>
          <w:sz w:val="24"/>
          <w:szCs w:val="24"/>
        </w:rPr>
      </w:pPr>
      <w:r>
        <w:rPr>
          <w:rFonts w:hint="eastAsia" w:ascii="宋体" w:hAnsi="宋体" w:cs="宋体"/>
          <w:sz w:val="24"/>
          <w:szCs w:val="24"/>
        </w:rPr>
        <w:t>1.2.负责园区办公秩序维护、公共区域日常保洁、垃圾清运及定期消杀工作。</w:t>
      </w:r>
    </w:p>
    <w:p w14:paraId="3A12D2B9">
      <w:pPr>
        <w:spacing w:line="460" w:lineRule="exact"/>
        <w:ind w:firstLine="480" w:firstLineChars="200"/>
        <w:rPr>
          <w:rFonts w:hint="eastAsia" w:ascii="宋体" w:hAnsi="宋体" w:cs="宋体"/>
          <w:sz w:val="24"/>
          <w:szCs w:val="24"/>
        </w:rPr>
      </w:pPr>
      <w:r>
        <w:rPr>
          <w:rFonts w:hint="eastAsia" w:ascii="宋体" w:hAnsi="宋体" w:cs="宋体"/>
          <w:sz w:val="24"/>
          <w:szCs w:val="24"/>
        </w:rPr>
        <w:t>1.3.负责园区内办公设备、公共设施、水电系统、消防设施等的日常巡检、保养、维修及故障处置，确保设施设备完好有效。</w:t>
      </w:r>
    </w:p>
    <w:p w14:paraId="736DBEC0">
      <w:pPr>
        <w:spacing w:line="460" w:lineRule="exact"/>
        <w:ind w:firstLine="480" w:firstLineChars="200"/>
        <w:rPr>
          <w:rFonts w:hint="eastAsia" w:ascii="宋体" w:hAnsi="宋体" w:cs="宋体"/>
          <w:sz w:val="24"/>
          <w:szCs w:val="24"/>
        </w:rPr>
      </w:pPr>
      <w:r>
        <w:rPr>
          <w:rFonts w:hint="eastAsia" w:ascii="宋体" w:hAnsi="宋体" w:cs="宋体"/>
          <w:sz w:val="24"/>
          <w:szCs w:val="24"/>
        </w:rPr>
        <w:t>1.4.提供会务保障、政务接待、参观讲解、活动支撑等服务，配合完成各级部门调研、考察、交流等工作，维护园区整体形象。</w:t>
      </w:r>
    </w:p>
    <w:p w14:paraId="384CE51A">
      <w:pPr>
        <w:spacing w:line="460" w:lineRule="exact"/>
        <w:ind w:firstLine="480" w:firstLineChars="200"/>
        <w:rPr>
          <w:rFonts w:hint="eastAsia" w:ascii="宋体" w:hAnsi="宋体" w:cs="宋体"/>
          <w:sz w:val="24"/>
          <w:szCs w:val="24"/>
        </w:rPr>
      </w:pPr>
      <w:r>
        <w:rPr>
          <w:rFonts w:hint="eastAsia" w:ascii="宋体" w:hAnsi="宋体" w:cs="宋体"/>
          <w:sz w:val="24"/>
          <w:szCs w:val="24"/>
        </w:rPr>
        <w:t>2、运营方式及要求</w:t>
      </w:r>
    </w:p>
    <w:p w14:paraId="701FE71D">
      <w:pPr>
        <w:spacing w:line="460" w:lineRule="exact"/>
        <w:ind w:firstLine="480" w:firstLineChars="200"/>
        <w:rPr>
          <w:rFonts w:hint="eastAsia" w:ascii="宋体" w:hAnsi="宋体" w:cs="宋体"/>
          <w:sz w:val="24"/>
          <w:szCs w:val="24"/>
        </w:rPr>
      </w:pPr>
      <w:r>
        <w:rPr>
          <w:rFonts w:hint="eastAsia" w:ascii="宋体" w:hAnsi="宋体" w:cs="宋体"/>
          <w:sz w:val="24"/>
          <w:szCs w:val="24"/>
        </w:rPr>
        <w:t>人力资源服务机构负责产业园的维护管理，并按以下标准配置不少于6名专职工作人员：</w:t>
      </w:r>
    </w:p>
    <w:p w14:paraId="5072C910">
      <w:pPr>
        <w:spacing w:line="460" w:lineRule="exact"/>
        <w:ind w:firstLine="480" w:firstLineChars="200"/>
        <w:rPr>
          <w:rFonts w:hint="eastAsia" w:ascii="宋体" w:hAnsi="宋体" w:cs="宋体"/>
          <w:sz w:val="24"/>
          <w:szCs w:val="24"/>
        </w:rPr>
      </w:pPr>
      <w:r>
        <w:rPr>
          <w:rFonts w:hint="eastAsia" w:ascii="宋体" w:hAnsi="宋体" w:cs="宋体"/>
          <w:sz w:val="24"/>
          <w:szCs w:val="24"/>
        </w:rPr>
        <w:t>2.1.安保人员2名。其中1名须持有消防设施操作员资格证书（可在项目开始实施过程中提供），负责园区安全防范、消防值守及秩序维护；</w:t>
      </w:r>
    </w:p>
    <w:p w14:paraId="1010E3C2">
      <w:pPr>
        <w:keepNext w:val="0"/>
        <w:keepLines w:val="0"/>
        <w:pageBreakBefore w:val="0"/>
        <w:kinsoku/>
        <w:wordWrap/>
        <w:overflowPunct/>
        <w:topLinePunct w:val="0"/>
        <w:autoSpaceDE/>
        <w:autoSpaceDN/>
        <w:bidi w:val="0"/>
        <w:snapToGrid/>
        <w:spacing w:line="460" w:lineRule="exact"/>
        <w:ind w:firstLine="480" w:firstLineChars="200"/>
        <w:textAlignment w:val="auto"/>
        <w:rPr>
          <w:rFonts w:hint="eastAsia" w:ascii="宋体" w:hAnsi="宋体" w:cs="宋体"/>
          <w:sz w:val="24"/>
          <w:szCs w:val="24"/>
        </w:rPr>
      </w:pPr>
      <w:r>
        <w:rPr>
          <w:rFonts w:hint="eastAsia" w:ascii="宋体" w:hAnsi="宋体" w:cs="宋体"/>
          <w:sz w:val="24"/>
          <w:szCs w:val="24"/>
        </w:rPr>
        <w:t>2.2.保洁人员1名。负责园区公共区域日常保洁、垃圾清运及环境消杀工作；</w:t>
      </w:r>
    </w:p>
    <w:p w14:paraId="7F6C0561">
      <w:pPr>
        <w:keepNext w:val="0"/>
        <w:keepLines w:val="0"/>
        <w:pageBreakBefore w:val="0"/>
        <w:kinsoku/>
        <w:wordWrap/>
        <w:overflowPunct/>
        <w:topLinePunct w:val="0"/>
        <w:autoSpaceDE/>
        <w:autoSpaceDN/>
        <w:bidi w:val="0"/>
        <w:snapToGrid/>
        <w:spacing w:line="460" w:lineRule="exact"/>
        <w:ind w:firstLine="480" w:firstLineChars="200"/>
        <w:textAlignment w:val="auto"/>
        <w:rPr>
          <w:rFonts w:hint="eastAsia" w:ascii="宋体" w:hAnsi="宋体" w:cs="宋体"/>
          <w:sz w:val="24"/>
          <w:szCs w:val="24"/>
        </w:rPr>
      </w:pPr>
      <w:r>
        <w:rPr>
          <w:rFonts w:hint="eastAsia" w:ascii="宋体" w:hAnsi="宋体" w:cs="宋体"/>
          <w:sz w:val="24"/>
          <w:szCs w:val="24"/>
        </w:rPr>
        <w:t>2.3.管理服务人员3名。须具备大专及以上学历，其中1名专职负责园区设施设备管理与维护，1名专职负责参观讲解、政务接待及会务保障，1名统筹园区日常运营管理及综合协调工作。</w:t>
      </w:r>
    </w:p>
    <w:p w14:paraId="3DC1ABE3">
      <w:pPr>
        <w:spacing w:line="46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二）、抚州市就业之家运营</w:t>
      </w:r>
    </w:p>
    <w:p w14:paraId="7F208921">
      <w:pPr>
        <w:keepNext w:val="0"/>
        <w:keepLines w:val="0"/>
        <w:pageBreakBefore w:val="0"/>
        <w:kinsoku/>
        <w:wordWrap/>
        <w:overflowPunct/>
        <w:topLinePunct w:val="0"/>
        <w:autoSpaceDE/>
        <w:autoSpaceDN/>
        <w:bidi w:val="0"/>
        <w:adjustRightInd w:val="0"/>
        <w:snapToGrid/>
        <w:spacing w:line="46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5、线下服务事项</w:t>
      </w:r>
    </w:p>
    <w:p w14:paraId="2CAF5091">
      <w:pPr>
        <w:keepNext w:val="0"/>
        <w:keepLines w:val="0"/>
        <w:pageBreakBefore w:val="0"/>
        <w:kinsoku/>
        <w:wordWrap/>
        <w:overflowPunct/>
        <w:topLinePunct w:val="0"/>
        <w:autoSpaceDE/>
        <w:autoSpaceDN/>
        <w:bidi w:val="0"/>
        <w:adjustRightInd w:val="0"/>
        <w:snapToGrid/>
        <w:spacing w:line="460" w:lineRule="exact"/>
        <w:ind w:firstLine="480" w:firstLineChars="200"/>
        <w:textAlignment w:val="auto"/>
        <w:rPr>
          <w:rFonts w:hint="eastAsia" w:ascii="宋体" w:hAnsi="宋体" w:cs="宋体"/>
          <w:sz w:val="24"/>
          <w:szCs w:val="24"/>
        </w:rPr>
      </w:pPr>
      <w:r>
        <w:rPr>
          <w:rFonts w:hint="eastAsia" w:ascii="宋体" w:hAnsi="宋体" w:cs="宋体"/>
          <w:sz w:val="24"/>
          <w:szCs w:val="24"/>
        </w:rPr>
        <w:t>5.1.配备不少于8人的相对固定、专业的运营管理团队驻场服务（明确1人为直播带岗专项工作人员），配置专职人员开展相关工作（其中明确1名负责人），形成管理组织架构并明确人员分工，负责运营管理、宣传推广、活动策划、供需对接、政策申报咨询等工作。与所有派驻人员依法建立劳动关系，缴纳社会保险。</w:t>
      </w:r>
    </w:p>
    <w:p w14:paraId="20C4E3DF">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5.2.制定和完善抚州市5+2就业之家管理办法及相关制度，加强制度体系建设，建立规范高效的管理和服务机制。</w:t>
      </w:r>
    </w:p>
    <w:p w14:paraId="314D9FE3">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5.3.工作人员在服务窗口提供咨询、登记、审核、对接等基础服务，每日为企业和求职者提供就业援助、求职登记、权益保障、创业扶持、培训服务、档案管理六大板块专项服务，并完成采购方依法安排的其他工作任务。</w:t>
      </w:r>
    </w:p>
    <w:p w14:paraId="2541F8C2">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5.4.日常业务管理包括业务培训、工作指导、岗位分工及具体工作安排。</w:t>
      </w:r>
    </w:p>
    <w:p w14:paraId="3BA99C70">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5.5.贯彻落实就业之家各项考核指标，每季度开展指标评估工作。</w:t>
      </w:r>
    </w:p>
    <w:p w14:paraId="4DE03ECA">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5.6.加大招工引工、招才聚智力度。举办各类招工引才活动，为抚州用工企业丰富引才渠道。日常招聘会每月2场，全年不少于24场，每场参加企业不少于20家。每年组织不少于5场大型专场招聘活动，其中每场大型专场招聘活动要有独立的线上主页面入口，能清晰显示活动详情进行宣传造势，每场大型专场招聘活动不少于100家用工企业参加，并为每家企业提供一套桌、椅、展板、易拉宝等设施设备便于其布置展位。每场大型专场招聘活动参与总人数不少于1000人，达成就业意向不少于300人；抚州市就业之家线上平台每年发布有效岗位数不少于10000个，收集发布的有效求职人员信息不少于4000条。</w:t>
      </w:r>
    </w:p>
    <w:p w14:paraId="075BF3F2">
      <w:pPr>
        <w:pStyle w:val="4"/>
        <w:adjustRightInd w:val="0"/>
        <w:spacing w:after="0" w:line="460" w:lineRule="exact"/>
        <w:ind w:firstLine="480" w:firstLineChars="200"/>
        <w:rPr>
          <w:rFonts w:hint="eastAsia" w:ascii="宋体" w:hAnsi="宋体" w:cs="宋体"/>
          <w:sz w:val="24"/>
          <w:szCs w:val="24"/>
        </w:rPr>
      </w:pPr>
      <w:r>
        <w:rPr>
          <w:rFonts w:hint="eastAsia" w:ascii="宋体" w:hAnsi="宋体" w:cs="宋体"/>
          <w:sz w:val="24"/>
          <w:szCs w:val="24"/>
        </w:rPr>
        <w:t>5.7.开展创业（项目）指导、创业沙龙或创业讲座等形式的创业活动不少于2场；邀请省市创业导师深入创业孵化基地、园区企业或高校等地开展创业指导不少于2次；对前来咨询的服务对象进行相关信息登记，包括创业意向、创业需求等，并组织省市创业导师开展“坐诊式”一对一指导不少于2次。</w:t>
      </w:r>
    </w:p>
    <w:p w14:paraId="2DFF29F0">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5.8.做好统计工作，每月收集企业用工供需数据，编制发布企业用工简报。</w:t>
      </w:r>
    </w:p>
    <w:p w14:paraId="0226D842">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5.9.完成“三多三强”活动和其他就业服务，创优创先开展就业创业特色活动，以及省市交办的常态化和临时性任务。</w:t>
      </w:r>
    </w:p>
    <w:p w14:paraId="54EF5287">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5.10.做好省外劳务协作对接服务工作。</w:t>
      </w:r>
    </w:p>
    <w:p w14:paraId="71A4CDCA">
      <w:pPr>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5.11.完善零工市场(灵活用工)建设，梳理汇总兼职及零工岗位信息并及时更新。</w:t>
      </w:r>
    </w:p>
    <w:p w14:paraId="46252120">
      <w:pPr>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5.12.举办求职能力实训营师资班1次，结业率不低于95%。求职能力实训营学员班1次，参训学员结营率不低于80%，结业学员6个月内就业率不低于70%。</w:t>
      </w:r>
    </w:p>
    <w:p w14:paraId="46170F74">
      <w:pPr>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5.13.维持就业之家良好办公秩序，保持现场清洁，检查维护各项设备处于良好状态。</w:t>
      </w:r>
    </w:p>
    <w:p w14:paraId="7B650DAF">
      <w:pPr>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6、线上服务事项</w:t>
      </w:r>
    </w:p>
    <w:p w14:paraId="6ED09C20">
      <w:pPr>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以抚州就业网站、抚州市就业之家抖音号、抚州市就业之家微信公众号及省统建平台等为服务载体，开展以下服务：</w:t>
      </w:r>
    </w:p>
    <w:p w14:paraId="5F72C04C">
      <w:pPr>
        <w:widowControl/>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6.1.开展线上平台运营服务，负责平台宣传推广与页面日常管理，确保平台版面美观、布局合理、操作简洁。</w:t>
      </w:r>
    </w:p>
    <w:p w14:paraId="35B2B323">
      <w:pPr>
        <w:widowControl/>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6.2.完善企业岗位招聘信息库、求职人员信息库“两库”建设，实现信息实时录入、更新、跟踪及数据规范化管理，运用“互联网+”、大数据技术实现与省系统的数据对接，通过多渠道精准发布招聘求职信息。</w:t>
      </w:r>
    </w:p>
    <w:p w14:paraId="51607C85">
      <w:pPr>
        <w:widowControl/>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6.3.建立健全信息发布审查机制和投诉处理机制，信息发布前须进行“真实性、合法性、有效性”三重审核；接到用户投诉后，需在24小时内响应，7个工作日内处理完毕并反馈投诉人；每月完成招聘求职后台数据分析，提交详细分析报告并通过数据中心大屏展示，每月前5个工作日形成完整分析台账报送采购方。</w:t>
      </w:r>
    </w:p>
    <w:p w14:paraId="22402046">
      <w:pPr>
        <w:widowControl/>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6.4.负责线上平台日常信息审核维护、定制化开发及模块优化工作，为“云招聘”等线上招聘活动提供稳定、可靠的技术支持。</w:t>
      </w:r>
    </w:p>
    <w:p w14:paraId="4381614F">
      <w:pPr>
        <w:widowControl/>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6.5.配合做好“员工录用一件事”、“灵活就业一件事”相关数据的收集、整理与上报工作。</w:t>
      </w:r>
    </w:p>
    <w:p w14:paraId="533BBBAB">
      <w:pPr>
        <w:widowControl/>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6.6.安排专职人员负责市本级小程序及PC端的日常运营工作。</w:t>
      </w:r>
    </w:p>
    <w:p w14:paraId="04F17A54">
      <w:pPr>
        <w:widowControl/>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7、直播带岗运营服务</w:t>
      </w:r>
    </w:p>
    <w:p w14:paraId="56654DFE">
      <w:pPr>
        <w:widowControl/>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1.服务内容</w:t>
      </w:r>
    </w:p>
    <w:p w14:paraId="1BB23B0F">
      <w:pPr>
        <w:widowControl/>
        <w:adjustRightInd w:val="0"/>
        <w:spacing w:line="46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(1)组建专业直播带岗策划运营团队，团队成员需具备丰富的直播运营经验及新媒体运营思维；配备形象良好、表达能力强、亲和力佳的专职直播带岗主播，主播需具备应对直播过程中各类突发问题的能力。</w:t>
      </w:r>
    </w:p>
    <w:p w14:paraId="1AFC2F31">
      <w:pPr>
        <w:widowControl/>
        <w:adjustRightInd w:val="0"/>
        <w:spacing w:line="460" w:lineRule="exact"/>
        <w:ind w:firstLine="480" w:firstLineChars="200"/>
        <w:rPr>
          <w:rFonts w:hint="eastAsia" w:ascii="宋体" w:hAnsi="宋体" w:cs="宋体"/>
          <w:bCs/>
          <w:kern w:val="0"/>
          <w:sz w:val="24"/>
          <w:szCs w:val="24"/>
          <w:lang w:bidi="ar"/>
        </w:rPr>
      </w:pPr>
      <w:r>
        <w:rPr>
          <w:rFonts w:hint="eastAsia" w:ascii="宋体" w:hAnsi="宋体" w:eastAsia="宋体" w:cs="宋体"/>
          <w:sz w:val="24"/>
          <w:szCs w:val="24"/>
        </w:rPr>
        <w:t>(2)每月对直播带岗数据进行全面分析，总结工作成效并提出改进方向，制定后续直播计划；制作宣传相关物料，保障直</w:t>
      </w:r>
      <w:r>
        <w:rPr>
          <w:rFonts w:hint="eastAsia" w:ascii="宋体" w:hAnsi="宋体" w:cs="宋体"/>
          <w:bCs/>
          <w:kern w:val="0"/>
          <w:sz w:val="24"/>
          <w:szCs w:val="24"/>
          <w:lang w:bidi="ar"/>
        </w:rPr>
        <w:t>播带岗活动规范、高效开展。</w:t>
      </w:r>
    </w:p>
    <w:p w14:paraId="4ABA8E9D">
      <w:pPr>
        <w:widowControl/>
        <w:adjustRightInd w:val="0"/>
        <w:spacing w:line="460" w:lineRule="exact"/>
        <w:ind w:firstLine="480" w:firstLineChars="200"/>
        <w:rPr>
          <w:rFonts w:hint="eastAsia" w:ascii="宋体" w:hAnsi="宋体" w:cs="宋体"/>
          <w:bCs/>
          <w:sz w:val="24"/>
          <w:szCs w:val="24"/>
        </w:rPr>
      </w:pPr>
      <w:r>
        <w:rPr>
          <w:rFonts w:hint="eastAsia" w:ascii="宋体" w:hAnsi="宋体" w:cs="宋体"/>
          <w:bCs/>
          <w:kern w:val="0"/>
          <w:sz w:val="24"/>
          <w:szCs w:val="24"/>
          <w:lang w:bidi="ar"/>
        </w:rPr>
        <w:t>(3)严格落实信息发布审核要求，确保直播带岗发布的岗位信息、政策内容真实合规，杜绝虚假宣传、违规承诺等问题。</w:t>
      </w:r>
    </w:p>
    <w:p w14:paraId="50BAAB2C">
      <w:pPr>
        <w:pStyle w:val="3"/>
        <w:widowControl/>
        <w:adjustRightInd w:val="0"/>
        <w:spacing w:line="460" w:lineRule="exact"/>
        <w:ind w:left="0" w:firstLine="480" w:firstLineChars="200"/>
        <w:jc w:val="both"/>
        <w:rPr>
          <w:rFonts w:hint="eastAsia" w:cs="宋体"/>
          <w:bCs/>
          <w:sz w:val="24"/>
          <w:szCs w:val="24"/>
        </w:rPr>
      </w:pPr>
      <w:r>
        <w:rPr>
          <w:rFonts w:hint="eastAsia" w:cs="宋体"/>
          <w:bCs/>
          <w:sz w:val="24"/>
          <w:szCs w:val="24"/>
          <w:lang w:eastAsia="zh-CN"/>
        </w:rPr>
        <w:t>7.</w:t>
      </w:r>
      <w:r>
        <w:rPr>
          <w:rFonts w:hint="eastAsia" w:cs="宋体"/>
          <w:bCs/>
          <w:sz w:val="24"/>
          <w:szCs w:val="24"/>
        </w:rPr>
        <w:t>2.工作要求</w:t>
      </w:r>
    </w:p>
    <w:p w14:paraId="128554EA">
      <w:pPr>
        <w:widowControl/>
        <w:adjustRightInd w:val="0"/>
        <w:spacing w:line="460" w:lineRule="exact"/>
        <w:ind w:firstLine="480" w:firstLineChars="200"/>
        <w:rPr>
          <w:rFonts w:hint="eastAsia" w:ascii="宋体" w:hAnsi="宋体" w:cs="宋体"/>
          <w:bCs/>
          <w:kern w:val="0"/>
          <w:sz w:val="24"/>
          <w:szCs w:val="24"/>
          <w:lang w:bidi="ar"/>
        </w:rPr>
      </w:pPr>
      <w:r>
        <w:rPr>
          <w:rFonts w:hint="eastAsia" w:ascii="宋体" w:hAnsi="宋体" w:cs="宋体"/>
          <w:bCs/>
          <w:kern w:val="0"/>
          <w:sz w:val="24"/>
          <w:szCs w:val="24"/>
          <w:lang w:bidi="ar"/>
        </w:rPr>
        <w:t>(1)每周开展直播带岗活动不少于2场，每场直播推介优质企业不少于5家，推送有效岗位不少于60个，单场直播观看量不低于1000人次。</w:t>
      </w:r>
    </w:p>
    <w:p w14:paraId="1B9EFC56">
      <w:pPr>
        <w:widowControl/>
        <w:adjustRightInd w:val="0"/>
        <w:spacing w:line="460" w:lineRule="exact"/>
        <w:ind w:firstLine="480" w:firstLineChars="200"/>
        <w:rPr>
          <w:rFonts w:hint="eastAsia" w:ascii="宋体" w:hAnsi="宋体" w:cs="宋体"/>
          <w:bCs/>
          <w:kern w:val="0"/>
          <w:sz w:val="24"/>
          <w:szCs w:val="24"/>
          <w:lang w:bidi="ar"/>
        </w:rPr>
      </w:pPr>
      <w:r>
        <w:rPr>
          <w:rFonts w:hint="eastAsia" w:ascii="宋体" w:hAnsi="宋体" w:cs="宋体"/>
          <w:bCs/>
          <w:kern w:val="0"/>
          <w:sz w:val="24"/>
          <w:szCs w:val="24"/>
          <w:lang w:bidi="ar"/>
        </w:rPr>
        <w:t>(2)建立直播带岗全流程台账，包括企业资质审核材料、岗位信息、直播数据、求职对接记录、回访情况等，台账按月报送采购方备案。</w:t>
      </w:r>
    </w:p>
    <w:p w14:paraId="2AC94399">
      <w:pPr>
        <w:widowControl/>
        <w:adjustRightInd w:val="0"/>
        <w:spacing w:line="460" w:lineRule="exact"/>
        <w:ind w:firstLine="480" w:firstLineChars="200"/>
        <w:rPr>
          <w:rFonts w:hint="eastAsia" w:ascii="宋体" w:hAnsi="宋体" w:cs="宋体"/>
          <w:sz w:val="24"/>
          <w:szCs w:val="24"/>
        </w:rPr>
      </w:pPr>
      <w:r>
        <w:rPr>
          <w:rFonts w:hint="eastAsia" w:ascii="宋体" w:hAnsi="宋体" w:cs="宋体"/>
          <w:kern w:val="0"/>
          <w:sz w:val="24"/>
          <w:szCs w:val="24"/>
          <w:lang w:bidi="ar"/>
        </w:rPr>
        <w:t>(3)严格遵守网络直播相关法律法规及平台管理规定，落实网络安全、信息安全管理责任，确保直播过程合规可控，实现信息泄露、篡改等安全事件零发生。</w:t>
      </w:r>
    </w:p>
    <w:p w14:paraId="3BC37DA3">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8、来访接待服务</w:t>
      </w:r>
    </w:p>
    <w:p w14:paraId="08FD526E">
      <w:pPr>
        <w:widowControl/>
        <w:adjustRightInd w:val="0"/>
        <w:spacing w:line="460" w:lineRule="exact"/>
        <w:ind w:firstLine="480" w:firstLineChars="200"/>
        <w:rPr>
          <w:rFonts w:hint="eastAsia" w:ascii="宋体" w:hAnsi="宋体" w:cs="宋体"/>
          <w:kern w:val="0"/>
          <w:sz w:val="24"/>
          <w:szCs w:val="24"/>
          <w:lang w:bidi="ar"/>
        </w:rPr>
      </w:pPr>
      <w:r>
        <w:rPr>
          <w:rFonts w:hint="eastAsia" w:ascii="宋体" w:hAnsi="宋体" w:cs="宋体"/>
          <w:kern w:val="0"/>
          <w:sz w:val="24"/>
          <w:szCs w:val="24"/>
          <w:lang w:bidi="ar"/>
        </w:rPr>
        <w:t>8.1.为企业招工、城乡居民求职提供日常接待，负责接待各级相关部门参观考察就业之家的各项工作，包含接待方案制定、现场布置、展厅讲解等工作。</w:t>
      </w:r>
    </w:p>
    <w:p w14:paraId="767ABA47">
      <w:pPr>
        <w:widowControl/>
        <w:adjustRightInd w:val="0"/>
        <w:spacing w:line="460" w:lineRule="exact"/>
        <w:ind w:firstLine="480" w:firstLineChars="200"/>
        <w:rPr>
          <w:rFonts w:hint="eastAsia" w:ascii="宋体" w:hAnsi="宋体" w:cs="宋体"/>
          <w:kern w:val="0"/>
          <w:sz w:val="24"/>
          <w:szCs w:val="24"/>
          <w:lang w:bidi="ar"/>
        </w:rPr>
      </w:pPr>
      <w:r>
        <w:rPr>
          <w:rFonts w:hint="eastAsia" w:ascii="宋体" w:hAnsi="宋体" w:cs="宋体"/>
          <w:kern w:val="0"/>
          <w:sz w:val="24"/>
          <w:szCs w:val="24"/>
          <w:lang w:bidi="ar"/>
        </w:rPr>
        <w:t>8.2.提供政策宣讲及指引服务、产业对接服务，形式不限于现场接待、网上咨询、电话服务等。</w:t>
      </w:r>
    </w:p>
    <w:p w14:paraId="46507AF0">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9、日常宣传推广</w:t>
      </w:r>
    </w:p>
    <w:p w14:paraId="6FD63C99">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9.1.通过主流权威媒体（包括但不限于纸媒）、新媒体平台全维度对就业之家进行宣传，及时发布各类活动的宣传报道、政策申报信息等，每年在国家、省、市级媒体投稿宣传报道。</w:t>
      </w:r>
    </w:p>
    <w:p w14:paraId="2533DD29">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9.2.负责吸纳工业企业之外的企业入驻“5+2就业之家”平台，并做好入驻后的服务工作，指导企业发布岗位信息、动态更新。</w:t>
      </w:r>
    </w:p>
    <w:p w14:paraId="07AE635C">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9.3.每年制作5+2就业之家宣传册不少于10000份，宣传册内容不少于24P。就业创业（含高校毕业生就业政策宣传）宣传视频总时长不少于40分钟。</w:t>
      </w:r>
    </w:p>
    <w:p w14:paraId="2F8E08D3">
      <w:pPr>
        <w:pStyle w:val="4"/>
        <w:adjustRightInd w:val="0"/>
        <w:spacing w:after="0" w:line="460" w:lineRule="exact"/>
        <w:ind w:firstLine="480" w:firstLineChars="200"/>
        <w:rPr>
          <w:rFonts w:hint="eastAsia" w:ascii="宋体" w:hAnsi="宋体" w:cs="宋体"/>
          <w:sz w:val="24"/>
          <w:szCs w:val="24"/>
        </w:rPr>
      </w:pPr>
      <w:r>
        <w:rPr>
          <w:rFonts w:hint="eastAsia" w:ascii="宋体" w:hAnsi="宋体" w:cs="宋体"/>
          <w:sz w:val="24"/>
          <w:szCs w:val="24"/>
        </w:rPr>
        <w:t>9.4.12333统一咨询日宣传活动专场一场，社保卡惠民服务月宣传活动两场，其中专场一场、结合招聘会一场。</w:t>
      </w:r>
    </w:p>
    <w:p w14:paraId="75E4F9DF">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9.5.线上线下向各类创业群体就一次性创业补贴、低成本创业补贴、创业孵化基地运行费补贴、创业培训补贴等政策进行宣传，抖音直播不少于1次、时长不少于20分钟。</w:t>
      </w:r>
    </w:p>
    <w:p w14:paraId="6579AC88">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10、运营团队要求</w:t>
      </w:r>
    </w:p>
    <w:p w14:paraId="23FED822">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10.1.运营公司负责搭建整体统筹运营、活动策划、用工服务、信息技术等工作人员的团队体系。</w:t>
      </w:r>
    </w:p>
    <w:p w14:paraId="350B24D9">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10.2.运营公司资质及团队成员具体要求如下：</w:t>
      </w:r>
    </w:p>
    <w:p w14:paraId="420C86A4">
      <w:pPr>
        <w:adjustRightInd w:val="0"/>
        <w:spacing w:line="460" w:lineRule="exact"/>
        <w:ind w:firstLine="480" w:firstLineChars="200"/>
        <w:rPr>
          <w:rFonts w:ascii="宋体" w:hAnsi="宋体" w:cs="宋体"/>
          <w:sz w:val="24"/>
          <w:szCs w:val="24"/>
        </w:rPr>
      </w:pPr>
      <w:r>
        <w:rPr>
          <w:rFonts w:hint="eastAsia" w:ascii="宋体" w:hAnsi="宋体" w:cs="宋体"/>
          <w:sz w:val="24"/>
          <w:szCs w:val="24"/>
        </w:rPr>
        <w:t>运营公司团队配置包括但不限于：</w:t>
      </w:r>
    </w:p>
    <w:p w14:paraId="1C8667A4">
      <w:pPr>
        <w:numPr>
          <w:ilvl w:val="0"/>
          <w:numId w:val="1"/>
        </w:num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具备1名项目负责人，负责抚州市就业之家整体运营事宜</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3058DFFA">
      <w:pPr>
        <w:numPr>
          <w:ilvl w:val="0"/>
          <w:numId w:val="1"/>
        </w:num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具备1名宣传运营负责人，负责项目的宣传推广和活动策划事宜</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4DD64A73">
      <w:pPr>
        <w:adjustRightInd w:val="0"/>
        <w:spacing w:line="460" w:lineRule="exact"/>
        <w:ind w:firstLine="480" w:firstLineChars="200"/>
        <w:rPr>
          <w:rFonts w:hint="eastAsia" w:ascii="宋体" w:hAnsi="宋体" w:cs="宋体"/>
          <w:strike/>
          <w:sz w:val="24"/>
          <w:szCs w:val="24"/>
        </w:rPr>
      </w:pPr>
      <w:r>
        <w:rPr>
          <w:rFonts w:hint="eastAsia" w:ascii="宋体" w:hAnsi="宋体" w:cs="宋体"/>
          <w:sz w:val="24"/>
          <w:szCs w:val="24"/>
        </w:rPr>
        <w:t>（3）具备3名人力资源服务专员，负责企业用工服务事宜</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5BEFF903">
      <w:pPr>
        <w:adjustRightInd w:val="0"/>
        <w:spacing w:line="460" w:lineRule="exact"/>
        <w:ind w:firstLine="480" w:firstLineChars="200"/>
        <w:rPr>
          <w:rFonts w:hint="eastAsia" w:ascii="宋体" w:hAnsi="宋体" w:cs="宋体"/>
          <w:strike/>
          <w:sz w:val="24"/>
          <w:szCs w:val="24"/>
        </w:rPr>
      </w:pPr>
      <w:r>
        <w:rPr>
          <w:rFonts w:hint="eastAsia" w:ascii="宋体" w:hAnsi="宋体" w:cs="宋体"/>
          <w:sz w:val="24"/>
          <w:szCs w:val="24"/>
        </w:rPr>
        <w:t>（4）具备1名培训服务专员，负责培训服务事宜</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15F825D4">
      <w:pPr>
        <w:adjustRightInd w:val="0"/>
        <w:spacing w:line="460" w:lineRule="exact"/>
        <w:ind w:firstLine="480" w:firstLineChars="200"/>
        <w:rPr>
          <w:rFonts w:hint="eastAsia" w:ascii="宋体" w:hAnsi="宋体" w:cs="宋体"/>
          <w:sz w:val="24"/>
          <w:szCs w:val="24"/>
        </w:rPr>
      </w:pPr>
      <w:r>
        <w:rPr>
          <w:rFonts w:hint="eastAsia" w:ascii="宋体" w:hAnsi="宋体" w:cs="宋体"/>
          <w:sz w:val="24"/>
          <w:szCs w:val="24"/>
        </w:rPr>
        <w:t>（5）具备1名职业指导服务专员，负责职业指导事宜</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211C6B99">
      <w:pPr>
        <w:adjustRightInd w:val="0"/>
        <w:spacing w:line="460" w:lineRule="exact"/>
        <w:ind w:firstLine="480" w:firstLineChars="200"/>
        <w:rPr>
          <w:rFonts w:hint="eastAsia" w:ascii="宋体" w:hAnsi="宋体" w:eastAsia="宋体" w:cs="宋体"/>
          <w:strike/>
          <w:sz w:val="24"/>
          <w:szCs w:val="24"/>
          <w:lang w:eastAsia="zh-CN"/>
        </w:rPr>
      </w:pPr>
      <w:r>
        <w:rPr>
          <w:rFonts w:hint="eastAsia" w:ascii="宋体" w:hAnsi="宋体" w:cs="宋体"/>
          <w:sz w:val="24"/>
          <w:szCs w:val="24"/>
          <w:lang w:eastAsia="zh-CN"/>
        </w:rPr>
        <w:t>（</w:t>
      </w:r>
      <w:r>
        <w:rPr>
          <w:rFonts w:hint="eastAsia" w:ascii="宋体" w:hAnsi="宋体" w:cs="宋体"/>
          <w:sz w:val="24"/>
          <w:szCs w:val="24"/>
          <w:lang w:val="en-US" w:eastAsia="zh-CN"/>
        </w:rPr>
        <w:t>6</w:t>
      </w:r>
      <w:r>
        <w:rPr>
          <w:rFonts w:hint="eastAsia" w:ascii="宋体" w:hAnsi="宋体" w:cs="宋体"/>
          <w:sz w:val="24"/>
          <w:szCs w:val="24"/>
          <w:lang w:eastAsia="zh-CN"/>
        </w:rPr>
        <w:t>）</w:t>
      </w:r>
      <w:r>
        <w:rPr>
          <w:rFonts w:hint="eastAsia" w:ascii="宋体" w:hAnsi="宋体" w:cs="宋体"/>
          <w:sz w:val="24"/>
          <w:szCs w:val="24"/>
        </w:rPr>
        <w:t>具备1名</w:t>
      </w:r>
      <w:r>
        <w:rPr>
          <w:rFonts w:hint="eastAsia" w:ascii="宋体" w:hAnsi="宋体" w:cs="宋体"/>
          <w:sz w:val="24"/>
          <w:szCs w:val="24"/>
          <w:lang w:val="en-US" w:eastAsia="zh-CN"/>
        </w:rPr>
        <w:t>直播招聘师</w:t>
      </w:r>
      <w:r>
        <w:rPr>
          <w:rFonts w:hint="eastAsia" w:ascii="宋体" w:hAnsi="宋体" w:cs="宋体"/>
          <w:sz w:val="24"/>
          <w:szCs w:val="24"/>
        </w:rPr>
        <w:t>，完成就业服务专项岗前培训</w:t>
      </w:r>
      <w:r>
        <w:rPr>
          <w:rFonts w:hint="eastAsia" w:ascii="宋体" w:hAnsi="宋体" w:cs="宋体"/>
          <w:sz w:val="24"/>
          <w:szCs w:val="24"/>
          <w:lang w:eastAsia="zh-CN"/>
        </w:rPr>
        <w:t>，</w:t>
      </w:r>
      <w:r>
        <w:rPr>
          <w:rFonts w:hint="eastAsia" w:ascii="宋体" w:hAnsi="宋体" w:cs="宋体"/>
          <w:sz w:val="24"/>
          <w:szCs w:val="24"/>
          <w:lang w:val="en-US" w:eastAsia="zh-CN"/>
        </w:rPr>
        <w:t>具</w:t>
      </w:r>
      <w:r>
        <w:rPr>
          <w:rFonts w:hint="eastAsia" w:ascii="宋体" w:hAnsi="宋体" w:cs="宋体"/>
          <w:sz w:val="24"/>
          <w:szCs w:val="24"/>
          <w:lang w:eastAsia="zh-CN"/>
        </w:rPr>
        <w:t>有人力资源管理经验</w:t>
      </w:r>
      <w:r>
        <w:rPr>
          <w:rFonts w:hint="eastAsia" w:ascii="宋体" w:hAnsi="宋体" w:cs="宋体"/>
          <w:sz w:val="24"/>
          <w:szCs w:val="24"/>
        </w:rPr>
        <w:t>。</w:t>
      </w:r>
    </w:p>
    <w:p w14:paraId="01131E5A">
      <w:pPr>
        <w:numPr>
          <w:ilvl w:val="0"/>
          <w:numId w:val="2"/>
        </w:numPr>
        <w:spacing w:line="460" w:lineRule="exact"/>
        <w:rPr>
          <w:rFonts w:hint="eastAsia" w:ascii="宋体" w:hAnsi="宋体" w:cs="宋体"/>
          <w:sz w:val="24"/>
          <w:szCs w:val="24"/>
        </w:rPr>
      </w:pPr>
      <w:r>
        <w:rPr>
          <w:rFonts w:hint="eastAsia" w:ascii="宋体" w:hAnsi="宋体" w:cs="宋体"/>
          <w:b/>
          <w:bCs/>
          <w:sz w:val="24"/>
          <w:szCs w:val="24"/>
        </w:rPr>
        <w:t>、为满足运营要求，投标人针对本抚州市人力资源产业园运营及抚州市就业之家运营需投入的相关设备及设施包括但不限于以下：</w:t>
      </w:r>
    </w:p>
    <w:tbl>
      <w:tblPr>
        <w:tblStyle w:val="6"/>
        <w:tblW w:w="9706" w:type="dxa"/>
        <w:jc w:val="center"/>
        <w:tblLayout w:type="fixed"/>
        <w:tblCellMar>
          <w:top w:w="0" w:type="dxa"/>
          <w:left w:w="108" w:type="dxa"/>
          <w:bottom w:w="0" w:type="dxa"/>
          <w:right w:w="108" w:type="dxa"/>
        </w:tblCellMar>
      </w:tblPr>
      <w:tblGrid>
        <w:gridCol w:w="733"/>
        <w:gridCol w:w="2509"/>
        <w:gridCol w:w="4427"/>
        <w:gridCol w:w="1113"/>
        <w:gridCol w:w="924"/>
      </w:tblGrid>
      <w:tr w14:paraId="6D33DA83">
        <w:tblPrEx>
          <w:tblCellMar>
            <w:top w:w="0" w:type="dxa"/>
            <w:left w:w="108" w:type="dxa"/>
            <w:bottom w:w="0" w:type="dxa"/>
            <w:right w:w="108" w:type="dxa"/>
          </w:tblCellMar>
        </w:tblPrEx>
        <w:trPr>
          <w:trHeight w:val="360"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noWrap/>
            <w:vAlign w:val="center"/>
          </w:tcPr>
          <w:p w14:paraId="6AED2E7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序号</w:t>
            </w:r>
          </w:p>
        </w:tc>
        <w:tc>
          <w:tcPr>
            <w:tcW w:w="2509" w:type="dxa"/>
            <w:vMerge w:val="restart"/>
            <w:tcBorders>
              <w:top w:val="single" w:color="000000" w:sz="4" w:space="0"/>
              <w:left w:val="single" w:color="000000" w:sz="4" w:space="0"/>
              <w:bottom w:val="single" w:color="000000" w:sz="4" w:space="0"/>
              <w:right w:val="single" w:color="000000" w:sz="4" w:space="0"/>
            </w:tcBorders>
            <w:noWrap w:val="0"/>
            <w:vAlign w:val="center"/>
          </w:tcPr>
          <w:p w14:paraId="1966178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设备名称</w:t>
            </w:r>
          </w:p>
        </w:tc>
        <w:tc>
          <w:tcPr>
            <w:tcW w:w="4427" w:type="dxa"/>
            <w:vMerge w:val="restart"/>
            <w:tcBorders>
              <w:top w:val="single" w:color="000000" w:sz="4" w:space="0"/>
              <w:left w:val="single" w:color="000000" w:sz="4" w:space="0"/>
              <w:bottom w:val="single" w:color="000000" w:sz="4" w:space="0"/>
              <w:right w:val="single" w:color="000000" w:sz="4" w:space="0"/>
            </w:tcBorders>
            <w:noWrap w:val="0"/>
            <w:vAlign w:val="center"/>
          </w:tcPr>
          <w:p w14:paraId="78A3806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规格型号</w:t>
            </w:r>
          </w:p>
        </w:tc>
        <w:tc>
          <w:tcPr>
            <w:tcW w:w="1113" w:type="dxa"/>
            <w:vMerge w:val="restart"/>
            <w:tcBorders>
              <w:top w:val="single" w:color="000000" w:sz="4" w:space="0"/>
              <w:left w:val="single" w:color="000000" w:sz="4" w:space="0"/>
              <w:bottom w:val="single" w:color="000000" w:sz="4" w:space="0"/>
              <w:right w:val="single" w:color="000000" w:sz="4" w:space="0"/>
            </w:tcBorders>
            <w:noWrap w:val="0"/>
            <w:vAlign w:val="center"/>
          </w:tcPr>
          <w:p w14:paraId="1A4EE0B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计量单位</w:t>
            </w:r>
          </w:p>
        </w:tc>
        <w:tc>
          <w:tcPr>
            <w:tcW w:w="924" w:type="dxa"/>
            <w:vMerge w:val="restart"/>
            <w:tcBorders>
              <w:top w:val="single" w:color="000000" w:sz="4" w:space="0"/>
              <w:left w:val="single" w:color="000000" w:sz="4" w:space="0"/>
              <w:bottom w:val="single" w:color="000000" w:sz="4" w:space="0"/>
              <w:right w:val="single" w:color="000000" w:sz="4" w:space="0"/>
            </w:tcBorders>
            <w:noWrap w:val="0"/>
            <w:vAlign w:val="center"/>
          </w:tcPr>
          <w:p w14:paraId="11E1D12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数量</w:t>
            </w:r>
          </w:p>
        </w:tc>
      </w:tr>
      <w:tr w14:paraId="18B78940">
        <w:tblPrEx>
          <w:tblCellMar>
            <w:top w:w="0" w:type="dxa"/>
            <w:left w:w="108" w:type="dxa"/>
            <w:bottom w:w="0" w:type="dxa"/>
            <w:right w:w="108" w:type="dxa"/>
          </w:tblCellMar>
        </w:tblPrEx>
        <w:trPr>
          <w:trHeight w:val="360"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ign w:val="center"/>
          </w:tcPr>
          <w:p w14:paraId="10308B01">
            <w:pPr>
              <w:jc w:val="center"/>
              <w:rPr>
                <w:rFonts w:hint="eastAsia" w:ascii="宋体" w:hAnsi="宋体" w:cs="宋体"/>
                <w:color w:val="000000"/>
                <w:sz w:val="24"/>
                <w:szCs w:val="24"/>
              </w:rPr>
            </w:pPr>
          </w:p>
        </w:tc>
        <w:tc>
          <w:tcPr>
            <w:tcW w:w="250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EC8FDA">
            <w:pPr>
              <w:jc w:val="center"/>
              <w:rPr>
                <w:rFonts w:hint="eastAsia" w:ascii="宋体" w:hAnsi="宋体" w:cs="宋体"/>
                <w:color w:val="000000"/>
                <w:sz w:val="24"/>
                <w:szCs w:val="24"/>
              </w:rPr>
            </w:pPr>
          </w:p>
        </w:tc>
        <w:tc>
          <w:tcPr>
            <w:tcW w:w="442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E06D1F">
            <w:pPr>
              <w:jc w:val="center"/>
              <w:rPr>
                <w:rFonts w:hint="eastAsia" w:ascii="宋体" w:hAnsi="宋体" w:cs="宋体"/>
                <w:color w:val="000000"/>
                <w:sz w:val="24"/>
                <w:szCs w:val="24"/>
              </w:rPr>
            </w:pPr>
          </w:p>
        </w:tc>
        <w:tc>
          <w:tcPr>
            <w:tcW w:w="111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397A5E">
            <w:pPr>
              <w:jc w:val="center"/>
              <w:rPr>
                <w:rFonts w:hint="eastAsia" w:ascii="宋体" w:hAnsi="宋体" w:cs="宋体"/>
                <w:color w:val="000000"/>
                <w:sz w:val="24"/>
                <w:szCs w:val="24"/>
              </w:rPr>
            </w:pPr>
          </w:p>
        </w:tc>
        <w:tc>
          <w:tcPr>
            <w:tcW w:w="92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B914F4">
            <w:pPr>
              <w:jc w:val="center"/>
              <w:rPr>
                <w:rFonts w:hint="eastAsia" w:ascii="宋体" w:hAnsi="宋体" w:cs="宋体"/>
                <w:color w:val="000000"/>
                <w:sz w:val="24"/>
                <w:szCs w:val="24"/>
              </w:rPr>
            </w:pPr>
          </w:p>
        </w:tc>
      </w:tr>
      <w:tr w14:paraId="02699FD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CB9877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D6BB0E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电梯</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26C2BA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1050kg/1-0m/s 5/5/5</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41C5BA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15E72F0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12FF994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3D5D3F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6813F5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空调挂机</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142972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1P</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6C78182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348CA3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r>
      <w:tr w14:paraId="7CDFBB8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C0A17F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C05914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空调挂机</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196BC2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1.5P</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477D49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2146A22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30</w:t>
            </w:r>
          </w:p>
        </w:tc>
      </w:tr>
      <w:tr w14:paraId="2B68A948">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D177AE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9F709E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空调柜机</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5DFA54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3P</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86CD75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68F5CA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30</w:t>
            </w:r>
          </w:p>
        </w:tc>
      </w:tr>
      <w:tr w14:paraId="2AE8927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F5E9CB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66231A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空调柜机</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62766D1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5P</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7B5DCB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63F016A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0009965D">
        <w:tblPrEx>
          <w:tblCellMar>
            <w:top w:w="0" w:type="dxa"/>
            <w:left w:w="108" w:type="dxa"/>
            <w:bottom w:w="0" w:type="dxa"/>
            <w:right w:w="108" w:type="dxa"/>
          </w:tblCellMar>
        </w:tblPrEx>
        <w:trPr>
          <w:trHeight w:val="38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94AAFE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9C0F36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电梯间空调</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5ED110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1P</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D3A542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CCF72D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62FD36E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2EAED4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7</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4E2561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6D06389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柜子（长1200*深400*高1100mm）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3F566F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套</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607CF9D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189BFCDD">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074350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00ACF0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沙发（含茶几）</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886E61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0E780A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套</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664681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4C238034">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8D7310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9</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E050DA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会议桌椅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69BE6F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长5000*宽150*高740mm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37D1FA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套</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89D102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731A0236">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B78702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10</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5CF852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直播桌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225F243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1400*600*760mm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2B9964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E06D92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r>
      <w:tr w14:paraId="363A12E8">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DE217B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11</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9BE863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直播椅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0837002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2E4030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1CD8FD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r>
      <w:tr w14:paraId="41505D4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9F52C6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E25BBE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条桌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2A8E7C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1200*400*760mm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0DED025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7839D7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24</w:t>
            </w:r>
          </w:p>
        </w:tc>
      </w:tr>
      <w:tr w14:paraId="0B27C191">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61F568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13</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234B22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条桌弯管椅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7ABB020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740*520*540mm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0C5344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92C5D0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48</w:t>
            </w:r>
          </w:p>
        </w:tc>
      </w:tr>
      <w:tr w14:paraId="403897B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1B1662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14</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098FDD3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主席台</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0C47EC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2100*600*760mm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0124360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FF27A8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7C29760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FDBCD9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15</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1274C6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主席椅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64AB216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760*740*640mm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A6C649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970EAB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w:t>
            </w:r>
          </w:p>
        </w:tc>
      </w:tr>
      <w:tr w14:paraId="06903013">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348AB0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16</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979D85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讲台</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AF3AF3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680*480*1100mm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06FEF2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24C771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07EBE34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8789C7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17</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261DDE0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0B1D9E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2m*7.2m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8D2209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15EAD40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4A8A21B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CE7359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18</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D9797E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6C2E72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DE09CE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246CEB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20</w:t>
            </w:r>
          </w:p>
        </w:tc>
      </w:tr>
      <w:tr w14:paraId="70BF923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20FE3B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19</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E87230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直播间桌椅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62CCD5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9332CD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FE11BC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1C197A5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EC3F72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20</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B92463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E60B80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1400*1500*1100mm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1E2CD1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4FE3FF5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w:t>
            </w:r>
          </w:p>
        </w:tc>
      </w:tr>
      <w:tr w14:paraId="0AC5560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4E60DD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21</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9E5E66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29893A2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桌子1400*1500*1100mm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移动柜（40*39*57）CM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505211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5851CD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79A9FDE1">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AFEE24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22</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0E68651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2B70297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桌子1400*1500*1100mm</w:t>
            </w:r>
            <w:r>
              <w:rPr>
                <w:rFonts w:hint="eastAsia" w:ascii="宋体" w:hAnsi="宋体" w:cs="宋体"/>
                <w:color w:val="000000"/>
                <w:kern w:val="0"/>
                <w:sz w:val="24"/>
                <w:szCs w:val="24"/>
                <w:lang w:bidi="ar"/>
              </w:rPr>
              <w:br w:type="textWrapping"/>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A57D59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63DBC11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150372D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8F8666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23</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2EE5F1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接待洽谈桌（长方形）</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0233C7F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长方桌（200*80)CM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6F6CBDA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65060BB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7F5640C2">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B2975C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24</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17F48B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电子保密柜</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84B519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长900*宽420*高1850mm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2884EA1D">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129C37B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60B87ED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E3E57F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25</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39B547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人才接待室沙发茶几</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121FFE6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单人位长宽高（106*84*90）CM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长条几长宽高（68*48*55）CM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6A46B9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张</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63782F1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13</w:t>
            </w:r>
          </w:p>
        </w:tc>
      </w:tr>
      <w:tr w14:paraId="48C770F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2F1CDF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26</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30E8CAF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沙发(含茶几）</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6334814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2B4CE5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套</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4B4580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0B47D8B6">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AD2D48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27</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216A4A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5586E97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1.6*0.8</w:t>
            </w:r>
            <w:r>
              <w:rPr>
                <w:rFonts w:hint="eastAsia" w:ascii="宋体" w:hAnsi="宋体" w:cs="宋体"/>
                <w:color w:val="000000"/>
                <w:kern w:val="0"/>
                <w:sz w:val="24"/>
                <w:szCs w:val="24"/>
                <w:lang w:val="en-US" w:eastAsia="zh-CN" w:bidi="ar"/>
              </w:rPr>
              <w:t>M</w:t>
            </w:r>
            <w:r>
              <w:rPr>
                <w:rFonts w:hint="eastAsia" w:ascii="宋体" w:hAnsi="宋体" w:cs="宋体"/>
                <w:color w:val="000000"/>
                <w:kern w:val="0"/>
                <w:sz w:val="24"/>
                <w:szCs w:val="24"/>
                <w:lang w:bidi="ar"/>
              </w:rPr>
              <w:br w:type="textWrapping"/>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F41135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25CFB5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02C9E0D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173556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28</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20A723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5F4534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384A24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3EAD62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52EED1DC">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5F197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29</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25002A2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C58A72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1.58M（5CM海绵＋2CM椰棕）</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AE4B67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3DEE03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12848712">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E14941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30</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84F8D0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白色长桌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7907288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5E35F5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2325008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27</w:t>
            </w:r>
          </w:p>
        </w:tc>
      </w:tr>
      <w:tr w14:paraId="5F41DC9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F12A9F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31</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F17EAC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椅子</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7F749B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8ADBD5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44B5A8B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54</w:t>
            </w:r>
          </w:p>
        </w:tc>
      </w:tr>
      <w:tr w14:paraId="48BAD85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4A65DE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32</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1399FC2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桌布</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9C5410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DF95E6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张</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1E0C2D2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27</w:t>
            </w:r>
          </w:p>
        </w:tc>
      </w:tr>
      <w:tr w14:paraId="3827F751">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4C02D0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33</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0035B00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演讲台</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0BC844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69B606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12C737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3687151C">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908DA5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34</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3237830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文件柜</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4A4E23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800*400*1800mm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D5A847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D7EC76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11</w:t>
            </w:r>
          </w:p>
        </w:tc>
      </w:tr>
      <w:tr w14:paraId="0625EA4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C71C55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35</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B307E2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茶水柜</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43AC8B8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800*400*800mm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B09820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E0F188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r>
      <w:tr w14:paraId="4BA0257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75A6ADF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36</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F804F3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大会议桌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BEBC82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长6500mm*宽1700mm*高750mm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C7AC00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CEBD16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41A621C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1B57FF0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37</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6B6CAE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培训椅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9C4B0C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5CB275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7D86C0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64</w:t>
            </w:r>
          </w:p>
        </w:tc>
      </w:tr>
      <w:tr w14:paraId="64EE0D2C">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05D419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38</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36A5355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培训桌（含桌布）</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6F795E4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2C6520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张</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BB394D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32</w:t>
            </w:r>
          </w:p>
        </w:tc>
      </w:tr>
      <w:tr w14:paraId="5AC8A84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A3A8AC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39</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27832D3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文件柜</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2FBBAC5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850*390*1800mm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2ADEF97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7D0ADF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r>
      <w:tr w14:paraId="1C40FFC3">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6E8F33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40</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307E36C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1F48F1A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1200*600*760mm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301462E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A84E8E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r>
      <w:tr w14:paraId="04BBB339">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042F6C8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41</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653E8F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椅子</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23914F7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720*510*410mm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7E43CADC">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71681C6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20</w:t>
            </w:r>
          </w:p>
        </w:tc>
      </w:tr>
      <w:tr w14:paraId="293B8E0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4F2D3E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42</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088CCF6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办公桌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B14F51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1400*600*760mm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08F5CF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FE558E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w:t>
            </w:r>
          </w:p>
        </w:tc>
      </w:tr>
      <w:tr w14:paraId="77975DD6">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C83CC0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43</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2A72632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沙发（含茶几）</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743E008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沙发：1830*760*830mm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茶几：1200*600*450mm</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63E2722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套</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41D9A73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w:t>
            </w:r>
          </w:p>
        </w:tc>
      </w:tr>
      <w:tr w14:paraId="319B879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7395BEA">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44</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7DDD161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职工餐桌</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5149064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1EBDEE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2F5A076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w:t>
            </w:r>
          </w:p>
        </w:tc>
      </w:tr>
      <w:tr w14:paraId="3C5915FA">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62A162B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45</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67356A27">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职工餐椅</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E7680D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4878FC16">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把</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0C7BAF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48</w:t>
            </w:r>
          </w:p>
        </w:tc>
      </w:tr>
      <w:tr w14:paraId="40161B7B">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224DEF4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46</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08280D10">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房屋配套软装附着物（培训室和直播间地毯）</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7EBC795E">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17F536A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0B454F1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39B8F99F">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3C96ED3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47</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51876E79">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消控室显示器</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9B8DA7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558F2DCF">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台</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0FB6893">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5ADF5566">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4565315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48</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5D79E52">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产业园6楼楼顶金属led发光字</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01FC0B3B">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00DC0D08">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副</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3AA5AC74">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r>
      <w:tr w14:paraId="34015FA7">
        <w:tblPrEx>
          <w:tblCellMar>
            <w:top w:w="0" w:type="dxa"/>
            <w:left w:w="108" w:type="dxa"/>
            <w:bottom w:w="0" w:type="dxa"/>
            <w:right w:w="108" w:type="dxa"/>
          </w:tblCellMar>
        </w:tblPrEx>
        <w:trPr>
          <w:trHeight w:val="360" w:hRule="atLeast"/>
          <w:jc w:val="center"/>
        </w:trPr>
        <w:tc>
          <w:tcPr>
            <w:tcW w:w="733" w:type="dxa"/>
            <w:tcBorders>
              <w:top w:val="single" w:color="000000" w:sz="4" w:space="0"/>
              <w:left w:val="single" w:color="000000" w:sz="4" w:space="0"/>
              <w:bottom w:val="single" w:color="000000" w:sz="4" w:space="0"/>
              <w:right w:val="single" w:color="000000" w:sz="4" w:space="0"/>
            </w:tcBorders>
            <w:noWrap/>
            <w:vAlign w:val="center"/>
          </w:tcPr>
          <w:p w14:paraId="536C58C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49</w:t>
            </w:r>
          </w:p>
        </w:tc>
        <w:tc>
          <w:tcPr>
            <w:tcW w:w="2509" w:type="dxa"/>
            <w:tcBorders>
              <w:top w:val="single" w:color="000000" w:sz="4" w:space="0"/>
              <w:left w:val="single" w:color="000000" w:sz="4" w:space="0"/>
              <w:bottom w:val="single" w:color="000000" w:sz="4" w:space="0"/>
              <w:right w:val="single" w:color="000000" w:sz="4" w:space="0"/>
            </w:tcBorders>
            <w:noWrap/>
            <w:vAlign w:val="center"/>
          </w:tcPr>
          <w:p w14:paraId="49569D1F">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沙发</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10AA53D5">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w:t>
            </w:r>
          </w:p>
        </w:tc>
        <w:tc>
          <w:tcPr>
            <w:tcW w:w="1113" w:type="dxa"/>
            <w:tcBorders>
              <w:top w:val="single" w:color="000000" w:sz="4" w:space="0"/>
              <w:left w:val="single" w:color="000000" w:sz="4" w:space="0"/>
              <w:bottom w:val="single" w:color="000000" w:sz="4" w:space="0"/>
              <w:right w:val="single" w:color="000000" w:sz="4" w:space="0"/>
            </w:tcBorders>
            <w:noWrap/>
            <w:vAlign w:val="center"/>
          </w:tcPr>
          <w:p w14:paraId="60FED9A1">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个</w:t>
            </w:r>
          </w:p>
        </w:tc>
        <w:tc>
          <w:tcPr>
            <w:tcW w:w="924" w:type="dxa"/>
            <w:tcBorders>
              <w:top w:val="single" w:color="000000" w:sz="4" w:space="0"/>
              <w:left w:val="single" w:color="000000" w:sz="4" w:space="0"/>
              <w:bottom w:val="single" w:color="000000" w:sz="4" w:space="0"/>
              <w:right w:val="single" w:color="000000" w:sz="4" w:space="0"/>
            </w:tcBorders>
            <w:noWrap/>
            <w:vAlign w:val="center"/>
          </w:tcPr>
          <w:p w14:paraId="5ECE0CDD">
            <w:pPr>
              <w:widowControl/>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w:t>
            </w:r>
          </w:p>
        </w:tc>
      </w:tr>
    </w:tbl>
    <w:p w14:paraId="0F014292">
      <w:pPr>
        <w:spacing w:line="460" w:lineRule="exact"/>
        <w:ind w:firstLine="480" w:firstLineChars="200"/>
        <w:rPr>
          <w:rFonts w:hint="eastAsia" w:ascii="宋体" w:hAnsi="宋体" w:cs="宋体"/>
          <w:b/>
          <w:bCs/>
          <w:sz w:val="24"/>
          <w:szCs w:val="24"/>
        </w:rPr>
      </w:pPr>
      <w:r>
        <w:rPr>
          <w:rFonts w:hint="eastAsia" w:ascii="宋体" w:hAnsi="宋体" w:cs="宋体"/>
          <w:sz w:val="24"/>
          <w:szCs w:val="24"/>
        </w:rPr>
        <w:t>以上设备为最低投入要求，拟投入的设备及设施（设备及设施可为自有或者租赁等）满足或更高于以上要求。为保证采购项目顺利进行，投标人承诺以上设备需在本项目签订合同</w:t>
      </w:r>
      <w:r>
        <w:rPr>
          <w:rFonts w:hint="eastAsia" w:ascii="宋体" w:hAnsi="宋体" w:cs="宋体"/>
          <w:sz w:val="24"/>
          <w:szCs w:val="24"/>
          <w:lang w:val="en-US" w:eastAsia="zh-CN"/>
        </w:rPr>
        <w:t>生效后10日内</w:t>
      </w:r>
      <w:r>
        <w:rPr>
          <w:rFonts w:hint="eastAsia" w:ascii="宋体" w:hAnsi="宋体" w:cs="宋体"/>
          <w:sz w:val="24"/>
          <w:szCs w:val="24"/>
        </w:rPr>
        <w:t>完成进场、功能齐全在采购人指定地点能正常使用。</w:t>
      </w:r>
      <w:bookmarkStart w:id="0" w:name="_GoBack"/>
      <w:bookmarkEnd w:id="0"/>
      <w:r>
        <w:rPr>
          <w:rFonts w:hint="eastAsia" w:ascii="宋体" w:hAnsi="宋体" w:cs="宋体"/>
          <w:sz w:val="24"/>
          <w:szCs w:val="24"/>
        </w:rPr>
        <w:br w:type="page"/>
      </w:r>
      <w:r>
        <w:rPr>
          <w:rFonts w:hint="eastAsia" w:ascii="宋体" w:hAnsi="宋体" w:cs="宋体"/>
          <w:b/>
          <w:bCs/>
          <w:sz w:val="24"/>
          <w:szCs w:val="24"/>
        </w:rPr>
        <w:t>四）、抚州市人力资源产业园运营及抚州市就业之家运营考核标准：</w:t>
      </w:r>
    </w:p>
    <w:p w14:paraId="69B2D1C8">
      <w:pPr>
        <w:spacing w:line="460" w:lineRule="exact"/>
        <w:rPr>
          <w:rFonts w:hint="eastAsia" w:ascii="宋体" w:hAnsi="宋体" w:cs="宋体"/>
          <w:b/>
          <w:bCs/>
          <w:color w:val="FF0000"/>
          <w:sz w:val="24"/>
          <w:szCs w:val="24"/>
        </w:rPr>
      </w:pPr>
      <w:r>
        <w:rPr>
          <w:rFonts w:hint="eastAsia" w:ascii="宋体" w:hAnsi="宋体" w:cs="宋体"/>
          <w:b/>
          <w:bCs/>
          <w:color w:val="FF0000"/>
          <w:sz w:val="24"/>
          <w:szCs w:val="24"/>
        </w:rPr>
        <w:t>（投标人需要根据下列年度运营考核标准细化成每个季度的工作方案，在投标文件中提供抚州市人力资源产业园运营季度工作方案、抚州市就业之家运营季度工作方案加盖投标人公章，内容需包括但不限于季度工作进度及运营方法）。</w:t>
      </w:r>
    </w:p>
    <w:p w14:paraId="3C48F66A">
      <w:pPr>
        <w:spacing w:line="460" w:lineRule="exact"/>
        <w:rPr>
          <w:rFonts w:hint="eastAsia" w:ascii="宋体" w:hAnsi="宋体" w:cs="宋体"/>
          <w:sz w:val="24"/>
          <w:szCs w:val="24"/>
        </w:rPr>
      </w:pPr>
      <w:r>
        <w:rPr>
          <w:rFonts w:hint="eastAsia" w:ascii="宋体" w:hAnsi="宋体" w:cs="宋体"/>
          <w:b/>
          <w:bCs/>
          <w:sz w:val="24"/>
          <w:szCs w:val="24"/>
        </w:rPr>
        <w:t>1、抚州市人力资源产业园运营考核标准</w:t>
      </w:r>
    </w:p>
    <w:tbl>
      <w:tblPr>
        <w:tblStyle w:val="6"/>
        <w:tblW w:w="10383" w:type="dxa"/>
        <w:tblInd w:w="-4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0"/>
        <w:gridCol w:w="1234"/>
        <w:gridCol w:w="933"/>
        <w:gridCol w:w="6716"/>
      </w:tblGrid>
      <w:tr w14:paraId="41C57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noWrap w:val="0"/>
            <w:vAlign w:val="center"/>
          </w:tcPr>
          <w:p w14:paraId="25AF51A4">
            <w:pPr>
              <w:widowControl/>
              <w:spacing w:line="460" w:lineRule="exact"/>
              <w:jc w:val="center"/>
              <w:textAlignment w:val="center"/>
              <w:rPr>
                <w:rFonts w:hint="eastAsia" w:ascii="宋体" w:hAnsi="宋体" w:cs="宋体"/>
                <w:sz w:val="24"/>
                <w:szCs w:val="24"/>
              </w:rPr>
            </w:pPr>
            <w:r>
              <w:rPr>
                <w:rFonts w:hint="eastAsia" w:ascii="宋体" w:hAnsi="宋体" w:cs="宋体"/>
                <w:b/>
                <w:color w:val="000000"/>
                <w:kern w:val="0"/>
                <w:sz w:val="24"/>
                <w:szCs w:val="24"/>
                <w:lang w:bidi="ar"/>
              </w:rPr>
              <w:t>考核项目</w:t>
            </w:r>
          </w:p>
        </w:tc>
        <w:tc>
          <w:tcPr>
            <w:tcW w:w="750" w:type="dxa"/>
            <w:noWrap w:val="0"/>
            <w:vAlign w:val="center"/>
          </w:tcPr>
          <w:p w14:paraId="34C826DD">
            <w:pPr>
              <w:widowControl/>
              <w:spacing w:line="460" w:lineRule="exact"/>
              <w:jc w:val="center"/>
              <w:textAlignment w:val="center"/>
              <w:rPr>
                <w:rFonts w:hint="eastAsia" w:ascii="宋体" w:hAnsi="宋体" w:cs="宋体"/>
                <w:sz w:val="24"/>
                <w:szCs w:val="24"/>
              </w:rPr>
            </w:pPr>
            <w:r>
              <w:rPr>
                <w:rFonts w:hint="eastAsia" w:ascii="宋体" w:hAnsi="宋体" w:cs="宋体"/>
                <w:b/>
                <w:color w:val="000000"/>
                <w:kern w:val="0"/>
                <w:sz w:val="24"/>
                <w:szCs w:val="24"/>
                <w:lang w:bidi="ar"/>
              </w:rPr>
              <w:t>序号</w:t>
            </w:r>
          </w:p>
        </w:tc>
        <w:tc>
          <w:tcPr>
            <w:tcW w:w="1234" w:type="dxa"/>
            <w:noWrap w:val="0"/>
            <w:vAlign w:val="center"/>
          </w:tcPr>
          <w:p w14:paraId="7BDAD822">
            <w:pPr>
              <w:widowControl/>
              <w:spacing w:line="460" w:lineRule="exact"/>
              <w:jc w:val="center"/>
              <w:textAlignment w:val="center"/>
              <w:rPr>
                <w:rFonts w:hint="eastAsia" w:ascii="宋体" w:hAnsi="宋体" w:cs="宋体"/>
                <w:sz w:val="24"/>
                <w:szCs w:val="24"/>
              </w:rPr>
            </w:pPr>
            <w:r>
              <w:rPr>
                <w:rFonts w:hint="eastAsia" w:ascii="宋体" w:hAnsi="宋体" w:cs="宋体"/>
                <w:b/>
                <w:color w:val="000000"/>
                <w:kern w:val="0"/>
                <w:sz w:val="24"/>
                <w:szCs w:val="24"/>
                <w:lang w:bidi="ar"/>
              </w:rPr>
              <w:t>考核内容</w:t>
            </w:r>
          </w:p>
        </w:tc>
        <w:tc>
          <w:tcPr>
            <w:tcW w:w="933" w:type="dxa"/>
            <w:noWrap w:val="0"/>
            <w:vAlign w:val="center"/>
          </w:tcPr>
          <w:p w14:paraId="1CF5E70B">
            <w:pPr>
              <w:widowControl/>
              <w:spacing w:line="460" w:lineRule="exact"/>
              <w:jc w:val="center"/>
              <w:textAlignment w:val="center"/>
              <w:rPr>
                <w:rFonts w:hint="eastAsia" w:ascii="宋体" w:hAnsi="宋体" w:cs="宋体"/>
                <w:sz w:val="24"/>
                <w:szCs w:val="24"/>
              </w:rPr>
            </w:pPr>
            <w:r>
              <w:rPr>
                <w:rFonts w:hint="eastAsia" w:ascii="宋体" w:hAnsi="宋体" w:cs="宋体"/>
                <w:b/>
                <w:color w:val="000000"/>
                <w:kern w:val="0"/>
                <w:sz w:val="24"/>
                <w:szCs w:val="24"/>
                <w:lang w:bidi="ar"/>
              </w:rPr>
              <w:t>分值</w:t>
            </w:r>
          </w:p>
        </w:tc>
        <w:tc>
          <w:tcPr>
            <w:tcW w:w="6716" w:type="dxa"/>
            <w:noWrap w:val="0"/>
            <w:vAlign w:val="center"/>
          </w:tcPr>
          <w:p w14:paraId="4AC935C1">
            <w:pPr>
              <w:widowControl/>
              <w:spacing w:line="460" w:lineRule="exact"/>
              <w:jc w:val="center"/>
              <w:textAlignment w:val="center"/>
              <w:rPr>
                <w:rFonts w:hint="eastAsia" w:ascii="宋体" w:hAnsi="宋体" w:cs="宋体"/>
                <w:sz w:val="24"/>
                <w:szCs w:val="24"/>
              </w:rPr>
            </w:pPr>
            <w:r>
              <w:rPr>
                <w:rFonts w:hint="eastAsia" w:ascii="宋体" w:hAnsi="宋体" w:cs="宋体"/>
                <w:b/>
                <w:color w:val="000000"/>
                <w:kern w:val="0"/>
                <w:sz w:val="24"/>
                <w:szCs w:val="24"/>
                <w:lang w:bidi="ar"/>
              </w:rPr>
              <w:t>考核标准</w:t>
            </w:r>
          </w:p>
        </w:tc>
      </w:tr>
      <w:tr w14:paraId="7BE37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noWrap w:val="0"/>
            <w:vAlign w:val="top"/>
          </w:tcPr>
          <w:p w14:paraId="61C4E8F1">
            <w:pPr>
              <w:spacing w:line="460" w:lineRule="exact"/>
              <w:rPr>
                <w:rFonts w:hint="eastAsia" w:ascii="宋体" w:hAnsi="宋体" w:cs="宋体"/>
                <w:color w:val="000000"/>
                <w:kern w:val="0"/>
                <w:sz w:val="24"/>
                <w:szCs w:val="24"/>
                <w:lang w:bidi="ar"/>
              </w:rPr>
            </w:pPr>
          </w:p>
          <w:p w14:paraId="3097BBA4">
            <w:pPr>
              <w:spacing w:line="460" w:lineRule="exact"/>
              <w:rPr>
                <w:rFonts w:hint="eastAsia" w:ascii="宋体" w:hAnsi="宋体" w:cs="宋体"/>
                <w:color w:val="000000"/>
                <w:kern w:val="0"/>
                <w:sz w:val="24"/>
                <w:szCs w:val="24"/>
                <w:lang w:bidi="ar"/>
              </w:rPr>
            </w:pPr>
          </w:p>
          <w:p w14:paraId="0F4F1EB9">
            <w:pPr>
              <w:spacing w:line="460" w:lineRule="exact"/>
              <w:rPr>
                <w:rFonts w:hint="eastAsia" w:ascii="宋体" w:hAnsi="宋体" w:cs="宋体"/>
                <w:color w:val="000000"/>
                <w:kern w:val="0"/>
                <w:sz w:val="24"/>
                <w:szCs w:val="24"/>
                <w:lang w:bidi="ar"/>
              </w:rPr>
            </w:pPr>
          </w:p>
          <w:p w14:paraId="45E955E8">
            <w:pPr>
              <w:spacing w:line="460" w:lineRule="exact"/>
              <w:rPr>
                <w:rFonts w:hint="eastAsia" w:ascii="宋体" w:hAnsi="宋体" w:cs="宋体"/>
                <w:color w:val="000000"/>
                <w:kern w:val="0"/>
                <w:sz w:val="24"/>
                <w:szCs w:val="24"/>
                <w:lang w:bidi="ar"/>
              </w:rPr>
            </w:pPr>
          </w:p>
          <w:p w14:paraId="166F58E2">
            <w:pPr>
              <w:spacing w:line="460" w:lineRule="exact"/>
              <w:rPr>
                <w:rFonts w:hint="eastAsia" w:ascii="宋体" w:hAnsi="宋体" w:cs="宋体"/>
                <w:color w:val="000000"/>
                <w:kern w:val="0"/>
                <w:sz w:val="24"/>
                <w:szCs w:val="24"/>
                <w:lang w:bidi="ar"/>
              </w:rPr>
            </w:pPr>
          </w:p>
          <w:p w14:paraId="6BF102DB">
            <w:pPr>
              <w:spacing w:line="460" w:lineRule="exact"/>
              <w:rPr>
                <w:rFonts w:hint="eastAsia" w:ascii="宋体" w:hAnsi="宋体" w:cs="宋体"/>
                <w:color w:val="000000"/>
                <w:kern w:val="0"/>
                <w:sz w:val="24"/>
                <w:szCs w:val="24"/>
                <w:lang w:bidi="ar"/>
              </w:rPr>
            </w:pPr>
          </w:p>
          <w:p w14:paraId="502D5178">
            <w:pPr>
              <w:spacing w:line="460" w:lineRule="exact"/>
              <w:rPr>
                <w:rFonts w:hint="eastAsia" w:ascii="宋体" w:hAnsi="宋体" w:cs="宋体"/>
                <w:color w:val="000000"/>
                <w:kern w:val="0"/>
                <w:sz w:val="24"/>
                <w:szCs w:val="24"/>
                <w:lang w:bidi="ar"/>
              </w:rPr>
            </w:pPr>
          </w:p>
          <w:p w14:paraId="119829E6">
            <w:pPr>
              <w:spacing w:line="460" w:lineRule="exact"/>
              <w:rPr>
                <w:rFonts w:hint="eastAsia" w:ascii="宋体" w:hAnsi="宋体" w:cs="宋体"/>
                <w:color w:val="000000"/>
                <w:kern w:val="0"/>
                <w:sz w:val="24"/>
                <w:szCs w:val="24"/>
                <w:lang w:bidi="ar"/>
              </w:rPr>
            </w:pPr>
          </w:p>
          <w:p w14:paraId="42DDE060">
            <w:pPr>
              <w:spacing w:line="460" w:lineRule="exact"/>
              <w:rPr>
                <w:rFonts w:hint="eastAsia" w:ascii="宋体" w:hAnsi="宋体" w:cs="宋体"/>
                <w:color w:val="000000"/>
                <w:kern w:val="0"/>
                <w:sz w:val="24"/>
                <w:szCs w:val="24"/>
                <w:lang w:bidi="ar"/>
              </w:rPr>
            </w:pPr>
          </w:p>
          <w:p w14:paraId="40FD9D92">
            <w:pPr>
              <w:spacing w:line="460" w:lineRule="exact"/>
              <w:rPr>
                <w:rFonts w:hint="eastAsia" w:ascii="宋体" w:hAnsi="宋体" w:cs="宋体"/>
                <w:color w:val="000000"/>
                <w:kern w:val="0"/>
                <w:sz w:val="24"/>
                <w:szCs w:val="24"/>
                <w:lang w:bidi="ar"/>
              </w:rPr>
            </w:pPr>
          </w:p>
          <w:p w14:paraId="18F92BED">
            <w:pPr>
              <w:spacing w:line="460" w:lineRule="exact"/>
              <w:rPr>
                <w:rFonts w:hint="eastAsia" w:ascii="宋体" w:hAnsi="宋体" w:cs="宋体"/>
                <w:color w:val="000000"/>
                <w:kern w:val="0"/>
                <w:sz w:val="24"/>
                <w:szCs w:val="24"/>
                <w:lang w:bidi="ar"/>
              </w:rPr>
            </w:pPr>
          </w:p>
          <w:p w14:paraId="2FA66688">
            <w:pPr>
              <w:spacing w:line="460" w:lineRule="exact"/>
              <w:rPr>
                <w:rFonts w:hint="eastAsia" w:ascii="宋体" w:hAnsi="宋体" w:cs="宋体"/>
                <w:sz w:val="24"/>
                <w:szCs w:val="24"/>
              </w:rPr>
            </w:pPr>
            <w:r>
              <w:rPr>
                <w:rFonts w:hint="eastAsia" w:ascii="宋体" w:hAnsi="宋体" w:cs="宋体"/>
                <w:color w:val="000000"/>
                <w:kern w:val="0"/>
                <w:sz w:val="24"/>
                <w:szCs w:val="24"/>
                <w:lang w:bidi="ar"/>
              </w:rPr>
              <w:t>日常运营</w:t>
            </w:r>
          </w:p>
        </w:tc>
        <w:tc>
          <w:tcPr>
            <w:tcW w:w="750" w:type="dxa"/>
            <w:noWrap w:val="0"/>
            <w:vAlign w:val="center"/>
          </w:tcPr>
          <w:p w14:paraId="6F8B4385">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1</w:t>
            </w:r>
          </w:p>
        </w:tc>
        <w:tc>
          <w:tcPr>
            <w:tcW w:w="1234" w:type="dxa"/>
            <w:noWrap w:val="0"/>
            <w:vAlign w:val="center"/>
          </w:tcPr>
          <w:p w14:paraId="2681A6B5">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人员配置</w:t>
            </w:r>
          </w:p>
        </w:tc>
        <w:tc>
          <w:tcPr>
            <w:tcW w:w="933" w:type="dxa"/>
            <w:noWrap w:val="0"/>
            <w:vAlign w:val="center"/>
          </w:tcPr>
          <w:p w14:paraId="3DE92506">
            <w:pPr>
              <w:spacing w:line="460" w:lineRule="exact"/>
              <w:jc w:val="center"/>
              <w:rPr>
                <w:rFonts w:ascii="宋体" w:hAnsi="宋体" w:cs="宋体"/>
                <w:sz w:val="24"/>
                <w:szCs w:val="24"/>
              </w:rPr>
            </w:pPr>
            <w:r>
              <w:rPr>
                <w:rFonts w:hint="eastAsia" w:ascii="宋体" w:hAnsi="宋体" w:cs="宋体"/>
                <w:sz w:val="24"/>
                <w:szCs w:val="24"/>
              </w:rPr>
              <w:t>16</w:t>
            </w:r>
          </w:p>
        </w:tc>
        <w:tc>
          <w:tcPr>
            <w:tcW w:w="6716" w:type="dxa"/>
            <w:noWrap w:val="0"/>
            <w:vAlign w:val="top"/>
          </w:tcPr>
          <w:p w14:paraId="051BA66C">
            <w:pPr>
              <w:spacing w:before="120" w:after="120" w:line="460" w:lineRule="exact"/>
              <w:jc w:val="left"/>
              <w:rPr>
                <w:rFonts w:hint="eastAsia" w:ascii="宋体" w:hAnsi="宋体" w:cs="宋体"/>
                <w:sz w:val="24"/>
                <w:szCs w:val="24"/>
              </w:rPr>
            </w:pPr>
            <w:r>
              <w:rPr>
                <w:rFonts w:hint="eastAsia" w:ascii="宋体" w:hAnsi="宋体" w:cs="宋体"/>
                <w:sz w:val="24"/>
                <w:szCs w:val="24"/>
              </w:rPr>
              <w:t>是否按运营方案要求配备足额工作人员，人员资质、专业能力是否岗位需求情况，岗位职责情况、分工情况；无缺岗、漏岗情况，人员稳定性情况进行打分。</w:t>
            </w:r>
          </w:p>
        </w:tc>
      </w:tr>
      <w:tr w14:paraId="42656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41C4A9B7">
            <w:pPr>
              <w:spacing w:line="460" w:lineRule="exact"/>
              <w:rPr>
                <w:rFonts w:hint="eastAsia" w:ascii="宋体" w:hAnsi="宋体" w:cs="宋体"/>
                <w:sz w:val="24"/>
                <w:szCs w:val="24"/>
              </w:rPr>
            </w:pPr>
          </w:p>
        </w:tc>
        <w:tc>
          <w:tcPr>
            <w:tcW w:w="750" w:type="dxa"/>
            <w:noWrap w:val="0"/>
            <w:vAlign w:val="center"/>
          </w:tcPr>
          <w:p w14:paraId="0075BA85">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2</w:t>
            </w:r>
          </w:p>
        </w:tc>
        <w:tc>
          <w:tcPr>
            <w:tcW w:w="1234" w:type="dxa"/>
            <w:noWrap w:val="0"/>
            <w:vAlign w:val="center"/>
          </w:tcPr>
          <w:p w14:paraId="2FA88C60">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日常基础运营服务</w:t>
            </w:r>
          </w:p>
        </w:tc>
        <w:tc>
          <w:tcPr>
            <w:tcW w:w="933" w:type="dxa"/>
            <w:noWrap w:val="0"/>
            <w:vAlign w:val="center"/>
          </w:tcPr>
          <w:p w14:paraId="50B26CD7">
            <w:pPr>
              <w:spacing w:line="460" w:lineRule="exact"/>
              <w:jc w:val="center"/>
              <w:rPr>
                <w:rFonts w:ascii="宋体" w:hAnsi="宋体" w:cs="宋体"/>
                <w:sz w:val="24"/>
                <w:szCs w:val="24"/>
              </w:rPr>
            </w:pPr>
            <w:r>
              <w:rPr>
                <w:rFonts w:hint="eastAsia" w:ascii="宋体" w:hAnsi="宋体" w:cs="宋体"/>
                <w:sz w:val="24"/>
                <w:szCs w:val="24"/>
              </w:rPr>
              <w:t>16</w:t>
            </w:r>
          </w:p>
        </w:tc>
        <w:tc>
          <w:tcPr>
            <w:tcW w:w="6716" w:type="dxa"/>
            <w:noWrap w:val="0"/>
            <w:vAlign w:val="top"/>
          </w:tcPr>
          <w:p w14:paraId="0F1DA88E">
            <w:pPr>
              <w:spacing w:before="120" w:after="120" w:line="460" w:lineRule="exact"/>
              <w:jc w:val="left"/>
              <w:rPr>
                <w:rFonts w:hint="eastAsia" w:ascii="宋体" w:hAnsi="宋体" w:cs="宋体"/>
                <w:sz w:val="24"/>
                <w:szCs w:val="24"/>
              </w:rPr>
            </w:pPr>
            <w:r>
              <w:rPr>
                <w:rFonts w:hint="eastAsia" w:ascii="宋体" w:hAnsi="宋体" w:cs="宋体"/>
                <w:sz w:val="24"/>
                <w:szCs w:val="24"/>
              </w:rPr>
              <w:t>是否严格按照</w:t>
            </w:r>
            <w:r>
              <w:rPr>
                <w:rFonts w:hint="eastAsia" w:ascii="宋体" w:hAnsi="宋体" w:cs="宋体"/>
                <w:sz w:val="24"/>
                <w:lang w:val="en-US" w:eastAsia="zh-CN"/>
              </w:rPr>
              <w:t>采购人</w:t>
            </w:r>
            <w:r>
              <w:rPr>
                <w:rFonts w:hint="eastAsia" w:ascii="宋体" w:hAnsi="宋体" w:cs="宋体"/>
                <w:sz w:val="24"/>
                <w:szCs w:val="24"/>
              </w:rPr>
              <w:t>运营需求开展日常运营工作情况，是否做好运营台账记录、相关数据统计上报情况，响应及时情况；是否主动对接相关部门，是否妥善处理各类日常运营诉求，服务满意度情况进行打分。</w:t>
            </w:r>
          </w:p>
        </w:tc>
      </w:tr>
      <w:tr w14:paraId="224E8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49F01981">
            <w:pPr>
              <w:spacing w:line="460" w:lineRule="exact"/>
              <w:rPr>
                <w:rFonts w:hint="eastAsia" w:ascii="宋体" w:hAnsi="宋体" w:cs="宋体"/>
                <w:sz w:val="24"/>
                <w:szCs w:val="24"/>
              </w:rPr>
            </w:pPr>
          </w:p>
        </w:tc>
        <w:tc>
          <w:tcPr>
            <w:tcW w:w="750" w:type="dxa"/>
            <w:noWrap w:val="0"/>
            <w:vAlign w:val="center"/>
          </w:tcPr>
          <w:p w14:paraId="49381A03">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3</w:t>
            </w:r>
          </w:p>
        </w:tc>
        <w:tc>
          <w:tcPr>
            <w:tcW w:w="1234" w:type="dxa"/>
            <w:noWrap w:val="0"/>
            <w:vAlign w:val="center"/>
          </w:tcPr>
          <w:p w14:paraId="20AD0484">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保洁服务</w:t>
            </w:r>
          </w:p>
        </w:tc>
        <w:tc>
          <w:tcPr>
            <w:tcW w:w="933" w:type="dxa"/>
            <w:noWrap w:val="0"/>
            <w:vAlign w:val="center"/>
          </w:tcPr>
          <w:p w14:paraId="7A52167E">
            <w:pPr>
              <w:spacing w:line="460" w:lineRule="exact"/>
              <w:jc w:val="center"/>
              <w:rPr>
                <w:rFonts w:ascii="宋体" w:hAnsi="宋体" w:cs="宋体"/>
                <w:sz w:val="24"/>
                <w:szCs w:val="24"/>
              </w:rPr>
            </w:pPr>
            <w:r>
              <w:rPr>
                <w:rFonts w:hint="eastAsia" w:ascii="宋体" w:hAnsi="宋体" w:cs="宋体"/>
                <w:sz w:val="24"/>
                <w:szCs w:val="24"/>
              </w:rPr>
              <w:t>16</w:t>
            </w:r>
          </w:p>
        </w:tc>
        <w:tc>
          <w:tcPr>
            <w:tcW w:w="6716" w:type="dxa"/>
            <w:noWrap w:val="0"/>
            <w:vAlign w:val="top"/>
          </w:tcPr>
          <w:p w14:paraId="019A91EF">
            <w:pPr>
              <w:spacing w:before="120" w:after="120" w:line="460" w:lineRule="exact"/>
              <w:jc w:val="left"/>
              <w:rPr>
                <w:rFonts w:hint="eastAsia" w:ascii="宋体" w:hAnsi="宋体" w:cs="宋体"/>
                <w:sz w:val="24"/>
                <w:szCs w:val="24"/>
              </w:rPr>
            </w:pPr>
            <w:r>
              <w:rPr>
                <w:rFonts w:hint="eastAsia" w:ascii="宋体" w:hAnsi="宋体" w:cs="宋体"/>
                <w:sz w:val="24"/>
                <w:szCs w:val="24"/>
              </w:rPr>
              <w:t>是否按照规范流程开展保洁工作，覆盖所有指定区域，是否做到环境整洁、无垃圾、无异味、无杂物；是否定期进行消毒消杀，保洁工具、物资配备齐全，保洁频次符合要求情况进行打分。</w:t>
            </w:r>
          </w:p>
        </w:tc>
      </w:tr>
      <w:tr w14:paraId="07C3F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4AB985C5">
            <w:pPr>
              <w:spacing w:line="460" w:lineRule="exact"/>
              <w:rPr>
                <w:rFonts w:hint="eastAsia" w:ascii="宋体" w:hAnsi="宋体" w:cs="宋体"/>
                <w:sz w:val="24"/>
                <w:szCs w:val="24"/>
              </w:rPr>
            </w:pPr>
          </w:p>
        </w:tc>
        <w:tc>
          <w:tcPr>
            <w:tcW w:w="750" w:type="dxa"/>
            <w:noWrap w:val="0"/>
            <w:vAlign w:val="center"/>
          </w:tcPr>
          <w:p w14:paraId="007C5608">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4</w:t>
            </w:r>
          </w:p>
        </w:tc>
        <w:tc>
          <w:tcPr>
            <w:tcW w:w="1234" w:type="dxa"/>
            <w:noWrap w:val="0"/>
            <w:vAlign w:val="center"/>
          </w:tcPr>
          <w:p w14:paraId="2969103B">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保安服务</w:t>
            </w:r>
          </w:p>
        </w:tc>
        <w:tc>
          <w:tcPr>
            <w:tcW w:w="933" w:type="dxa"/>
            <w:noWrap w:val="0"/>
            <w:vAlign w:val="center"/>
          </w:tcPr>
          <w:p w14:paraId="3FAFF723">
            <w:pPr>
              <w:spacing w:line="460" w:lineRule="exact"/>
              <w:jc w:val="center"/>
              <w:rPr>
                <w:rFonts w:ascii="宋体" w:hAnsi="宋体" w:cs="宋体"/>
                <w:sz w:val="24"/>
                <w:szCs w:val="24"/>
              </w:rPr>
            </w:pPr>
            <w:r>
              <w:rPr>
                <w:rFonts w:hint="eastAsia" w:ascii="宋体" w:hAnsi="宋体" w:cs="宋体"/>
                <w:sz w:val="24"/>
                <w:szCs w:val="24"/>
              </w:rPr>
              <w:t>16</w:t>
            </w:r>
          </w:p>
        </w:tc>
        <w:tc>
          <w:tcPr>
            <w:tcW w:w="6716" w:type="dxa"/>
            <w:noWrap w:val="0"/>
            <w:vAlign w:val="top"/>
          </w:tcPr>
          <w:p w14:paraId="64E21DB0">
            <w:pPr>
              <w:spacing w:before="120" w:after="120" w:line="460" w:lineRule="exact"/>
              <w:jc w:val="left"/>
              <w:rPr>
                <w:rFonts w:hint="eastAsia" w:ascii="宋体" w:hAnsi="宋体" w:cs="宋体"/>
                <w:sz w:val="24"/>
                <w:szCs w:val="24"/>
              </w:rPr>
            </w:pPr>
            <w:r>
              <w:rPr>
                <w:rFonts w:hint="eastAsia" w:ascii="宋体" w:hAnsi="宋体" w:cs="宋体"/>
                <w:sz w:val="24"/>
                <w:szCs w:val="24"/>
              </w:rPr>
              <w:t>配备保安人员情况，实行24小时值守制度情况；及时排查安全隐患情况，妥善处置突发安全事件情况，保障区域内人员、财产安全情况进行打分。</w:t>
            </w:r>
          </w:p>
        </w:tc>
      </w:tr>
      <w:tr w14:paraId="28ECD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5B7E3F47">
            <w:pPr>
              <w:spacing w:line="460" w:lineRule="exact"/>
              <w:rPr>
                <w:rFonts w:hint="eastAsia" w:ascii="宋体" w:hAnsi="宋体" w:cs="宋体"/>
                <w:sz w:val="24"/>
                <w:szCs w:val="24"/>
              </w:rPr>
            </w:pPr>
          </w:p>
        </w:tc>
        <w:tc>
          <w:tcPr>
            <w:tcW w:w="750" w:type="dxa"/>
            <w:noWrap w:val="0"/>
            <w:vAlign w:val="center"/>
          </w:tcPr>
          <w:p w14:paraId="05601709">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5</w:t>
            </w:r>
          </w:p>
        </w:tc>
        <w:tc>
          <w:tcPr>
            <w:tcW w:w="1234" w:type="dxa"/>
            <w:noWrap w:val="0"/>
            <w:vAlign w:val="center"/>
          </w:tcPr>
          <w:p w14:paraId="590765FA">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设备设施</w:t>
            </w:r>
          </w:p>
          <w:p w14:paraId="1553AB85">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日常维修维护</w:t>
            </w:r>
          </w:p>
        </w:tc>
        <w:tc>
          <w:tcPr>
            <w:tcW w:w="933" w:type="dxa"/>
            <w:noWrap w:val="0"/>
            <w:vAlign w:val="center"/>
          </w:tcPr>
          <w:p w14:paraId="21A58030">
            <w:pPr>
              <w:spacing w:line="460" w:lineRule="exact"/>
              <w:jc w:val="center"/>
              <w:rPr>
                <w:rFonts w:ascii="宋体" w:hAnsi="宋体" w:cs="宋体"/>
                <w:sz w:val="24"/>
                <w:szCs w:val="24"/>
              </w:rPr>
            </w:pPr>
            <w:r>
              <w:rPr>
                <w:rFonts w:hint="eastAsia" w:ascii="宋体" w:hAnsi="宋体" w:cs="宋体"/>
                <w:sz w:val="24"/>
                <w:szCs w:val="24"/>
              </w:rPr>
              <w:t>16</w:t>
            </w:r>
          </w:p>
        </w:tc>
        <w:tc>
          <w:tcPr>
            <w:tcW w:w="6716" w:type="dxa"/>
            <w:noWrap w:val="0"/>
            <w:vAlign w:val="top"/>
          </w:tcPr>
          <w:p w14:paraId="44AA76D2">
            <w:pPr>
              <w:spacing w:before="120" w:after="120" w:line="460" w:lineRule="exact"/>
              <w:jc w:val="left"/>
              <w:rPr>
                <w:rFonts w:hint="eastAsia" w:ascii="宋体" w:hAnsi="宋体" w:cs="宋体"/>
                <w:sz w:val="24"/>
                <w:szCs w:val="24"/>
              </w:rPr>
            </w:pPr>
            <w:r>
              <w:rPr>
                <w:rFonts w:hint="eastAsia" w:ascii="宋体" w:hAnsi="宋体" w:cs="宋体"/>
                <w:sz w:val="24"/>
                <w:szCs w:val="24"/>
              </w:rPr>
              <w:t>建立设备设施台账情况，定期对各类运营设备、基础设施进行检查、维护和保养情况；接到维修诉求后是否及时响应，维修及时率情况、合格率达标情况，杜绝因设备故障影响正常运营情况进行打分。</w:t>
            </w:r>
          </w:p>
        </w:tc>
      </w:tr>
      <w:tr w14:paraId="0F573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60EB5738">
            <w:pPr>
              <w:spacing w:line="460" w:lineRule="exact"/>
              <w:rPr>
                <w:rFonts w:hint="eastAsia" w:ascii="宋体" w:hAnsi="宋体" w:cs="宋体"/>
                <w:sz w:val="24"/>
                <w:szCs w:val="24"/>
              </w:rPr>
            </w:pPr>
          </w:p>
        </w:tc>
        <w:tc>
          <w:tcPr>
            <w:tcW w:w="750" w:type="dxa"/>
            <w:noWrap w:val="0"/>
            <w:vAlign w:val="center"/>
          </w:tcPr>
          <w:p w14:paraId="4700A699">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6</w:t>
            </w:r>
          </w:p>
        </w:tc>
        <w:tc>
          <w:tcPr>
            <w:tcW w:w="1234" w:type="dxa"/>
            <w:noWrap w:val="0"/>
            <w:vAlign w:val="center"/>
          </w:tcPr>
          <w:p w14:paraId="1349E84C">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专业讲解服务</w:t>
            </w:r>
          </w:p>
        </w:tc>
        <w:tc>
          <w:tcPr>
            <w:tcW w:w="933" w:type="dxa"/>
            <w:noWrap w:val="0"/>
            <w:vAlign w:val="center"/>
          </w:tcPr>
          <w:p w14:paraId="76A5E4E2">
            <w:pPr>
              <w:spacing w:line="460" w:lineRule="exact"/>
              <w:jc w:val="center"/>
              <w:rPr>
                <w:rFonts w:ascii="宋体" w:hAnsi="宋体" w:cs="宋体"/>
                <w:sz w:val="24"/>
                <w:szCs w:val="24"/>
              </w:rPr>
            </w:pPr>
            <w:r>
              <w:rPr>
                <w:rFonts w:hint="eastAsia" w:ascii="宋体" w:hAnsi="宋体" w:cs="宋体"/>
                <w:sz w:val="24"/>
                <w:szCs w:val="24"/>
              </w:rPr>
              <w:t>10</w:t>
            </w:r>
          </w:p>
        </w:tc>
        <w:tc>
          <w:tcPr>
            <w:tcW w:w="6716" w:type="dxa"/>
            <w:noWrap w:val="0"/>
            <w:vAlign w:val="top"/>
          </w:tcPr>
          <w:p w14:paraId="2700A927">
            <w:pPr>
              <w:spacing w:before="120" w:after="120" w:line="460" w:lineRule="exact"/>
              <w:jc w:val="left"/>
              <w:rPr>
                <w:rFonts w:hint="eastAsia" w:ascii="宋体" w:hAnsi="宋体" w:cs="宋体"/>
                <w:sz w:val="24"/>
                <w:szCs w:val="24"/>
              </w:rPr>
            </w:pPr>
            <w:r>
              <w:rPr>
                <w:rFonts w:hint="eastAsia" w:ascii="宋体" w:hAnsi="宋体" w:cs="宋体"/>
                <w:sz w:val="24"/>
                <w:szCs w:val="24"/>
              </w:rPr>
              <w:t>配备专业讲解人员情况，讲解人员语言流畅、专业知识扎实情况，能否准确、完成讲解任务情况；讲解是否服务规范、热情周到情况，根据需求灵活调整讲解内容和节奏，讲解满意度达标情况进行打分。</w:t>
            </w:r>
          </w:p>
        </w:tc>
      </w:tr>
      <w:tr w14:paraId="5408A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noWrap w:val="0"/>
            <w:vAlign w:val="top"/>
          </w:tcPr>
          <w:p w14:paraId="387C3101">
            <w:pPr>
              <w:spacing w:line="460" w:lineRule="exact"/>
              <w:rPr>
                <w:rFonts w:hint="eastAsia" w:ascii="宋体" w:hAnsi="宋体" w:cs="宋体"/>
                <w:sz w:val="24"/>
                <w:szCs w:val="24"/>
              </w:rPr>
            </w:pPr>
          </w:p>
        </w:tc>
        <w:tc>
          <w:tcPr>
            <w:tcW w:w="750" w:type="dxa"/>
            <w:noWrap w:val="0"/>
            <w:vAlign w:val="center"/>
          </w:tcPr>
          <w:p w14:paraId="13EA6772">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7</w:t>
            </w:r>
          </w:p>
        </w:tc>
        <w:tc>
          <w:tcPr>
            <w:tcW w:w="1234" w:type="dxa"/>
            <w:noWrap w:val="0"/>
            <w:vAlign w:val="center"/>
          </w:tcPr>
          <w:p w14:paraId="7D2672EB">
            <w:pPr>
              <w:kinsoku w:val="0"/>
              <w:autoSpaceDE w:val="0"/>
              <w:autoSpaceDN w:val="0"/>
              <w:adjustRightInd w:val="0"/>
              <w:snapToGrid w:val="0"/>
              <w:spacing w:line="460" w:lineRule="exact"/>
              <w:jc w:val="center"/>
              <w:textAlignment w:val="baseline"/>
              <w:rPr>
                <w:rFonts w:hint="eastAsia" w:ascii="宋体" w:hAnsi="宋体" w:cs="宋体"/>
                <w:sz w:val="24"/>
                <w:szCs w:val="24"/>
              </w:rPr>
            </w:pPr>
            <w:r>
              <w:rPr>
                <w:rFonts w:hint="eastAsia" w:ascii="宋体" w:hAnsi="宋体" w:cs="宋体"/>
                <w:sz w:val="24"/>
                <w:szCs w:val="24"/>
              </w:rPr>
              <w:t>减分项</w:t>
            </w:r>
          </w:p>
        </w:tc>
        <w:tc>
          <w:tcPr>
            <w:tcW w:w="933" w:type="dxa"/>
            <w:noWrap w:val="0"/>
            <w:vAlign w:val="top"/>
          </w:tcPr>
          <w:p w14:paraId="526D2D2B">
            <w:pPr>
              <w:spacing w:line="460" w:lineRule="exact"/>
              <w:jc w:val="center"/>
              <w:rPr>
                <w:rFonts w:hint="eastAsia" w:ascii="宋体" w:hAnsi="宋体" w:cs="宋体"/>
                <w:sz w:val="24"/>
                <w:szCs w:val="24"/>
              </w:rPr>
            </w:pPr>
            <w:r>
              <w:rPr>
                <w:rFonts w:hint="eastAsia" w:ascii="宋体" w:hAnsi="宋体" w:cs="宋体"/>
                <w:sz w:val="24"/>
                <w:szCs w:val="24"/>
              </w:rPr>
              <w:t>一票否决</w:t>
            </w:r>
          </w:p>
        </w:tc>
        <w:tc>
          <w:tcPr>
            <w:tcW w:w="6716" w:type="dxa"/>
            <w:noWrap w:val="0"/>
            <w:vAlign w:val="top"/>
          </w:tcPr>
          <w:p w14:paraId="47FB8584">
            <w:pPr>
              <w:spacing w:before="120" w:after="120" w:line="460" w:lineRule="exact"/>
              <w:jc w:val="left"/>
              <w:rPr>
                <w:rFonts w:hint="eastAsia" w:ascii="宋体" w:hAnsi="宋体" w:cs="宋体"/>
                <w:sz w:val="24"/>
                <w:szCs w:val="24"/>
              </w:rPr>
            </w:pPr>
            <w:r>
              <w:rPr>
                <w:rFonts w:hint="eastAsia" w:ascii="宋体" w:hAnsi="宋体" w:cs="宋体"/>
                <w:sz w:val="24"/>
                <w:szCs w:val="24"/>
              </w:rPr>
              <w:t>发生安全生产事故，实行一票否决，本次运营考核直接不合格。</w:t>
            </w:r>
          </w:p>
        </w:tc>
      </w:tr>
      <w:tr w14:paraId="5E136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4" w:type="dxa"/>
            <w:gridSpan w:val="3"/>
            <w:noWrap w:val="0"/>
            <w:vAlign w:val="top"/>
          </w:tcPr>
          <w:p w14:paraId="1ED2A954">
            <w:pPr>
              <w:kinsoku w:val="0"/>
              <w:autoSpaceDE w:val="0"/>
              <w:autoSpaceDN w:val="0"/>
              <w:adjustRightInd w:val="0"/>
              <w:snapToGrid w:val="0"/>
              <w:spacing w:line="460" w:lineRule="exact"/>
              <w:jc w:val="center"/>
              <w:textAlignment w:val="baseline"/>
              <w:rPr>
                <w:rFonts w:ascii="宋体" w:hAnsi="宋体" w:cs="宋体"/>
                <w:sz w:val="24"/>
                <w:szCs w:val="24"/>
              </w:rPr>
            </w:pPr>
            <w:r>
              <w:rPr>
                <w:rFonts w:hint="eastAsia" w:ascii="宋体" w:hAnsi="宋体" w:cs="宋体"/>
                <w:sz w:val="24"/>
                <w:szCs w:val="24"/>
              </w:rPr>
              <w:t>合计</w:t>
            </w:r>
          </w:p>
        </w:tc>
        <w:tc>
          <w:tcPr>
            <w:tcW w:w="933" w:type="dxa"/>
            <w:noWrap w:val="0"/>
            <w:vAlign w:val="top"/>
          </w:tcPr>
          <w:p w14:paraId="73BFB4AD">
            <w:pPr>
              <w:spacing w:line="460" w:lineRule="exact"/>
              <w:jc w:val="center"/>
              <w:rPr>
                <w:rFonts w:ascii="宋体" w:hAnsi="宋体" w:cs="宋体"/>
                <w:sz w:val="24"/>
                <w:szCs w:val="24"/>
              </w:rPr>
            </w:pPr>
            <w:r>
              <w:rPr>
                <w:rFonts w:hint="eastAsia" w:ascii="宋体" w:hAnsi="宋体" w:cs="宋体"/>
                <w:sz w:val="24"/>
                <w:szCs w:val="24"/>
              </w:rPr>
              <w:t>100</w:t>
            </w:r>
          </w:p>
        </w:tc>
        <w:tc>
          <w:tcPr>
            <w:tcW w:w="6716" w:type="dxa"/>
            <w:noWrap w:val="0"/>
            <w:vAlign w:val="top"/>
          </w:tcPr>
          <w:p w14:paraId="3A89C343">
            <w:pPr>
              <w:spacing w:before="120" w:after="120" w:line="460" w:lineRule="exact"/>
              <w:jc w:val="left"/>
              <w:rPr>
                <w:rFonts w:hint="eastAsia" w:ascii="宋体" w:hAnsi="宋体" w:cs="宋体"/>
                <w:sz w:val="24"/>
                <w:szCs w:val="24"/>
              </w:rPr>
            </w:pPr>
          </w:p>
        </w:tc>
      </w:tr>
    </w:tbl>
    <w:p w14:paraId="0899BD52">
      <w:pPr>
        <w:spacing w:line="460" w:lineRule="exact"/>
        <w:rPr>
          <w:rFonts w:hint="eastAsia" w:ascii="宋体" w:hAnsi="宋体" w:cs="宋体"/>
          <w:b/>
          <w:bCs/>
          <w:sz w:val="24"/>
          <w:szCs w:val="24"/>
        </w:rPr>
      </w:pPr>
    </w:p>
    <w:p w14:paraId="5BC32A12">
      <w:pPr>
        <w:spacing w:line="460" w:lineRule="exact"/>
        <w:rPr>
          <w:rFonts w:hint="eastAsia" w:ascii="宋体" w:hAnsi="宋体" w:eastAsia="宋体" w:cs="宋体"/>
          <w:sz w:val="24"/>
          <w:szCs w:val="24"/>
          <w:lang w:eastAsia="zh-CN"/>
        </w:rPr>
      </w:pPr>
      <w:r>
        <w:rPr>
          <w:rFonts w:hint="eastAsia" w:ascii="宋体" w:hAnsi="宋体" w:cs="宋体"/>
          <w:b/>
          <w:bCs/>
          <w:sz w:val="24"/>
          <w:szCs w:val="24"/>
        </w:rPr>
        <w:t>抚州市就业之</w:t>
      </w:r>
      <w:r>
        <w:rPr>
          <w:rFonts w:hint="eastAsia" w:ascii="宋体" w:hAnsi="宋体" w:eastAsia="宋体" w:cs="宋体"/>
          <w:b/>
          <w:bCs/>
          <w:sz w:val="24"/>
          <w:szCs w:val="24"/>
        </w:rPr>
        <w:t>家运营考核标准</w:t>
      </w:r>
      <w:r>
        <w:rPr>
          <w:rFonts w:hint="eastAsia" w:ascii="宋体" w:hAnsi="宋体" w:eastAsia="宋体" w:cs="宋体"/>
          <w:b/>
          <w:bCs/>
          <w:sz w:val="24"/>
          <w:szCs w:val="24"/>
          <w:lang w:eastAsia="zh-CN"/>
        </w:rPr>
        <w:t>：</w:t>
      </w:r>
    </w:p>
    <w:tbl>
      <w:tblPr>
        <w:tblStyle w:val="6"/>
        <w:tblW w:w="5362" w:type="pct"/>
        <w:tblInd w:w="-455" w:type="dxa"/>
        <w:tblLayout w:type="fixed"/>
        <w:tblCellMar>
          <w:top w:w="0" w:type="dxa"/>
          <w:left w:w="108" w:type="dxa"/>
          <w:bottom w:w="0" w:type="dxa"/>
          <w:right w:w="108" w:type="dxa"/>
        </w:tblCellMar>
      </w:tblPr>
      <w:tblGrid>
        <w:gridCol w:w="646"/>
        <w:gridCol w:w="690"/>
        <w:gridCol w:w="4286"/>
        <w:gridCol w:w="687"/>
        <w:gridCol w:w="2830"/>
      </w:tblGrid>
      <w:tr w14:paraId="7DAB19FC">
        <w:trPr>
          <w:trHeight w:val="23" w:hRule="atLeast"/>
          <w:tblHeader/>
        </w:trPr>
        <w:tc>
          <w:tcPr>
            <w:tcW w:w="353" w:type="pct"/>
            <w:tcBorders>
              <w:top w:val="single" w:color="000000" w:sz="4" w:space="0"/>
              <w:left w:val="single" w:color="000000" w:sz="4" w:space="0"/>
              <w:bottom w:val="single" w:color="000000" w:sz="4" w:space="0"/>
              <w:right w:val="single" w:color="000000" w:sz="4" w:space="0"/>
            </w:tcBorders>
            <w:noWrap w:val="0"/>
            <w:vAlign w:val="center"/>
          </w:tcPr>
          <w:p w14:paraId="16757687">
            <w:pPr>
              <w:widowControl/>
              <w:spacing w:line="460" w:lineRule="exact"/>
              <w:jc w:val="center"/>
              <w:textAlignment w:val="center"/>
              <w:rPr>
                <w:rFonts w:hint="eastAsia" w:ascii="宋体" w:hAnsi="宋体" w:cs="宋体"/>
                <w:b/>
                <w:color w:val="000000"/>
                <w:sz w:val="24"/>
                <w:szCs w:val="24"/>
              </w:rPr>
            </w:pPr>
            <w:r>
              <w:rPr>
                <w:rFonts w:hint="eastAsia" w:ascii="宋体" w:hAnsi="宋体" w:cs="宋体"/>
                <w:b/>
                <w:color w:val="000000"/>
                <w:kern w:val="0"/>
                <w:sz w:val="24"/>
                <w:szCs w:val="24"/>
                <w:lang w:bidi="ar"/>
              </w:rPr>
              <w:t>考核项目</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1D3F6C55">
            <w:pPr>
              <w:widowControl/>
              <w:spacing w:line="460" w:lineRule="exact"/>
              <w:jc w:val="center"/>
              <w:textAlignment w:val="center"/>
              <w:rPr>
                <w:rFonts w:hint="eastAsia" w:ascii="宋体" w:hAnsi="宋体" w:cs="宋体"/>
                <w:b/>
                <w:color w:val="000000"/>
                <w:sz w:val="24"/>
                <w:szCs w:val="24"/>
              </w:rPr>
            </w:pPr>
            <w:r>
              <w:rPr>
                <w:rFonts w:hint="eastAsia" w:ascii="宋体" w:hAnsi="宋体" w:cs="宋体"/>
                <w:b/>
                <w:color w:val="000000"/>
                <w:kern w:val="0"/>
                <w:sz w:val="24"/>
                <w:szCs w:val="24"/>
                <w:lang w:bidi="ar"/>
              </w:rPr>
              <w:t>序号</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5DC2DC02">
            <w:pPr>
              <w:widowControl/>
              <w:spacing w:line="460" w:lineRule="exact"/>
              <w:jc w:val="center"/>
              <w:textAlignment w:val="center"/>
              <w:rPr>
                <w:rFonts w:hint="eastAsia" w:ascii="宋体" w:hAnsi="宋体" w:cs="宋体"/>
                <w:b/>
                <w:color w:val="000000"/>
                <w:sz w:val="24"/>
                <w:szCs w:val="24"/>
              </w:rPr>
            </w:pPr>
            <w:r>
              <w:rPr>
                <w:rFonts w:hint="eastAsia" w:ascii="宋体" w:hAnsi="宋体" w:cs="宋体"/>
                <w:b/>
                <w:color w:val="000000"/>
                <w:kern w:val="0"/>
                <w:sz w:val="24"/>
                <w:szCs w:val="24"/>
                <w:lang w:bidi="ar"/>
              </w:rPr>
              <w:t>考核内容</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2E45CCDA">
            <w:pPr>
              <w:widowControl/>
              <w:spacing w:line="460" w:lineRule="exact"/>
              <w:jc w:val="center"/>
              <w:textAlignment w:val="center"/>
              <w:rPr>
                <w:rFonts w:hint="eastAsia" w:ascii="宋体" w:hAnsi="宋体" w:cs="宋体"/>
                <w:b/>
                <w:color w:val="000000"/>
                <w:sz w:val="24"/>
                <w:szCs w:val="24"/>
              </w:rPr>
            </w:pPr>
            <w:r>
              <w:rPr>
                <w:rFonts w:hint="eastAsia" w:ascii="宋体" w:hAnsi="宋体" w:cs="宋体"/>
                <w:b/>
                <w:color w:val="000000"/>
                <w:kern w:val="0"/>
                <w:sz w:val="24"/>
                <w:szCs w:val="24"/>
                <w:lang w:bidi="ar"/>
              </w:rPr>
              <w:t>分值</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15530A81">
            <w:pPr>
              <w:widowControl/>
              <w:spacing w:line="460" w:lineRule="exact"/>
              <w:jc w:val="center"/>
              <w:textAlignment w:val="center"/>
              <w:rPr>
                <w:rFonts w:hint="eastAsia" w:ascii="宋体" w:hAnsi="宋体" w:cs="宋体"/>
                <w:b/>
                <w:color w:val="000000"/>
                <w:sz w:val="24"/>
                <w:szCs w:val="24"/>
              </w:rPr>
            </w:pPr>
            <w:r>
              <w:rPr>
                <w:rFonts w:hint="eastAsia" w:ascii="宋体" w:hAnsi="宋体" w:cs="宋体"/>
                <w:b/>
                <w:color w:val="000000"/>
                <w:kern w:val="0"/>
                <w:sz w:val="24"/>
                <w:szCs w:val="24"/>
                <w:lang w:bidi="ar"/>
              </w:rPr>
              <w:t>考核标准</w:t>
            </w:r>
          </w:p>
        </w:tc>
      </w:tr>
      <w:tr w14:paraId="3BD17C55">
        <w:tblPrEx>
          <w:tblCellMar>
            <w:top w:w="0" w:type="dxa"/>
            <w:left w:w="108" w:type="dxa"/>
            <w:bottom w:w="0" w:type="dxa"/>
            <w:right w:w="108" w:type="dxa"/>
          </w:tblCellMar>
        </w:tblPrEx>
        <w:trPr>
          <w:trHeight w:val="23" w:hRule="atLeast"/>
          <w:tblHeader/>
        </w:trPr>
        <w:tc>
          <w:tcPr>
            <w:tcW w:w="353" w:type="pct"/>
            <w:vMerge w:val="restart"/>
            <w:tcBorders>
              <w:top w:val="single" w:color="000000" w:sz="4" w:space="0"/>
              <w:left w:val="single" w:color="000000" w:sz="4" w:space="0"/>
              <w:bottom w:val="single" w:color="000000" w:sz="4" w:space="0"/>
              <w:right w:val="single" w:color="000000" w:sz="4" w:space="0"/>
            </w:tcBorders>
            <w:noWrap w:val="0"/>
            <w:vAlign w:val="center"/>
          </w:tcPr>
          <w:p w14:paraId="38E30C95">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日常运营</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51489335">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728A48D0">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组建不少于8人的专职运营团队，提供业务受理、经办，市就业之家平台信息更新维护等服务。</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51317D28">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16</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4909D743">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提供运营团队人员材料及每人的工作计划、工作总结等材料，每少1个人员的材料扣1分。</w:t>
            </w:r>
          </w:p>
        </w:tc>
      </w:tr>
      <w:tr w14:paraId="7ACE3DB6">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0DB231AD">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24FD3A18">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5A0AD45F">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日常招聘会每月2场，全年不少于24场，每场参加企业不少于20家（包括联合市本级就业之家日常招聘会开展就业援助“580”专场招聘活动每季不少于2次，全年不少于8场次）。全年组织不少于5场大型现场招聘活动。每场大型现场招聘活动参加企业不少于100家。</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650EBF4A">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22</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73C87B14">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提供佐证材料。日常招聘会未达到24场次的，每少 1 场扣 0.5分。大型现场招聘会未达到5场次的，每少1场扣2分。</w:t>
            </w:r>
          </w:p>
        </w:tc>
      </w:tr>
      <w:tr w14:paraId="7DD91D44">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5AD8E32F">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797966D0">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76983743">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做好市就业之家大厅的保洁和绿植服务，保障用水、用电和用网络等服务，做好市就业之家大厅桌椅板凳、空调灯具和电脑设备显示屏等的维护修缮。做好市就业之家大厅的维护修缮、消防安全，确保设备常态化正常使用。</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4ED33EF8">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7CE5FE0B">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提供保洁及维修等日志。</w:t>
            </w:r>
          </w:p>
        </w:tc>
      </w:tr>
      <w:tr w14:paraId="42F84C03">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2D56A58A">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5AC5B4DA">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131760E7">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市就业之家线上平台,新增的企业有效岗位数不少于10000个。</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7A1787AD">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30924D51">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提供平台数据佐证材料。新增的企业有效岗位数低于8000个不得分，少于7000个扣0.5分。</w:t>
            </w:r>
          </w:p>
        </w:tc>
      </w:tr>
      <w:tr w14:paraId="3383CC0D">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170FC3CA">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369620CE">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58BE89F4">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局官方网站、中心微信公众号、市就业之家抖音号的年度更新不少于150条。</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2F6B6941">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50DF8467">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提供平台数据佐证材料。年度更新次数低于100次不得分，每少50条扣0.5分。</w:t>
            </w:r>
          </w:p>
        </w:tc>
      </w:tr>
      <w:tr w14:paraId="28AEC753">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39495D1D">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4A1266FC">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1F66B2AF">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全年完成100场直播带岗 (直播带岗、直播入企、主播探厂)，平均每场直播时长不少于1小时。总场次在线观看需达到 10万人次以上。</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343E38C6">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10</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02D33946">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提供佐证材料。全年不少于100场直播，每少1场直播扣0.2分，直播时长每低于30 分钟，扣0.1分。</w:t>
            </w:r>
          </w:p>
        </w:tc>
      </w:tr>
      <w:tr w14:paraId="15718345">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380356D6">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3103EEE0">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7</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7BC04A47">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打造市就业之家零工专区</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287A4EB1">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6B239DF9">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每月做好专区内岗位信息（含政策）更新，每月收集零工岗位不少于50条，如每月未收集和动态更新岗位扣0.3分。</w:t>
            </w:r>
          </w:p>
        </w:tc>
      </w:tr>
      <w:tr w14:paraId="08DFCB82">
        <w:tblPrEx>
          <w:tblCellMar>
            <w:top w:w="0" w:type="dxa"/>
            <w:left w:w="108" w:type="dxa"/>
            <w:bottom w:w="0" w:type="dxa"/>
            <w:right w:w="108" w:type="dxa"/>
          </w:tblCellMar>
        </w:tblPrEx>
        <w:trPr>
          <w:trHeight w:val="23" w:hRule="atLeast"/>
          <w:tblHeader/>
        </w:trPr>
        <w:tc>
          <w:tcPr>
            <w:tcW w:w="353" w:type="pct"/>
            <w:vMerge w:val="restart"/>
            <w:tcBorders>
              <w:top w:val="single" w:color="000000" w:sz="4" w:space="0"/>
              <w:left w:val="single" w:color="000000" w:sz="4" w:space="0"/>
              <w:bottom w:val="single" w:color="000000" w:sz="4" w:space="0"/>
              <w:right w:val="single" w:color="000000" w:sz="4" w:space="0"/>
            </w:tcBorders>
            <w:noWrap w:val="0"/>
            <w:vAlign w:val="center"/>
          </w:tcPr>
          <w:p w14:paraId="0DBA4649">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活动组织</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3BE250FD">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02A175C3">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举办青年求职能力实训营。师资班、学员班各一期，培训周期均不短于7天，参训学员人数不少于30人/营。求职能力实训营师资班要求结业率不低于95%；求职能力实训营学员班要求参训学员结营率不低于80%，结业学员6个月内就业率不低于70%。（结营率为最终结业人数与最初参训人数之比）。</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3C27CBBB">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69045AF7">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求职能力实训营师资班（6分）、求职能力实训营学员班（6分）各1场，未开展不得分；师资班结业率不达标扣2分，学员班结营率不达标扣4分，学员班6个月内就业率不达标扣2分。</w:t>
            </w:r>
          </w:p>
        </w:tc>
      </w:tr>
      <w:tr w14:paraId="7F06173C">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32270934">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27EE2406">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9</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2907A9F9">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开展线上线下创业相关政策宣传，印发创业相关政策资料不少于3000份，创业政策抖音直播不少于1次（时长不少于20分钟）。开展创业（项目）指导、创业沙龙或创业讲座等形式的创业服务活动不少于2场，每场参与不少于30人（个项目）。邀请省、市创业导师深入创业孵化基地、园区企业或高校等地开展创业指导不少于2次。对前来咨询的服务对象进行信息登记，包括创业意向、创业需求等，并组织省、市创业导师开展“坐诊式”一对一指导不少于2次。</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7A579CE4">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3D67CB10">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印发资料少于3000份扣1分，直播时长低于20分钟扣1分。创业服务活动少于2场扣2分；参与人数少于30人/场扣1分。创业指导少于2次扣2分。“坐诊式”一对一指导少于2次扣2分。</w:t>
            </w:r>
          </w:p>
        </w:tc>
      </w:tr>
      <w:tr w14:paraId="74BCCA47">
        <w:tblPrEx>
          <w:tblCellMar>
            <w:top w:w="0" w:type="dxa"/>
            <w:left w:w="108" w:type="dxa"/>
            <w:bottom w:w="0" w:type="dxa"/>
            <w:right w:w="108" w:type="dxa"/>
          </w:tblCellMar>
        </w:tblPrEx>
        <w:trPr>
          <w:trHeight w:val="23" w:hRule="atLeast"/>
          <w:tblHeader/>
        </w:trPr>
        <w:tc>
          <w:tcPr>
            <w:tcW w:w="353" w:type="pct"/>
            <w:vMerge w:val="continue"/>
            <w:tcBorders>
              <w:top w:val="single" w:color="000000" w:sz="4" w:space="0"/>
              <w:left w:val="single" w:color="000000" w:sz="4" w:space="0"/>
              <w:bottom w:val="single" w:color="000000" w:sz="4" w:space="0"/>
              <w:right w:val="single" w:color="000000" w:sz="4" w:space="0"/>
            </w:tcBorders>
            <w:noWrap w:val="0"/>
            <w:vAlign w:val="center"/>
          </w:tcPr>
          <w:p w14:paraId="58E45926">
            <w:pPr>
              <w:widowControl/>
              <w:spacing w:line="460" w:lineRule="exact"/>
              <w:jc w:val="center"/>
              <w:rPr>
                <w:rFonts w:hint="eastAsia" w:ascii="宋体" w:hAnsi="宋体" w:cs="宋体"/>
                <w:color w:val="000000"/>
                <w:sz w:val="24"/>
                <w:szCs w:val="24"/>
              </w:rPr>
            </w:pP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5C85E465">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10</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791A4DFC">
            <w:pPr>
              <w:widowControl/>
              <w:spacing w:line="460" w:lineRule="exact"/>
              <w:jc w:val="left"/>
              <w:textAlignment w:val="center"/>
              <w:rPr>
                <w:rFonts w:hint="eastAsia" w:ascii="宋体" w:hAnsi="宋体" w:cs="宋体"/>
                <w:color w:val="000000"/>
                <w:sz w:val="24"/>
                <w:szCs w:val="24"/>
              </w:rPr>
            </w:pPr>
            <w:r>
              <w:rPr>
                <w:rStyle w:val="8"/>
                <w:sz w:val="24"/>
                <w:szCs w:val="24"/>
                <w:lang w:bidi="ar"/>
              </w:rPr>
              <w:t>开展社保卡惠民服务月和12333统一咨询日活动。两场专场活动各发送活动通知短信10万条。</w:t>
            </w:r>
            <w:r>
              <w:rPr>
                <w:rStyle w:val="9"/>
                <w:sz w:val="24"/>
                <w:szCs w:val="24"/>
                <w:lang w:bidi="ar"/>
              </w:rPr>
              <w:t xml:space="preserve"> </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20F481BE">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3</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6CD5A605">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两场活动要做好电子台账，发送短信的发票凭证佐证、专场活动开展物料制作、租赁等费用凭证及活动现场照片、视频等凭证；两场专场宣传活动省级以上新闻报道。每少一场扣1.5分。</w:t>
            </w:r>
          </w:p>
        </w:tc>
      </w:tr>
      <w:tr w14:paraId="3C873989">
        <w:tblPrEx>
          <w:tblCellMar>
            <w:top w:w="0" w:type="dxa"/>
            <w:left w:w="108" w:type="dxa"/>
            <w:bottom w:w="0" w:type="dxa"/>
            <w:right w:w="108" w:type="dxa"/>
          </w:tblCellMar>
        </w:tblPrEx>
        <w:trPr>
          <w:trHeight w:val="23" w:hRule="atLeast"/>
          <w:tblHeader/>
        </w:trPr>
        <w:tc>
          <w:tcPr>
            <w:tcW w:w="353" w:type="pct"/>
            <w:tcBorders>
              <w:top w:val="single" w:color="000000" w:sz="4" w:space="0"/>
              <w:left w:val="single" w:color="000000" w:sz="4" w:space="0"/>
              <w:bottom w:val="single" w:color="000000" w:sz="4" w:space="0"/>
              <w:right w:val="single" w:color="000000" w:sz="4" w:space="0"/>
            </w:tcBorders>
            <w:noWrap w:val="0"/>
            <w:vAlign w:val="center"/>
          </w:tcPr>
          <w:p w14:paraId="7DB963CA">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宣传推广</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051B0326">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11</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40930179">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通过主流权威媒体（包括但不限于纸媒）、新媒体平台覆盖央媒、省级、市级全维度对就业之家进行宣传，借助媒体矩阵，全方位、立体式报道，每周不少于1次以图文/视频信息流等宣传推广，其中，央媒不少于2次，省级媒体不少于12次。</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36EC6D3D">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5B37A9F0">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提供宣传佐证材料，年度宣传次数低于50次或央媒宣传少于2次、省级媒体少于12次的不得分。</w:t>
            </w:r>
          </w:p>
        </w:tc>
      </w:tr>
      <w:tr w14:paraId="1B7F1B7B">
        <w:tblPrEx>
          <w:tblCellMar>
            <w:top w:w="0" w:type="dxa"/>
            <w:left w:w="108" w:type="dxa"/>
            <w:bottom w:w="0" w:type="dxa"/>
            <w:right w:w="108" w:type="dxa"/>
          </w:tblCellMar>
        </w:tblPrEx>
        <w:trPr>
          <w:trHeight w:val="23" w:hRule="atLeast"/>
          <w:tblHeader/>
        </w:trPr>
        <w:tc>
          <w:tcPr>
            <w:tcW w:w="353" w:type="pct"/>
            <w:tcBorders>
              <w:top w:val="single" w:color="000000" w:sz="4" w:space="0"/>
              <w:left w:val="single" w:color="000000" w:sz="4" w:space="0"/>
              <w:bottom w:val="single" w:color="000000" w:sz="4" w:space="0"/>
              <w:right w:val="single" w:color="000000" w:sz="4" w:space="0"/>
            </w:tcBorders>
            <w:noWrap w:val="0"/>
            <w:vAlign w:val="center"/>
          </w:tcPr>
          <w:p w14:paraId="6411AE8F">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宣传素材</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1B853583">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12</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78F13934">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拍摄制作就业之家宣传视频不少于12条，总时长不少于40分钟，包含就业之家整体宣传视频(请专业机构制作，不少于1条，时长不少于3分钟）及阶段性工作总结回顾视频，就业之家服务内容、工作成效等视频。</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736D41AA">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8</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042E7F90">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提供宣传视频佐证材料，视频条数每少1条或总时长每少1分钟扣0.5分。</w:t>
            </w:r>
          </w:p>
        </w:tc>
      </w:tr>
      <w:tr w14:paraId="59426D92">
        <w:tblPrEx>
          <w:tblCellMar>
            <w:top w:w="0" w:type="dxa"/>
            <w:left w:w="108" w:type="dxa"/>
            <w:bottom w:w="0" w:type="dxa"/>
            <w:right w:w="108" w:type="dxa"/>
          </w:tblCellMar>
        </w:tblPrEx>
        <w:trPr>
          <w:trHeight w:val="23" w:hRule="atLeast"/>
          <w:tblHeader/>
        </w:trPr>
        <w:tc>
          <w:tcPr>
            <w:tcW w:w="353" w:type="pct"/>
            <w:tcBorders>
              <w:top w:val="single" w:color="000000" w:sz="4" w:space="0"/>
              <w:left w:val="single" w:color="000000" w:sz="4" w:space="0"/>
              <w:bottom w:val="single" w:color="000000" w:sz="4" w:space="0"/>
              <w:right w:val="single" w:color="000000" w:sz="4" w:space="0"/>
            </w:tcBorders>
            <w:noWrap w:val="0"/>
            <w:vAlign w:val="center"/>
          </w:tcPr>
          <w:p w14:paraId="68B07D72">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其他</w:t>
            </w:r>
          </w:p>
        </w:tc>
        <w:tc>
          <w:tcPr>
            <w:tcW w:w="377" w:type="pct"/>
            <w:tcBorders>
              <w:top w:val="single" w:color="000000" w:sz="4" w:space="0"/>
              <w:left w:val="single" w:color="000000" w:sz="4" w:space="0"/>
              <w:bottom w:val="single" w:color="000000" w:sz="4" w:space="0"/>
              <w:right w:val="single" w:color="000000" w:sz="4" w:space="0"/>
            </w:tcBorders>
            <w:noWrap w:val="0"/>
            <w:vAlign w:val="center"/>
          </w:tcPr>
          <w:p w14:paraId="44BD6D0E">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13</w:t>
            </w:r>
          </w:p>
        </w:tc>
        <w:tc>
          <w:tcPr>
            <w:tcW w:w="2344" w:type="pct"/>
            <w:tcBorders>
              <w:top w:val="single" w:color="000000" w:sz="4" w:space="0"/>
              <w:left w:val="single" w:color="000000" w:sz="4" w:space="0"/>
              <w:bottom w:val="single" w:color="000000" w:sz="4" w:space="0"/>
              <w:right w:val="single" w:color="000000" w:sz="4" w:space="0"/>
            </w:tcBorders>
            <w:noWrap w:val="0"/>
            <w:vAlign w:val="center"/>
          </w:tcPr>
          <w:p w14:paraId="3B4140F2">
            <w:pPr>
              <w:widowControl/>
              <w:spacing w:line="460" w:lineRule="exact"/>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完成上级交办的临时任务,有亮点且影响大的活动</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0A3DC6DF">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50FBC069">
            <w:pPr>
              <w:widowControl/>
              <w:spacing w:line="460" w:lineRule="exact"/>
              <w:rPr>
                <w:rFonts w:hint="eastAsia" w:ascii="宋体" w:hAnsi="宋体" w:cs="宋体"/>
                <w:color w:val="000000"/>
                <w:sz w:val="24"/>
                <w:szCs w:val="24"/>
              </w:rPr>
            </w:pPr>
          </w:p>
        </w:tc>
      </w:tr>
      <w:tr w14:paraId="4F3CE0D2">
        <w:tblPrEx>
          <w:tblCellMar>
            <w:top w:w="0" w:type="dxa"/>
            <w:left w:w="108" w:type="dxa"/>
            <w:bottom w:w="0" w:type="dxa"/>
            <w:right w:w="108" w:type="dxa"/>
          </w:tblCellMar>
        </w:tblPrEx>
        <w:trPr>
          <w:trHeight w:val="23" w:hRule="atLeast"/>
          <w:tblHeader/>
        </w:trPr>
        <w:tc>
          <w:tcPr>
            <w:tcW w:w="3075" w:type="pct"/>
            <w:gridSpan w:val="3"/>
            <w:tcBorders>
              <w:top w:val="single" w:color="000000" w:sz="4" w:space="0"/>
              <w:left w:val="single" w:color="000000" w:sz="4" w:space="0"/>
              <w:bottom w:val="single" w:color="000000" w:sz="4" w:space="0"/>
              <w:right w:val="single" w:color="000000" w:sz="4" w:space="0"/>
            </w:tcBorders>
            <w:noWrap w:val="0"/>
            <w:vAlign w:val="center"/>
          </w:tcPr>
          <w:p w14:paraId="505EB8B7">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合计</w:t>
            </w:r>
          </w:p>
        </w:tc>
        <w:tc>
          <w:tcPr>
            <w:tcW w:w="376" w:type="pct"/>
            <w:tcBorders>
              <w:top w:val="single" w:color="000000" w:sz="4" w:space="0"/>
              <w:left w:val="single" w:color="000000" w:sz="4" w:space="0"/>
              <w:bottom w:val="single" w:color="000000" w:sz="4" w:space="0"/>
              <w:right w:val="single" w:color="000000" w:sz="4" w:space="0"/>
            </w:tcBorders>
            <w:noWrap w:val="0"/>
            <w:vAlign w:val="center"/>
          </w:tcPr>
          <w:p w14:paraId="54F6CC60">
            <w:pPr>
              <w:widowControl/>
              <w:spacing w:line="460" w:lineRule="exac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100</w:t>
            </w:r>
          </w:p>
        </w:tc>
        <w:tc>
          <w:tcPr>
            <w:tcW w:w="1548" w:type="pct"/>
            <w:tcBorders>
              <w:top w:val="single" w:color="000000" w:sz="4" w:space="0"/>
              <w:left w:val="single" w:color="000000" w:sz="4" w:space="0"/>
              <w:bottom w:val="single" w:color="000000" w:sz="4" w:space="0"/>
              <w:right w:val="single" w:color="000000" w:sz="4" w:space="0"/>
            </w:tcBorders>
            <w:noWrap w:val="0"/>
            <w:vAlign w:val="center"/>
          </w:tcPr>
          <w:p w14:paraId="2D202FDA">
            <w:pPr>
              <w:widowControl/>
              <w:spacing w:line="460" w:lineRule="exact"/>
              <w:rPr>
                <w:rFonts w:hint="eastAsia" w:ascii="宋体" w:hAnsi="宋体" w:cs="宋体"/>
                <w:color w:val="000000"/>
                <w:sz w:val="24"/>
                <w:szCs w:val="24"/>
              </w:rPr>
            </w:pPr>
          </w:p>
        </w:tc>
      </w:tr>
    </w:tbl>
    <w:p w14:paraId="61B96BAB">
      <w:pPr>
        <w:spacing w:line="460" w:lineRule="exact"/>
        <w:rPr>
          <w:rFonts w:hint="eastAsia" w:ascii="宋体" w:hAnsi="宋体" w:cs="宋体"/>
          <w:sz w:val="24"/>
          <w:szCs w:val="24"/>
          <w:highlight w:val="yellow"/>
        </w:rPr>
      </w:pPr>
    </w:p>
    <w:p w14:paraId="5E8FC2CF">
      <w:pPr>
        <w:spacing w:line="460" w:lineRule="exact"/>
        <w:rPr>
          <w:rFonts w:hint="eastAsia" w:ascii="宋体" w:hAnsi="宋体" w:cs="宋体"/>
          <w:b/>
          <w:bCs/>
          <w:color w:val="FF0000"/>
          <w:sz w:val="24"/>
          <w:szCs w:val="24"/>
        </w:rPr>
      </w:pPr>
      <w:r>
        <w:rPr>
          <w:rFonts w:hint="eastAsia" w:ascii="宋体" w:hAnsi="宋体" w:cs="宋体"/>
          <w:b/>
          <w:bCs/>
          <w:color w:val="FF0000"/>
          <w:sz w:val="24"/>
          <w:szCs w:val="24"/>
        </w:rPr>
        <w:t xml:space="preserve">年度考核备注： </w:t>
      </w:r>
    </w:p>
    <w:p w14:paraId="12B3C5C7">
      <w:pPr>
        <w:spacing w:line="460" w:lineRule="exact"/>
        <w:rPr>
          <w:rFonts w:ascii="宋体" w:hAnsi="宋体" w:cs="宋体"/>
          <w:b/>
          <w:bCs/>
          <w:color w:val="FF0000"/>
          <w:sz w:val="24"/>
          <w:szCs w:val="24"/>
        </w:rPr>
      </w:pPr>
      <w:r>
        <w:rPr>
          <w:rFonts w:hint="eastAsia" w:ascii="宋体" w:hAnsi="宋体" w:cs="宋体"/>
          <w:b/>
          <w:bCs/>
          <w:color w:val="FF0000"/>
          <w:sz w:val="24"/>
          <w:szCs w:val="24"/>
        </w:rPr>
        <w:t>1.年度考核得分=抚州市人力资源产业园运营考核分*25%+抚州市就业之家运营考核考核分*75%；</w:t>
      </w:r>
    </w:p>
    <w:p w14:paraId="77A3C64F">
      <w:r>
        <w:rPr>
          <w:rFonts w:hint="eastAsia" w:ascii="宋体" w:hAnsi="宋体" w:cs="宋体"/>
          <w:b/>
          <w:bCs/>
          <w:color w:val="FF0000"/>
          <w:sz w:val="24"/>
          <w:szCs w:val="24"/>
        </w:rPr>
        <w:t>2.年度考核总分为100分，年度考核得分 95分（含）以上，支付全额服务费并不计息退回预付款担保函金额；年度考核得分低于95分（不含）以下，每降低 1分，扣减相应未支付服务款2万元，扣完为止；年度考评得分60分（不含）以下的（第四季度服务款不予支付，预付款保函金额不予退回）。</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81CA31"/>
    <w:multiLevelType w:val="singleLevel"/>
    <w:tmpl w:val="ED81CA31"/>
    <w:lvl w:ilvl="0" w:tentative="0">
      <w:start w:val="1"/>
      <w:numFmt w:val="decimal"/>
      <w:suff w:val="nothing"/>
      <w:lvlText w:val="（%1）"/>
      <w:lvlJc w:val="left"/>
    </w:lvl>
  </w:abstractNum>
  <w:abstractNum w:abstractNumId="1">
    <w:nsid w:val="0DEFE040"/>
    <w:multiLevelType w:val="singleLevel"/>
    <w:tmpl w:val="0DEFE040"/>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3C1056"/>
    <w:rsid w:val="645645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9"/>
    <w:pPr>
      <w:keepNext/>
      <w:keepLines/>
      <w:spacing w:before="260" w:beforeLines="0" w:after="260" w:afterLines="0" w:line="413" w:lineRule="auto"/>
      <w:outlineLvl w:val="1"/>
    </w:pPr>
    <w:rPr>
      <w:rFonts w:ascii="Arial" w:hAnsi="Arial" w:eastAsia="黑体"/>
      <w:b/>
      <w:bCs/>
      <w:sz w:val="32"/>
      <w:szCs w:val="32"/>
    </w:rPr>
  </w:style>
  <w:style w:type="paragraph" w:styleId="3">
    <w:name w:val="heading 4"/>
    <w:basedOn w:val="1"/>
    <w:next w:val="1"/>
    <w:qFormat/>
    <w:uiPriority w:val="1"/>
    <w:pPr>
      <w:ind w:left="112"/>
      <w:jc w:val="left"/>
      <w:outlineLvl w:val="3"/>
    </w:pPr>
    <w:rPr>
      <w:rFonts w:ascii="宋体" w:hAnsi="宋体" w:cs="Times New Roman"/>
      <w:kern w:val="0"/>
      <w:sz w:val="28"/>
      <w:szCs w:val="28"/>
      <w:lang w:eastAsia="en-US"/>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1"/>
    <w:pPr>
      <w:spacing w:after="120" w:afterLines="0"/>
    </w:pPr>
  </w:style>
  <w:style w:type="paragraph" w:styleId="5">
    <w:name w:val="Body Text First Indent"/>
    <w:basedOn w:val="4"/>
    <w:uiPriority w:val="0"/>
    <w:pPr>
      <w:ind w:firstLine="420" w:firstLineChars="100"/>
    </w:pPr>
  </w:style>
  <w:style w:type="character" w:customStyle="1" w:styleId="8">
    <w:name w:val="font71"/>
    <w:qFormat/>
    <w:uiPriority w:val="0"/>
    <w:rPr>
      <w:rFonts w:hint="eastAsia" w:ascii="宋体" w:hAnsi="宋体" w:eastAsia="宋体" w:cs="宋体"/>
      <w:color w:val="000000"/>
      <w:sz w:val="30"/>
      <w:szCs w:val="30"/>
      <w:u w:val="none"/>
    </w:rPr>
  </w:style>
  <w:style w:type="character" w:customStyle="1" w:styleId="9">
    <w:name w:val="font11"/>
    <w:qFormat/>
    <w:uiPriority w:val="0"/>
    <w:rPr>
      <w:rFonts w:hint="eastAsia" w:ascii="宋体" w:hAnsi="宋体" w:eastAsia="宋体" w:cs="宋体"/>
      <w:b/>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2026-07-03T06:05:00Z</dcterms:created>
  <dc:creator>69045</dc:creator>
  <cp:lastModifiedBy>panpan</cp:lastModifiedBy>
  <dcterms:modified xsi:type="dcterms:W3CDTF">2026-07-03T06:58:34Z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2F98AC72ACB842F1974A20BC0CE491E9_12</vt:lpwstr>
  </property>
</Properties>
</file>