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A71AC8">
      <w:pPr>
        <w:spacing w:line="360" w:lineRule="auto"/>
        <w:jc w:val="center"/>
        <w:rPr>
          <w:rStyle w:val="5"/>
          <w:rFonts w:hint="eastAsia" w:ascii="宋体" w:hAnsi="宋体" w:eastAsia="宋体" w:cs="宋体"/>
          <w:b/>
          <w:sz w:val="32"/>
        </w:rPr>
      </w:pPr>
      <w:r>
        <w:rPr>
          <w:rStyle w:val="5"/>
          <w:rFonts w:hint="eastAsia" w:ascii="宋体" w:hAnsi="宋体" w:eastAsia="宋体" w:cs="宋体"/>
          <w:b/>
          <w:sz w:val="32"/>
        </w:rPr>
        <w:t>技术/服务部分</w:t>
      </w:r>
    </w:p>
    <w:p w14:paraId="2ADD0934">
      <w:pPr>
        <w:spacing w:line="360" w:lineRule="auto"/>
        <w:outlineLvl w:val="1"/>
        <w:rPr>
          <w:rFonts w:hint="eastAsia" w:ascii="宋体" w:hAnsi="宋体" w:cs="宋体"/>
          <w:b/>
          <w:bCs/>
          <w:sz w:val="24"/>
          <w:szCs w:val="24"/>
        </w:rPr>
      </w:pPr>
      <w:bookmarkStart w:id="0" w:name="_Toc158018797"/>
      <w:r>
        <w:rPr>
          <w:rFonts w:hint="eastAsia" w:ascii="宋体" w:hAnsi="宋体" w:cs="宋体"/>
          <w:b/>
          <w:bCs/>
          <w:sz w:val="24"/>
          <w:szCs w:val="24"/>
        </w:rPr>
        <w:t>1、项目</w:t>
      </w:r>
      <w:bookmarkEnd w:id="0"/>
      <w:r>
        <w:rPr>
          <w:rFonts w:hint="eastAsia" w:ascii="宋体" w:hAnsi="宋体" w:cs="宋体"/>
          <w:b/>
          <w:bCs/>
          <w:sz w:val="24"/>
          <w:szCs w:val="24"/>
        </w:rPr>
        <w:t>总体要求</w:t>
      </w:r>
    </w:p>
    <w:p w14:paraId="4C0B1AD3">
      <w:pPr>
        <w:spacing w:line="360" w:lineRule="auto"/>
        <w:ind w:firstLine="480" w:firstLineChars="200"/>
        <w:rPr>
          <w:rFonts w:hint="eastAsia" w:ascii="宋体" w:hAnsi="宋体" w:cs="宋体"/>
          <w:sz w:val="24"/>
          <w:szCs w:val="24"/>
        </w:rPr>
      </w:pPr>
      <w:r>
        <w:rPr>
          <w:rFonts w:hint="eastAsia" w:ascii="宋体" w:hAnsi="宋体" w:cs="宋体"/>
          <w:sz w:val="24"/>
          <w:szCs w:val="24"/>
        </w:rPr>
        <w:t>本项目拟新建一座高铁专项三类固定监测站。项目建设完成后，将有助于加强针对铁路重点区域的监测能力，更好地掌握地区电磁频谱态势，优化配置频率资源，服务社会经济发展和国防建设，增强重大活动无线电安全保障能力，为无线电管理系统与铁路部门的协同工作提供有效支持。</w:t>
      </w:r>
    </w:p>
    <w:p w14:paraId="7D27C9E5">
      <w:pPr>
        <w:spacing w:line="360" w:lineRule="auto"/>
        <w:outlineLvl w:val="1"/>
        <w:rPr>
          <w:rFonts w:hint="eastAsia" w:ascii="宋体" w:hAnsi="宋体" w:cs="宋体"/>
          <w:b/>
          <w:bCs/>
          <w:sz w:val="24"/>
          <w:szCs w:val="24"/>
        </w:rPr>
      </w:pPr>
      <w:bookmarkStart w:id="1" w:name="_Toc158018798"/>
      <w:r>
        <w:rPr>
          <w:rFonts w:hint="eastAsia" w:ascii="宋体" w:hAnsi="宋体" w:cs="宋体"/>
          <w:b/>
          <w:bCs/>
          <w:sz w:val="24"/>
          <w:szCs w:val="24"/>
        </w:rPr>
        <w:t>2、项目</w:t>
      </w:r>
      <w:bookmarkEnd w:id="1"/>
      <w:r>
        <w:rPr>
          <w:rFonts w:hint="eastAsia" w:ascii="宋体" w:hAnsi="宋体" w:cs="宋体"/>
          <w:b/>
          <w:bCs/>
          <w:sz w:val="24"/>
          <w:szCs w:val="24"/>
        </w:rPr>
        <w:t>配置需求</w:t>
      </w:r>
    </w:p>
    <w:p w14:paraId="23D8524B">
      <w:pPr>
        <w:spacing w:line="360" w:lineRule="auto"/>
        <w:ind w:firstLine="480" w:firstLineChars="200"/>
        <w:rPr>
          <w:rFonts w:hint="eastAsia" w:ascii="宋体" w:hAnsi="宋体" w:cs="宋体"/>
          <w:sz w:val="24"/>
          <w:szCs w:val="24"/>
        </w:rPr>
      </w:pPr>
      <w:r>
        <w:rPr>
          <w:rFonts w:hint="eastAsia" w:ascii="宋体" w:hAnsi="宋体" w:cs="宋体"/>
          <w:sz w:val="24"/>
          <w:szCs w:val="24"/>
        </w:rPr>
        <w:t>本项目主要包括以下内容：</w:t>
      </w:r>
    </w:p>
    <w:tbl>
      <w:tblPr>
        <w:tblStyle w:val="3"/>
        <w:tblW w:w="500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4"/>
        <w:gridCol w:w="2272"/>
        <w:gridCol w:w="4647"/>
        <w:gridCol w:w="754"/>
      </w:tblGrid>
      <w:tr w14:paraId="021EC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1" w:type="pct"/>
            <w:noWrap w:val="0"/>
            <w:vAlign w:val="center"/>
          </w:tcPr>
          <w:p w14:paraId="08CD6099">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序号</w:t>
            </w:r>
          </w:p>
        </w:tc>
        <w:tc>
          <w:tcPr>
            <w:tcW w:w="1332" w:type="pct"/>
            <w:noWrap w:val="0"/>
            <w:vAlign w:val="center"/>
          </w:tcPr>
          <w:p w14:paraId="734E536A">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设备名称</w:t>
            </w:r>
          </w:p>
        </w:tc>
        <w:tc>
          <w:tcPr>
            <w:tcW w:w="2725" w:type="pct"/>
            <w:noWrap w:val="0"/>
            <w:vAlign w:val="center"/>
          </w:tcPr>
          <w:p w14:paraId="147202DB">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规格</w:t>
            </w:r>
          </w:p>
        </w:tc>
        <w:tc>
          <w:tcPr>
            <w:tcW w:w="442" w:type="pct"/>
            <w:noWrap w:val="0"/>
            <w:vAlign w:val="center"/>
          </w:tcPr>
          <w:p w14:paraId="0CCA22A7">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数量</w:t>
            </w:r>
          </w:p>
        </w:tc>
      </w:tr>
      <w:tr w14:paraId="11793E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8" w:type="pct"/>
            <w:gridSpan w:val="3"/>
            <w:noWrap w:val="0"/>
            <w:vAlign w:val="center"/>
          </w:tcPr>
          <w:p w14:paraId="0DD59946">
            <w:pPr>
              <w:widowControl/>
              <w:spacing w:line="360" w:lineRule="auto"/>
              <w:jc w:val="left"/>
              <w:rPr>
                <w:rFonts w:hint="eastAsia" w:ascii="宋体" w:hAnsi="宋体" w:cs="宋体"/>
                <w:color w:val="000000"/>
                <w:sz w:val="24"/>
                <w:szCs w:val="24"/>
              </w:rPr>
            </w:pPr>
            <w:r>
              <w:rPr>
                <w:rFonts w:hint="eastAsia" w:ascii="宋体" w:hAnsi="宋体" w:cs="宋体"/>
                <w:color w:val="000000"/>
                <w:sz w:val="24"/>
                <w:szCs w:val="24"/>
              </w:rPr>
              <w:t>1、监测子系统</w:t>
            </w:r>
          </w:p>
        </w:tc>
        <w:tc>
          <w:tcPr>
            <w:tcW w:w="442" w:type="pct"/>
            <w:noWrap w:val="0"/>
            <w:vAlign w:val="center"/>
          </w:tcPr>
          <w:p w14:paraId="3D93373B">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1套</w:t>
            </w:r>
          </w:p>
        </w:tc>
      </w:tr>
      <w:tr w14:paraId="1828F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1" w:type="pct"/>
            <w:noWrap w:val="0"/>
            <w:vAlign w:val="center"/>
          </w:tcPr>
          <w:p w14:paraId="6550D771">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1.1</w:t>
            </w:r>
          </w:p>
        </w:tc>
        <w:tc>
          <w:tcPr>
            <w:tcW w:w="1332" w:type="pct"/>
            <w:noWrap w:val="0"/>
            <w:vAlign w:val="center"/>
          </w:tcPr>
          <w:p w14:paraId="6E095F05">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监测接收机</w:t>
            </w:r>
          </w:p>
          <w:p w14:paraId="7709532A">
            <w:pPr>
              <w:widowControl/>
              <w:spacing w:line="360" w:lineRule="auto"/>
              <w:jc w:val="center"/>
              <w:rPr>
                <w:rFonts w:hint="eastAsia" w:ascii="宋体" w:hAnsi="宋体" w:cs="宋体"/>
                <w:color w:val="000000"/>
                <w:sz w:val="24"/>
                <w:szCs w:val="24"/>
              </w:rPr>
            </w:pPr>
            <w:r>
              <w:rPr>
                <w:rFonts w:hint="eastAsia" w:ascii="宋体" w:hAnsi="宋体" w:cs="宋体"/>
                <w:b/>
                <w:bCs/>
                <w:color w:val="000000"/>
                <w:sz w:val="24"/>
                <w:szCs w:val="24"/>
              </w:rPr>
              <w:t>（核心产品）</w:t>
            </w:r>
          </w:p>
        </w:tc>
        <w:tc>
          <w:tcPr>
            <w:tcW w:w="2725" w:type="pct"/>
            <w:noWrap w:val="0"/>
            <w:vAlign w:val="center"/>
          </w:tcPr>
          <w:p w14:paraId="00C7E16B">
            <w:pPr>
              <w:widowControl/>
              <w:spacing w:line="360" w:lineRule="auto"/>
              <w:rPr>
                <w:rFonts w:hint="eastAsia" w:ascii="宋体" w:hAnsi="宋体" w:cs="宋体"/>
                <w:color w:val="000000"/>
                <w:sz w:val="24"/>
                <w:szCs w:val="24"/>
              </w:rPr>
            </w:pPr>
            <w:r>
              <w:rPr>
                <w:rFonts w:hint="eastAsia" w:ascii="宋体" w:hAnsi="宋体" w:cs="宋体"/>
                <w:color w:val="000000"/>
                <w:sz w:val="24"/>
                <w:szCs w:val="24"/>
              </w:rPr>
              <w:t>频率范围：不低于20MHz～8GHz</w:t>
            </w:r>
          </w:p>
        </w:tc>
        <w:tc>
          <w:tcPr>
            <w:tcW w:w="442" w:type="pct"/>
            <w:noWrap w:val="0"/>
            <w:vAlign w:val="center"/>
          </w:tcPr>
          <w:p w14:paraId="51EA4BB6">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1套</w:t>
            </w:r>
          </w:p>
        </w:tc>
      </w:tr>
      <w:tr w14:paraId="31E7F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1" w:type="pct"/>
            <w:noWrap w:val="0"/>
            <w:vAlign w:val="center"/>
          </w:tcPr>
          <w:p w14:paraId="59D67C0A">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1.2</w:t>
            </w:r>
          </w:p>
        </w:tc>
        <w:tc>
          <w:tcPr>
            <w:tcW w:w="1332" w:type="pct"/>
            <w:noWrap w:val="0"/>
            <w:vAlign w:val="center"/>
          </w:tcPr>
          <w:p w14:paraId="17833295">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监测天线</w:t>
            </w:r>
          </w:p>
        </w:tc>
        <w:tc>
          <w:tcPr>
            <w:tcW w:w="2725" w:type="pct"/>
            <w:noWrap w:val="0"/>
            <w:vAlign w:val="center"/>
          </w:tcPr>
          <w:p w14:paraId="0E977E9F">
            <w:pPr>
              <w:widowControl/>
              <w:spacing w:line="360" w:lineRule="auto"/>
              <w:rPr>
                <w:rFonts w:hint="eastAsia" w:ascii="宋体" w:hAnsi="宋体" w:cs="宋体"/>
                <w:color w:val="000000"/>
                <w:sz w:val="24"/>
                <w:szCs w:val="24"/>
              </w:rPr>
            </w:pPr>
            <w:r>
              <w:rPr>
                <w:rFonts w:hint="eastAsia" w:ascii="宋体" w:hAnsi="宋体" w:cs="宋体"/>
                <w:color w:val="000000"/>
                <w:sz w:val="24"/>
                <w:szCs w:val="24"/>
              </w:rPr>
              <w:t>频率范围：完全适配监测接收机</w:t>
            </w:r>
          </w:p>
        </w:tc>
        <w:tc>
          <w:tcPr>
            <w:tcW w:w="442" w:type="pct"/>
            <w:noWrap w:val="0"/>
            <w:vAlign w:val="center"/>
          </w:tcPr>
          <w:p w14:paraId="2DEBE707">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1套</w:t>
            </w:r>
          </w:p>
        </w:tc>
      </w:tr>
      <w:tr w14:paraId="3E13E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1" w:type="pct"/>
            <w:noWrap w:val="0"/>
            <w:vAlign w:val="center"/>
          </w:tcPr>
          <w:p w14:paraId="41415892">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1.3</w:t>
            </w:r>
          </w:p>
        </w:tc>
        <w:tc>
          <w:tcPr>
            <w:tcW w:w="1332" w:type="pct"/>
            <w:noWrap w:val="0"/>
            <w:vAlign w:val="center"/>
          </w:tcPr>
          <w:p w14:paraId="18B290BF">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监测配套附件</w:t>
            </w:r>
          </w:p>
        </w:tc>
        <w:tc>
          <w:tcPr>
            <w:tcW w:w="2725" w:type="pct"/>
            <w:noWrap w:val="0"/>
            <w:vAlign w:val="center"/>
          </w:tcPr>
          <w:p w14:paraId="196AD186">
            <w:pPr>
              <w:widowControl/>
              <w:spacing w:line="360" w:lineRule="auto"/>
              <w:rPr>
                <w:rFonts w:hint="eastAsia" w:ascii="宋体" w:hAnsi="宋体" w:cs="宋体"/>
                <w:color w:val="000000"/>
                <w:sz w:val="24"/>
                <w:szCs w:val="24"/>
              </w:rPr>
            </w:pPr>
            <w:r>
              <w:rPr>
                <w:rFonts w:hint="eastAsia" w:ascii="宋体" w:hAnsi="宋体" w:cs="宋体"/>
                <w:color w:val="000000"/>
                <w:sz w:val="24"/>
                <w:szCs w:val="24"/>
              </w:rPr>
              <w:t>安装配件根据需求配置，含天线适配器、馈线、射频电缆等</w:t>
            </w:r>
          </w:p>
        </w:tc>
        <w:tc>
          <w:tcPr>
            <w:tcW w:w="442" w:type="pct"/>
            <w:noWrap w:val="0"/>
            <w:vAlign w:val="center"/>
          </w:tcPr>
          <w:p w14:paraId="728CF236">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1套</w:t>
            </w:r>
          </w:p>
        </w:tc>
      </w:tr>
      <w:tr w14:paraId="3A32C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8" w:type="pct"/>
            <w:gridSpan w:val="3"/>
            <w:noWrap w:val="0"/>
            <w:vAlign w:val="center"/>
          </w:tcPr>
          <w:p w14:paraId="71D1CA33">
            <w:pPr>
              <w:widowControl/>
              <w:spacing w:line="360" w:lineRule="auto"/>
              <w:jc w:val="left"/>
              <w:rPr>
                <w:rFonts w:hint="eastAsia" w:ascii="宋体" w:hAnsi="宋体" w:cs="宋体"/>
                <w:color w:val="000000"/>
                <w:sz w:val="24"/>
                <w:szCs w:val="24"/>
              </w:rPr>
            </w:pPr>
            <w:r>
              <w:rPr>
                <w:rFonts w:hint="eastAsia" w:ascii="宋体" w:hAnsi="宋体" w:cs="宋体"/>
                <w:color w:val="000000"/>
                <w:sz w:val="24"/>
                <w:szCs w:val="24"/>
              </w:rPr>
              <w:t>2、测向子系统</w:t>
            </w:r>
          </w:p>
        </w:tc>
        <w:tc>
          <w:tcPr>
            <w:tcW w:w="442" w:type="pct"/>
            <w:noWrap w:val="0"/>
            <w:vAlign w:val="center"/>
          </w:tcPr>
          <w:p w14:paraId="706448E8">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1套</w:t>
            </w:r>
          </w:p>
        </w:tc>
      </w:tr>
      <w:tr w14:paraId="097C6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1" w:type="pct"/>
            <w:noWrap w:val="0"/>
            <w:vAlign w:val="center"/>
          </w:tcPr>
          <w:p w14:paraId="6720F85F">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2.1</w:t>
            </w:r>
          </w:p>
        </w:tc>
        <w:tc>
          <w:tcPr>
            <w:tcW w:w="1332" w:type="pct"/>
            <w:noWrap w:val="0"/>
            <w:vAlign w:val="center"/>
          </w:tcPr>
          <w:p w14:paraId="067293BF">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测向接收机</w:t>
            </w:r>
          </w:p>
        </w:tc>
        <w:tc>
          <w:tcPr>
            <w:tcW w:w="2725" w:type="pct"/>
            <w:noWrap w:val="0"/>
            <w:vAlign w:val="center"/>
          </w:tcPr>
          <w:p w14:paraId="4616CE4F">
            <w:pPr>
              <w:widowControl/>
              <w:spacing w:line="360" w:lineRule="auto"/>
              <w:rPr>
                <w:rFonts w:hint="eastAsia" w:ascii="宋体" w:hAnsi="宋体" w:cs="宋体"/>
                <w:color w:val="000000"/>
                <w:sz w:val="24"/>
                <w:szCs w:val="24"/>
              </w:rPr>
            </w:pPr>
            <w:r>
              <w:rPr>
                <w:rFonts w:hint="eastAsia" w:ascii="宋体" w:hAnsi="宋体" w:cs="宋体"/>
                <w:color w:val="000000"/>
                <w:sz w:val="24"/>
                <w:szCs w:val="24"/>
              </w:rPr>
              <w:t>频率范围：不低于20MHz～8GHz；</w:t>
            </w:r>
          </w:p>
          <w:p w14:paraId="27B87452">
            <w:pPr>
              <w:widowControl/>
              <w:spacing w:line="360" w:lineRule="auto"/>
              <w:rPr>
                <w:rFonts w:hint="eastAsia" w:ascii="宋体" w:hAnsi="宋体" w:cs="宋体"/>
                <w:color w:val="000000"/>
                <w:sz w:val="24"/>
                <w:szCs w:val="24"/>
              </w:rPr>
            </w:pPr>
            <w:r>
              <w:rPr>
                <w:rFonts w:hint="eastAsia" w:ascii="宋体" w:hAnsi="宋体" w:cs="宋体"/>
                <w:color w:val="000000"/>
                <w:sz w:val="24"/>
                <w:szCs w:val="24"/>
              </w:rPr>
              <w:t>测向体制：相关干涉仪和空间谱测向</w:t>
            </w:r>
          </w:p>
          <w:p w14:paraId="29FA0806">
            <w:pPr>
              <w:widowControl/>
              <w:spacing w:line="360" w:lineRule="auto"/>
              <w:rPr>
                <w:rFonts w:hint="eastAsia" w:ascii="宋体" w:hAnsi="宋体" w:cs="宋体"/>
                <w:color w:val="000000"/>
                <w:sz w:val="24"/>
                <w:szCs w:val="24"/>
              </w:rPr>
            </w:pPr>
            <w:r>
              <w:rPr>
                <w:rFonts w:hint="eastAsia" w:ascii="宋体" w:hAnsi="宋体" w:cs="宋体"/>
                <w:color w:val="000000"/>
                <w:sz w:val="24"/>
                <w:szCs w:val="24"/>
              </w:rPr>
              <w:t>测向通道数：不少于3个</w:t>
            </w:r>
          </w:p>
        </w:tc>
        <w:tc>
          <w:tcPr>
            <w:tcW w:w="442" w:type="pct"/>
            <w:noWrap w:val="0"/>
            <w:vAlign w:val="center"/>
          </w:tcPr>
          <w:p w14:paraId="0C9445DB">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1套</w:t>
            </w:r>
          </w:p>
        </w:tc>
      </w:tr>
      <w:tr w14:paraId="4BF67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1" w:type="pct"/>
            <w:noWrap w:val="0"/>
            <w:vAlign w:val="center"/>
          </w:tcPr>
          <w:p w14:paraId="2676C22E">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2.2</w:t>
            </w:r>
          </w:p>
        </w:tc>
        <w:tc>
          <w:tcPr>
            <w:tcW w:w="1332" w:type="pct"/>
            <w:noWrap w:val="0"/>
            <w:vAlign w:val="center"/>
          </w:tcPr>
          <w:p w14:paraId="3F78D995">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测向天线</w:t>
            </w:r>
          </w:p>
        </w:tc>
        <w:tc>
          <w:tcPr>
            <w:tcW w:w="2725" w:type="pct"/>
            <w:noWrap w:val="0"/>
            <w:vAlign w:val="center"/>
          </w:tcPr>
          <w:p w14:paraId="0DA490D7">
            <w:pPr>
              <w:widowControl/>
              <w:spacing w:line="360" w:lineRule="auto"/>
              <w:rPr>
                <w:rFonts w:hint="eastAsia" w:ascii="宋体" w:hAnsi="宋体" w:cs="宋体"/>
                <w:color w:val="000000"/>
                <w:sz w:val="24"/>
                <w:szCs w:val="24"/>
              </w:rPr>
            </w:pPr>
            <w:r>
              <w:rPr>
                <w:rFonts w:hint="eastAsia" w:ascii="宋体" w:hAnsi="宋体" w:cs="宋体"/>
                <w:color w:val="000000"/>
                <w:sz w:val="24"/>
                <w:szCs w:val="24"/>
              </w:rPr>
              <w:t>垂直极化频率范围完全适配测向接收机，水平极化40MHz～1300MHz；</w:t>
            </w:r>
          </w:p>
        </w:tc>
        <w:tc>
          <w:tcPr>
            <w:tcW w:w="442" w:type="pct"/>
            <w:noWrap w:val="0"/>
            <w:vAlign w:val="center"/>
          </w:tcPr>
          <w:p w14:paraId="72DE4F98">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1套</w:t>
            </w:r>
          </w:p>
        </w:tc>
      </w:tr>
      <w:tr w14:paraId="42659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1" w:type="pct"/>
            <w:noWrap w:val="0"/>
            <w:vAlign w:val="center"/>
          </w:tcPr>
          <w:p w14:paraId="0DB241DF">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2.3</w:t>
            </w:r>
          </w:p>
        </w:tc>
        <w:tc>
          <w:tcPr>
            <w:tcW w:w="1332" w:type="pct"/>
            <w:noWrap w:val="0"/>
            <w:vAlign w:val="center"/>
          </w:tcPr>
          <w:p w14:paraId="2CF7F0D7">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测向配套附件</w:t>
            </w:r>
          </w:p>
        </w:tc>
        <w:tc>
          <w:tcPr>
            <w:tcW w:w="2725" w:type="pct"/>
            <w:noWrap w:val="0"/>
            <w:vAlign w:val="center"/>
          </w:tcPr>
          <w:p w14:paraId="3FB4F26B">
            <w:pPr>
              <w:widowControl/>
              <w:spacing w:line="360" w:lineRule="auto"/>
              <w:rPr>
                <w:rFonts w:hint="eastAsia" w:ascii="宋体" w:hAnsi="宋体" w:cs="宋体"/>
                <w:color w:val="000000"/>
                <w:sz w:val="24"/>
                <w:szCs w:val="24"/>
              </w:rPr>
            </w:pPr>
            <w:r>
              <w:rPr>
                <w:rFonts w:hint="eastAsia" w:ascii="宋体" w:hAnsi="宋体" w:cs="宋体"/>
                <w:color w:val="000000"/>
                <w:sz w:val="24"/>
                <w:szCs w:val="24"/>
              </w:rPr>
              <w:t>安装配件根据需求配置，含天线适配器、馈线、射频控制电缆等</w:t>
            </w:r>
          </w:p>
        </w:tc>
        <w:tc>
          <w:tcPr>
            <w:tcW w:w="442" w:type="pct"/>
            <w:noWrap w:val="0"/>
            <w:vAlign w:val="center"/>
          </w:tcPr>
          <w:p w14:paraId="4FA75885">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1套</w:t>
            </w:r>
          </w:p>
        </w:tc>
      </w:tr>
      <w:tr w14:paraId="70941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8" w:type="pct"/>
            <w:gridSpan w:val="3"/>
            <w:noWrap w:val="0"/>
            <w:vAlign w:val="center"/>
          </w:tcPr>
          <w:p w14:paraId="39174A7F">
            <w:pPr>
              <w:widowControl/>
              <w:spacing w:line="360" w:lineRule="auto"/>
              <w:jc w:val="left"/>
              <w:rPr>
                <w:rFonts w:hint="eastAsia" w:ascii="宋体" w:hAnsi="宋体" w:cs="宋体"/>
                <w:color w:val="000000"/>
                <w:sz w:val="24"/>
                <w:szCs w:val="24"/>
              </w:rPr>
            </w:pPr>
            <w:r>
              <w:rPr>
                <w:rFonts w:hint="eastAsia" w:ascii="宋体" w:hAnsi="宋体" w:cs="宋体"/>
                <w:color w:val="000000"/>
                <w:sz w:val="24"/>
                <w:szCs w:val="24"/>
              </w:rPr>
              <w:t>3、专项监测子系统</w:t>
            </w:r>
          </w:p>
        </w:tc>
        <w:tc>
          <w:tcPr>
            <w:tcW w:w="442" w:type="pct"/>
            <w:noWrap w:val="0"/>
            <w:vAlign w:val="center"/>
          </w:tcPr>
          <w:p w14:paraId="3537F84E">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1套</w:t>
            </w:r>
          </w:p>
        </w:tc>
      </w:tr>
      <w:tr w14:paraId="26478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1" w:type="pct"/>
            <w:noWrap w:val="0"/>
            <w:vAlign w:val="center"/>
          </w:tcPr>
          <w:p w14:paraId="416003BD">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3.1</w:t>
            </w:r>
          </w:p>
        </w:tc>
        <w:tc>
          <w:tcPr>
            <w:tcW w:w="1332" w:type="pct"/>
            <w:noWrap w:val="0"/>
            <w:vAlign w:val="center"/>
          </w:tcPr>
          <w:p w14:paraId="74F2D6EF">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铁路专项监测设备</w:t>
            </w:r>
          </w:p>
        </w:tc>
        <w:tc>
          <w:tcPr>
            <w:tcW w:w="2725" w:type="pct"/>
            <w:noWrap w:val="0"/>
            <w:vAlign w:val="center"/>
          </w:tcPr>
          <w:p w14:paraId="23A7F6AE">
            <w:pPr>
              <w:widowControl/>
              <w:spacing w:line="360" w:lineRule="auto"/>
              <w:rPr>
                <w:rFonts w:hint="eastAsia" w:ascii="宋体" w:hAnsi="宋体" w:cs="宋体"/>
                <w:color w:val="000000"/>
                <w:sz w:val="24"/>
                <w:szCs w:val="24"/>
              </w:rPr>
            </w:pPr>
            <w:r>
              <w:rPr>
                <w:rFonts w:hint="eastAsia" w:ascii="宋体" w:hAnsi="宋体" w:cs="宋体"/>
                <w:color w:val="000000"/>
                <w:sz w:val="24"/>
                <w:szCs w:val="24"/>
              </w:rPr>
              <w:t>具备对GSM-R频段上下行信号实时监测等能力</w:t>
            </w:r>
          </w:p>
        </w:tc>
        <w:tc>
          <w:tcPr>
            <w:tcW w:w="442" w:type="pct"/>
            <w:noWrap w:val="0"/>
            <w:vAlign w:val="center"/>
          </w:tcPr>
          <w:p w14:paraId="60A6E40D">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1套</w:t>
            </w:r>
          </w:p>
        </w:tc>
      </w:tr>
      <w:tr w14:paraId="0DC29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1" w:type="pct"/>
            <w:noWrap w:val="0"/>
            <w:vAlign w:val="center"/>
          </w:tcPr>
          <w:p w14:paraId="6ACB1F65">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3.2</w:t>
            </w:r>
          </w:p>
        </w:tc>
        <w:tc>
          <w:tcPr>
            <w:tcW w:w="1332" w:type="pct"/>
            <w:noWrap w:val="0"/>
            <w:vAlign w:val="center"/>
          </w:tcPr>
          <w:p w14:paraId="7A23606A">
            <w:pPr>
              <w:widowControl/>
              <w:spacing w:line="360" w:lineRule="auto"/>
              <w:jc w:val="center"/>
              <w:rPr>
                <w:rFonts w:hint="eastAsia" w:ascii="宋体" w:hAnsi="宋体" w:cs="宋体"/>
                <w:color w:val="000000"/>
                <w:sz w:val="24"/>
                <w:szCs w:val="24"/>
              </w:rPr>
            </w:pPr>
            <w:r>
              <w:rPr>
                <w:rFonts w:ascii="宋体" w:hAnsi="宋体" w:cs="宋体"/>
                <w:color w:val="000000"/>
                <w:sz w:val="24"/>
                <w:szCs w:val="24"/>
              </w:rPr>
              <w:t>公众移动</w:t>
            </w:r>
            <w:r>
              <w:rPr>
                <w:rFonts w:hint="eastAsia" w:ascii="宋体" w:hAnsi="宋体" w:cs="宋体"/>
                <w:color w:val="000000"/>
                <w:sz w:val="24"/>
                <w:szCs w:val="24"/>
              </w:rPr>
              <w:t>/数字对讲/</w:t>
            </w:r>
            <w:r>
              <w:rPr>
                <w:rFonts w:ascii="宋体" w:hAnsi="宋体" w:cs="宋体"/>
                <w:color w:val="000000"/>
                <w:sz w:val="24"/>
                <w:szCs w:val="24"/>
              </w:rPr>
              <w:t>广播电视</w:t>
            </w:r>
            <w:r>
              <w:rPr>
                <w:rFonts w:hint="eastAsia" w:ascii="宋体" w:hAnsi="宋体" w:cs="宋体"/>
                <w:color w:val="000000"/>
                <w:sz w:val="24"/>
                <w:szCs w:val="24"/>
              </w:rPr>
              <w:t>/ADS-B解码模块</w:t>
            </w:r>
          </w:p>
        </w:tc>
        <w:tc>
          <w:tcPr>
            <w:tcW w:w="2725" w:type="pct"/>
            <w:noWrap w:val="0"/>
            <w:vAlign w:val="center"/>
          </w:tcPr>
          <w:p w14:paraId="00285F7C">
            <w:pPr>
              <w:widowControl/>
              <w:spacing w:line="360" w:lineRule="auto"/>
              <w:rPr>
                <w:rFonts w:hint="eastAsia" w:ascii="宋体" w:hAnsi="宋体" w:cs="宋体"/>
                <w:color w:val="000000"/>
                <w:sz w:val="24"/>
                <w:szCs w:val="24"/>
              </w:rPr>
            </w:pPr>
            <w:r>
              <w:rPr>
                <w:rFonts w:hint="eastAsia" w:ascii="宋体" w:hAnsi="宋体" w:cs="宋体"/>
                <w:color w:val="000000"/>
                <w:sz w:val="24"/>
                <w:szCs w:val="24"/>
              </w:rPr>
              <w:t>可实现公众移动/数字对讲/广播电视/ADS-B信号解码</w:t>
            </w:r>
          </w:p>
        </w:tc>
        <w:tc>
          <w:tcPr>
            <w:tcW w:w="442" w:type="pct"/>
            <w:noWrap w:val="0"/>
            <w:vAlign w:val="center"/>
          </w:tcPr>
          <w:p w14:paraId="24F92CB4">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1套</w:t>
            </w:r>
          </w:p>
        </w:tc>
      </w:tr>
      <w:tr w14:paraId="482A8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1" w:type="pct"/>
            <w:noWrap w:val="0"/>
            <w:vAlign w:val="center"/>
          </w:tcPr>
          <w:p w14:paraId="45577569">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3.3</w:t>
            </w:r>
          </w:p>
        </w:tc>
        <w:tc>
          <w:tcPr>
            <w:tcW w:w="1332" w:type="pct"/>
            <w:noWrap w:val="0"/>
            <w:vAlign w:val="center"/>
          </w:tcPr>
          <w:p w14:paraId="539B9AF1">
            <w:pPr>
              <w:widowControl/>
              <w:spacing w:line="360" w:lineRule="auto"/>
              <w:jc w:val="center"/>
              <w:rPr>
                <w:rFonts w:hint="eastAsia" w:ascii="宋体" w:hAnsi="宋体" w:cs="宋体"/>
                <w:color w:val="000000"/>
                <w:sz w:val="24"/>
                <w:szCs w:val="24"/>
                <w:highlight w:val="yellow"/>
              </w:rPr>
            </w:pPr>
            <w:r>
              <w:rPr>
                <w:rFonts w:ascii="宋体" w:hAnsi="宋体" w:cs="宋体"/>
                <w:color w:val="000000"/>
                <w:sz w:val="24"/>
                <w:szCs w:val="24"/>
              </w:rPr>
              <w:t>信号发射及分析设备</w:t>
            </w:r>
          </w:p>
        </w:tc>
        <w:tc>
          <w:tcPr>
            <w:tcW w:w="2725" w:type="pct"/>
            <w:noWrap w:val="0"/>
            <w:vAlign w:val="center"/>
          </w:tcPr>
          <w:p w14:paraId="6B26164A">
            <w:pPr>
              <w:widowControl/>
              <w:spacing w:line="360" w:lineRule="auto"/>
              <w:rPr>
                <w:rFonts w:hint="eastAsia" w:ascii="宋体" w:hAnsi="宋体" w:cs="宋体"/>
                <w:color w:val="000000"/>
                <w:sz w:val="24"/>
                <w:szCs w:val="24"/>
              </w:rPr>
            </w:pPr>
            <w:r>
              <w:rPr>
                <w:rFonts w:hint="eastAsia" w:ascii="宋体" w:hAnsi="宋体" w:cs="宋体"/>
                <w:color w:val="000000"/>
                <w:sz w:val="24"/>
                <w:szCs w:val="24"/>
              </w:rPr>
              <w:t>信号产生、分析频率范围：不低于50MHz～6GHz</w:t>
            </w:r>
          </w:p>
          <w:p w14:paraId="425F1CFA">
            <w:pPr>
              <w:widowControl/>
              <w:spacing w:line="360" w:lineRule="auto"/>
              <w:rPr>
                <w:rFonts w:hint="eastAsia" w:ascii="宋体" w:hAnsi="宋体" w:cs="宋体"/>
                <w:color w:val="000000"/>
                <w:sz w:val="24"/>
                <w:szCs w:val="24"/>
              </w:rPr>
            </w:pPr>
            <w:r>
              <w:rPr>
                <w:rFonts w:hint="eastAsia" w:ascii="宋体" w:hAnsi="宋体" w:cs="宋体"/>
                <w:color w:val="000000"/>
                <w:sz w:val="24"/>
                <w:szCs w:val="24"/>
              </w:rPr>
              <w:t>配套外携单元及手持测试天线</w:t>
            </w:r>
          </w:p>
        </w:tc>
        <w:tc>
          <w:tcPr>
            <w:tcW w:w="442" w:type="pct"/>
            <w:noWrap w:val="0"/>
            <w:vAlign w:val="center"/>
          </w:tcPr>
          <w:p w14:paraId="41A299F3">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1套</w:t>
            </w:r>
          </w:p>
        </w:tc>
      </w:tr>
      <w:tr w14:paraId="10574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8" w:type="pct"/>
            <w:gridSpan w:val="3"/>
            <w:noWrap w:val="0"/>
            <w:vAlign w:val="center"/>
          </w:tcPr>
          <w:p w14:paraId="4FAC35D7">
            <w:pPr>
              <w:widowControl/>
              <w:spacing w:line="360" w:lineRule="auto"/>
              <w:rPr>
                <w:rFonts w:hint="eastAsia" w:ascii="宋体" w:hAnsi="宋体" w:cs="宋体"/>
                <w:color w:val="000000"/>
                <w:sz w:val="24"/>
                <w:szCs w:val="24"/>
              </w:rPr>
            </w:pPr>
            <w:r>
              <w:rPr>
                <w:rFonts w:hint="eastAsia" w:ascii="宋体" w:hAnsi="宋体" w:cs="宋体"/>
                <w:color w:val="000000"/>
                <w:sz w:val="24"/>
                <w:szCs w:val="24"/>
              </w:rPr>
              <w:t>4、软件子系统</w:t>
            </w:r>
          </w:p>
        </w:tc>
        <w:tc>
          <w:tcPr>
            <w:tcW w:w="442" w:type="pct"/>
            <w:noWrap w:val="0"/>
            <w:vAlign w:val="center"/>
          </w:tcPr>
          <w:p w14:paraId="12BC86AA">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1套</w:t>
            </w:r>
          </w:p>
        </w:tc>
      </w:tr>
      <w:tr w14:paraId="34A59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1" w:type="pct"/>
            <w:noWrap w:val="0"/>
            <w:vAlign w:val="center"/>
          </w:tcPr>
          <w:p w14:paraId="673AE30C">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4.1</w:t>
            </w:r>
          </w:p>
        </w:tc>
        <w:tc>
          <w:tcPr>
            <w:tcW w:w="1332" w:type="pct"/>
            <w:noWrap w:val="0"/>
            <w:vAlign w:val="center"/>
          </w:tcPr>
          <w:p w14:paraId="73F1B148">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无线电监测测向软件</w:t>
            </w:r>
          </w:p>
        </w:tc>
        <w:tc>
          <w:tcPr>
            <w:tcW w:w="2725" w:type="pct"/>
            <w:noWrap w:val="0"/>
            <w:vAlign w:val="center"/>
          </w:tcPr>
          <w:p w14:paraId="36ECAAF2">
            <w:pPr>
              <w:widowControl/>
              <w:spacing w:line="360" w:lineRule="auto"/>
              <w:rPr>
                <w:rFonts w:hint="eastAsia" w:ascii="宋体" w:hAnsi="宋体" w:cs="宋体"/>
                <w:color w:val="000000"/>
                <w:sz w:val="24"/>
                <w:szCs w:val="24"/>
              </w:rPr>
            </w:pPr>
            <w:r>
              <w:rPr>
                <w:rFonts w:hint="eastAsia" w:ascii="宋体" w:hAnsi="宋体" w:cs="宋体"/>
                <w:sz w:val="24"/>
                <w:szCs w:val="24"/>
              </w:rPr>
              <w:t>含监测接收机驱动程序；含全频段频谱分析(瞬时频谱全景显示/瀑布图/两维缩放/峰值搜索/频段扫描/频率表扫描等功能)、ITU规范建议的测量项目、数字I/Q信号记录、频谱数据和瀑布图数据记录；含联网和远程控制软件；含原子化</w:t>
            </w:r>
            <w:r>
              <w:rPr>
                <w:rFonts w:ascii="宋体" w:hAnsi="宋体" w:cs="宋体"/>
                <w:sz w:val="24"/>
                <w:szCs w:val="24"/>
              </w:rPr>
              <w:t>服务封装</w:t>
            </w:r>
          </w:p>
        </w:tc>
        <w:tc>
          <w:tcPr>
            <w:tcW w:w="442" w:type="pct"/>
            <w:noWrap w:val="0"/>
            <w:vAlign w:val="center"/>
          </w:tcPr>
          <w:p w14:paraId="0C81DFA3">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1套</w:t>
            </w:r>
          </w:p>
        </w:tc>
      </w:tr>
      <w:tr w14:paraId="1F63D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8" w:type="pct"/>
            <w:gridSpan w:val="3"/>
            <w:noWrap w:val="0"/>
            <w:vAlign w:val="center"/>
          </w:tcPr>
          <w:p w14:paraId="77346C2D">
            <w:pPr>
              <w:widowControl/>
              <w:spacing w:line="360" w:lineRule="auto"/>
              <w:rPr>
                <w:rFonts w:hint="eastAsia" w:ascii="宋体" w:hAnsi="宋体" w:cs="宋体"/>
                <w:color w:val="000000"/>
                <w:sz w:val="24"/>
                <w:szCs w:val="24"/>
              </w:rPr>
            </w:pPr>
            <w:r>
              <w:rPr>
                <w:rFonts w:hint="eastAsia" w:ascii="宋体" w:hAnsi="宋体" w:cs="宋体"/>
                <w:color w:val="000000"/>
                <w:sz w:val="24"/>
                <w:szCs w:val="24"/>
              </w:rPr>
              <w:t>5、固定站配套设施</w:t>
            </w:r>
          </w:p>
        </w:tc>
        <w:tc>
          <w:tcPr>
            <w:tcW w:w="442" w:type="pct"/>
            <w:noWrap w:val="0"/>
            <w:vAlign w:val="center"/>
          </w:tcPr>
          <w:p w14:paraId="5F66EE27">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1套</w:t>
            </w:r>
          </w:p>
        </w:tc>
      </w:tr>
      <w:tr w14:paraId="11365D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1" w:type="pct"/>
            <w:noWrap w:val="0"/>
            <w:vAlign w:val="center"/>
          </w:tcPr>
          <w:p w14:paraId="5DEAF580">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5.1</w:t>
            </w:r>
          </w:p>
        </w:tc>
        <w:tc>
          <w:tcPr>
            <w:tcW w:w="1332" w:type="pct"/>
            <w:noWrap w:val="0"/>
            <w:vAlign w:val="center"/>
          </w:tcPr>
          <w:p w14:paraId="641EDB41">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工控机</w:t>
            </w:r>
          </w:p>
        </w:tc>
        <w:tc>
          <w:tcPr>
            <w:tcW w:w="2725" w:type="pct"/>
            <w:noWrap w:val="0"/>
            <w:vAlign w:val="center"/>
          </w:tcPr>
          <w:p w14:paraId="6FAEA920">
            <w:pPr>
              <w:widowControl/>
              <w:spacing w:line="360" w:lineRule="auto"/>
              <w:rPr>
                <w:rFonts w:hint="eastAsia" w:ascii="宋体" w:hAnsi="宋体" w:cs="宋体"/>
                <w:color w:val="000000"/>
                <w:sz w:val="24"/>
                <w:szCs w:val="24"/>
              </w:rPr>
            </w:pPr>
            <w:r>
              <w:rPr>
                <w:rFonts w:ascii="宋体" w:hAnsi="宋体" w:cs="宋体"/>
                <w:sz w:val="24"/>
                <w:szCs w:val="24"/>
              </w:rPr>
              <w:t>至少具备CPU 8core 3.0GHz，RAM 128GB，具备10TB本地存储能力</w:t>
            </w:r>
          </w:p>
        </w:tc>
        <w:tc>
          <w:tcPr>
            <w:tcW w:w="442" w:type="pct"/>
            <w:noWrap w:val="0"/>
            <w:vAlign w:val="center"/>
          </w:tcPr>
          <w:p w14:paraId="50BE0CEE">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1套</w:t>
            </w:r>
          </w:p>
        </w:tc>
      </w:tr>
      <w:tr w14:paraId="4B014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1" w:type="pct"/>
            <w:noWrap w:val="0"/>
            <w:vAlign w:val="center"/>
          </w:tcPr>
          <w:p w14:paraId="452B089C">
            <w:pPr>
              <w:widowControl/>
              <w:spacing w:line="360" w:lineRule="auto"/>
              <w:jc w:val="center"/>
              <w:rPr>
                <w:rFonts w:hint="eastAsia" w:ascii="宋体" w:hAnsi="宋体" w:cs="宋体"/>
                <w:color w:val="000000"/>
                <w:sz w:val="24"/>
                <w:szCs w:val="24"/>
                <w:highlight w:val="yellow"/>
              </w:rPr>
            </w:pPr>
            <w:r>
              <w:rPr>
                <w:rFonts w:hint="eastAsia" w:ascii="宋体" w:hAnsi="宋体" w:cs="宋体"/>
                <w:color w:val="000000"/>
                <w:sz w:val="24"/>
                <w:szCs w:val="24"/>
              </w:rPr>
              <w:t>5.2</w:t>
            </w:r>
          </w:p>
        </w:tc>
        <w:tc>
          <w:tcPr>
            <w:tcW w:w="1332" w:type="pct"/>
            <w:noWrap w:val="0"/>
            <w:vAlign w:val="center"/>
          </w:tcPr>
          <w:p w14:paraId="2235AB9B">
            <w:pPr>
              <w:widowControl/>
              <w:spacing w:line="360" w:lineRule="auto"/>
              <w:jc w:val="center"/>
              <w:rPr>
                <w:rFonts w:hint="eastAsia" w:ascii="宋体" w:hAnsi="宋体" w:cs="宋体"/>
                <w:color w:val="000000"/>
                <w:sz w:val="24"/>
                <w:szCs w:val="24"/>
                <w:highlight w:val="yellow"/>
              </w:rPr>
            </w:pPr>
            <w:r>
              <w:rPr>
                <w:rFonts w:hint="eastAsia" w:ascii="宋体" w:hAnsi="宋体" w:cs="宋体"/>
                <w:color w:val="000000"/>
                <w:sz w:val="24"/>
                <w:szCs w:val="24"/>
              </w:rPr>
              <w:t>交换机</w:t>
            </w:r>
          </w:p>
        </w:tc>
        <w:tc>
          <w:tcPr>
            <w:tcW w:w="2725" w:type="pct"/>
            <w:noWrap w:val="0"/>
            <w:vAlign w:val="center"/>
          </w:tcPr>
          <w:p w14:paraId="16129935">
            <w:pPr>
              <w:widowControl/>
              <w:spacing w:line="360" w:lineRule="auto"/>
              <w:rPr>
                <w:rFonts w:hint="eastAsia" w:ascii="宋体" w:hAnsi="宋体" w:cs="宋体"/>
                <w:color w:val="000000"/>
                <w:sz w:val="24"/>
                <w:szCs w:val="24"/>
                <w:highlight w:val="yellow"/>
              </w:rPr>
            </w:pPr>
            <w:r>
              <w:rPr>
                <w:rFonts w:hint="eastAsia" w:ascii="宋体" w:hAnsi="宋体" w:cs="宋体"/>
                <w:color w:val="000000"/>
                <w:sz w:val="24"/>
                <w:szCs w:val="24"/>
              </w:rPr>
              <w:t>传输速率：10/100/1000Mbps</w:t>
            </w:r>
          </w:p>
        </w:tc>
        <w:tc>
          <w:tcPr>
            <w:tcW w:w="442" w:type="pct"/>
            <w:noWrap w:val="0"/>
            <w:vAlign w:val="center"/>
          </w:tcPr>
          <w:p w14:paraId="4A02E7B4">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1套</w:t>
            </w:r>
          </w:p>
        </w:tc>
      </w:tr>
      <w:tr w14:paraId="1E1CA5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1" w:type="pct"/>
            <w:noWrap w:val="0"/>
            <w:vAlign w:val="center"/>
          </w:tcPr>
          <w:p w14:paraId="4AE39D12">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5.3</w:t>
            </w:r>
          </w:p>
        </w:tc>
        <w:tc>
          <w:tcPr>
            <w:tcW w:w="1332" w:type="pct"/>
            <w:noWrap w:val="0"/>
            <w:vAlign w:val="center"/>
          </w:tcPr>
          <w:p w14:paraId="52A9F99E">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远程遥控遥测设备</w:t>
            </w:r>
          </w:p>
        </w:tc>
        <w:tc>
          <w:tcPr>
            <w:tcW w:w="2725" w:type="pct"/>
            <w:noWrap w:val="0"/>
            <w:vAlign w:val="center"/>
          </w:tcPr>
          <w:p w14:paraId="0655F30F">
            <w:pPr>
              <w:widowControl/>
              <w:spacing w:line="360" w:lineRule="auto"/>
              <w:rPr>
                <w:rFonts w:hint="eastAsia" w:ascii="宋体" w:hAnsi="宋体" w:cs="宋体"/>
                <w:color w:val="000000"/>
                <w:sz w:val="24"/>
                <w:szCs w:val="24"/>
              </w:rPr>
            </w:pPr>
            <w:r>
              <w:rPr>
                <w:rFonts w:hint="eastAsia" w:ascii="宋体" w:hAnsi="宋体" w:cs="宋体"/>
                <w:color w:val="000000"/>
                <w:sz w:val="24"/>
                <w:szCs w:val="24"/>
              </w:rPr>
              <w:t>系统远程控制开关，含温湿度传感器、门磁传感器、人体移动传感器、烟雾传感器、浸水传感器等</w:t>
            </w:r>
          </w:p>
        </w:tc>
        <w:tc>
          <w:tcPr>
            <w:tcW w:w="442" w:type="pct"/>
            <w:noWrap w:val="0"/>
            <w:vAlign w:val="center"/>
          </w:tcPr>
          <w:p w14:paraId="6482BAFB">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1套</w:t>
            </w:r>
          </w:p>
        </w:tc>
      </w:tr>
      <w:tr w14:paraId="59997C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1" w:type="pct"/>
            <w:noWrap w:val="0"/>
            <w:vAlign w:val="center"/>
          </w:tcPr>
          <w:p w14:paraId="400AF730">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5.4</w:t>
            </w:r>
          </w:p>
        </w:tc>
        <w:tc>
          <w:tcPr>
            <w:tcW w:w="1332" w:type="pct"/>
            <w:noWrap w:val="0"/>
            <w:vAlign w:val="center"/>
          </w:tcPr>
          <w:p w14:paraId="4DF0C209">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视频监控设备</w:t>
            </w:r>
          </w:p>
        </w:tc>
        <w:tc>
          <w:tcPr>
            <w:tcW w:w="2725" w:type="pct"/>
            <w:noWrap w:val="0"/>
            <w:vAlign w:val="center"/>
          </w:tcPr>
          <w:p w14:paraId="00A14A68">
            <w:pPr>
              <w:widowControl/>
              <w:spacing w:line="360" w:lineRule="auto"/>
              <w:rPr>
                <w:rFonts w:hint="eastAsia" w:ascii="宋体" w:hAnsi="宋体" w:cs="宋体"/>
                <w:color w:val="000000"/>
                <w:sz w:val="24"/>
                <w:szCs w:val="24"/>
              </w:rPr>
            </w:pPr>
            <w:r>
              <w:rPr>
                <w:rFonts w:hint="eastAsia" w:ascii="宋体" w:hAnsi="宋体" w:cs="宋体"/>
                <w:color w:val="000000"/>
                <w:sz w:val="24"/>
                <w:szCs w:val="24"/>
              </w:rPr>
              <w:t>高清监控摄像头，室内室外各一个</w:t>
            </w:r>
          </w:p>
        </w:tc>
        <w:tc>
          <w:tcPr>
            <w:tcW w:w="442" w:type="pct"/>
            <w:noWrap w:val="0"/>
            <w:vAlign w:val="center"/>
          </w:tcPr>
          <w:p w14:paraId="4C907027">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1套</w:t>
            </w:r>
          </w:p>
        </w:tc>
      </w:tr>
      <w:tr w14:paraId="37A8E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1" w:type="pct"/>
            <w:noWrap w:val="0"/>
            <w:vAlign w:val="center"/>
          </w:tcPr>
          <w:p w14:paraId="31019BD6">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5.5</w:t>
            </w:r>
          </w:p>
        </w:tc>
        <w:tc>
          <w:tcPr>
            <w:tcW w:w="1332" w:type="pct"/>
            <w:noWrap w:val="0"/>
            <w:vAlign w:val="center"/>
          </w:tcPr>
          <w:p w14:paraId="4D947A20">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电源系统</w:t>
            </w:r>
          </w:p>
        </w:tc>
        <w:tc>
          <w:tcPr>
            <w:tcW w:w="2725" w:type="pct"/>
            <w:noWrap w:val="0"/>
            <w:vAlign w:val="center"/>
          </w:tcPr>
          <w:p w14:paraId="548A84FC">
            <w:pPr>
              <w:widowControl/>
              <w:spacing w:line="360" w:lineRule="auto"/>
              <w:rPr>
                <w:rFonts w:hint="eastAsia" w:ascii="宋体" w:hAnsi="宋体" w:cs="宋体"/>
                <w:color w:val="000000"/>
                <w:sz w:val="24"/>
                <w:szCs w:val="24"/>
              </w:rPr>
            </w:pPr>
            <w:r>
              <w:rPr>
                <w:rFonts w:ascii="宋体" w:hAnsi="宋体" w:cs="宋体"/>
                <w:color w:val="000000"/>
                <w:sz w:val="24"/>
                <w:szCs w:val="24"/>
              </w:rPr>
              <w:t>含UPS电源、</w:t>
            </w:r>
            <w:r>
              <w:rPr>
                <w:rFonts w:hint="eastAsia" w:ascii="宋体" w:hAnsi="宋体" w:cs="宋体"/>
                <w:color w:val="000000"/>
                <w:sz w:val="24"/>
                <w:szCs w:val="24"/>
              </w:rPr>
              <w:t>支持系统8小时续航的</w:t>
            </w:r>
            <w:r>
              <w:rPr>
                <w:rFonts w:ascii="宋体" w:hAnsi="宋体" w:cs="宋体"/>
                <w:color w:val="000000"/>
                <w:sz w:val="24"/>
                <w:szCs w:val="24"/>
              </w:rPr>
              <w:t>电池组</w:t>
            </w:r>
          </w:p>
        </w:tc>
        <w:tc>
          <w:tcPr>
            <w:tcW w:w="442" w:type="pct"/>
            <w:noWrap w:val="0"/>
            <w:vAlign w:val="center"/>
          </w:tcPr>
          <w:p w14:paraId="395F2E66">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1套</w:t>
            </w:r>
          </w:p>
        </w:tc>
      </w:tr>
      <w:tr w14:paraId="12732A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1" w:type="pct"/>
            <w:noWrap w:val="0"/>
            <w:vAlign w:val="center"/>
          </w:tcPr>
          <w:p w14:paraId="4EE5F26C">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5.6</w:t>
            </w:r>
          </w:p>
        </w:tc>
        <w:tc>
          <w:tcPr>
            <w:tcW w:w="1332" w:type="pct"/>
            <w:noWrap w:val="0"/>
            <w:vAlign w:val="center"/>
          </w:tcPr>
          <w:p w14:paraId="16D0832A">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防雷设施</w:t>
            </w:r>
          </w:p>
        </w:tc>
        <w:tc>
          <w:tcPr>
            <w:tcW w:w="2725" w:type="pct"/>
            <w:noWrap w:val="0"/>
            <w:vAlign w:val="center"/>
          </w:tcPr>
          <w:p w14:paraId="21138C45">
            <w:pPr>
              <w:widowControl/>
              <w:spacing w:line="360" w:lineRule="auto"/>
              <w:rPr>
                <w:rFonts w:hint="eastAsia" w:ascii="宋体" w:hAnsi="宋体" w:cs="宋体"/>
                <w:color w:val="000000"/>
                <w:sz w:val="24"/>
                <w:szCs w:val="24"/>
              </w:rPr>
            </w:pPr>
            <w:r>
              <w:rPr>
                <w:rFonts w:hint="eastAsia" w:ascii="宋体" w:hAnsi="宋体" w:cs="宋体"/>
                <w:color w:val="000000"/>
                <w:sz w:val="24"/>
                <w:szCs w:val="24"/>
              </w:rPr>
              <w:t>含天线避雷、馈线防雷、电源防雷等</w:t>
            </w:r>
          </w:p>
        </w:tc>
        <w:tc>
          <w:tcPr>
            <w:tcW w:w="442" w:type="pct"/>
            <w:noWrap w:val="0"/>
            <w:vAlign w:val="center"/>
          </w:tcPr>
          <w:p w14:paraId="7479AB59">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1套</w:t>
            </w:r>
          </w:p>
        </w:tc>
      </w:tr>
      <w:tr w14:paraId="76D07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1" w:type="pct"/>
            <w:noWrap w:val="0"/>
            <w:vAlign w:val="center"/>
          </w:tcPr>
          <w:p w14:paraId="218EEEF7">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5.7</w:t>
            </w:r>
          </w:p>
        </w:tc>
        <w:tc>
          <w:tcPr>
            <w:tcW w:w="1332" w:type="pct"/>
            <w:noWrap w:val="0"/>
            <w:vAlign w:val="center"/>
          </w:tcPr>
          <w:p w14:paraId="6396EA32">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系统机柜</w:t>
            </w:r>
          </w:p>
        </w:tc>
        <w:tc>
          <w:tcPr>
            <w:tcW w:w="2725" w:type="pct"/>
            <w:noWrap w:val="0"/>
            <w:vAlign w:val="center"/>
          </w:tcPr>
          <w:p w14:paraId="264283D6">
            <w:pPr>
              <w:widowControl/>
              <w:spacing w:line="360" w:lineRule="auto"/>
              <w:rPr>
                <w:rFonts w:hint="eastAsia" w:ascii="宋体" w:hAnsi="宋体" w:cs="宋体"/>
                <w:color w:val="000000"/>
                <w:sz w:val="24"/>
                <w:szCs w:val="24"/>
              </w:rPr>
            </w:pPr>
            <w:r>
              <w:rPr>
                <w:rFonts w:hint="eastAsia" w:ascii="宋体" w:hAnsi="宋体" w:cs="宋体"/>
                <w:color w:val="000000"/>
                <w:sz w:val="24"/>
                <w:szCs w:val="24"/>
              </w:rPr>
              <w:t>标准网络机柜</w:t>
            </w:r>
          </w:p>
        </w:tc>
        <w:tc>
          <w:tcPr>
            <w:tcW w:w="442" w:type="pct"/>
            <w:noWrap w:val="0"/>
            <w:vAlign w:val="center"/>
          </w:tcPr>
          <w:p w14:paraId="0818479A">
            <w:pPr>
              <w:widowControl/>
              <w:spacing w:line="360" w:lineRule="auto"/>
              <w:jc w:val="center"/>
              <w:rPr>
                <w:rFonts w:hint="eastAsia" w:ascii="宋体" w:hAnsi="宋体" w:cs="宋体"/>
                <w:color w:val="000000"/>
                <w:sz w:val="24"/>
                <w:szCs w:val="24"/>
              </w:rPr>
            </w:pPr>
            <w:r>
              <w:rPr>
                <w:rFonts w:hint="eastAsia" w:ascii="宋体" w:hAnsi="宋体" w:cs="宋体"/>
                <w:color w:val="000000"/>
                <w:sz w:val="24"/>
                <w:szCs w:val="24"/>
              </w:rPr>
              <w:t>1套</w:t>
            </w:r>
          </w:p>
        </w:tc>
      </w:tr>
    </w:tbl>
    <w:p w14:paraId="483512A7">
      <w:pPr>
        <w:spacing w:line="360" w:lineRule="auto"/>
        <w:outlineLvl w:val="1"/>
        <w:rPr>
          <w:rFonts w:hint="eastAsia" w:ascii="宋体" w:hAnsi="宋体" w:cs="宋体"/>
          <w:b/>
          <w:bCs/>
          <w:sz w:val="24"/>
          <w:szCs w:val="24"/>
        </w:rPr>
      </w:pPr>
      <w:bookmarkStart w:id="2" w:name="_Toc158018811"/>
      <w:r>
        <w:rPr>
          <w:rFonts w:hint="eastAsia" w:ascii="宋体" w:hAnsi="宋体" w:cs="宋体"/>
          <w:b/>
          <w:bCs/>
          <w:sz w:val="24"/>
          <w:szCs w:val="24"/>
        </w:rPr>
        <w:t>3、系统技术指标</w:t>
      </w:r>
      <w:bookmarkEnd w:id="2"/>
      <w:r>
        <w:rPr>
          <w:rFonts w:hint="eastAsia" w:ascii="宋体" w:hAnsi="宋体" w:cs="宋体"/>
          <w:b/>
          <w:bCs/>
          <w:sz w:val="24"/>
          <w:szCs w:val="24"/>
        </w:rPr>
        <w:t>要求</w:t>
      </w:r>
    </w:p>
    <w:p w14:paraId="54E1F828">
      <w:pPr>
        <w:spacing w:line="360" w:lineRule="auto"/>
        <w:outlineLvl w:val="2"/>
        <w:rPr>
          <w:rFonts w:hint="eastAsia" w:ascii="宋体" w:hAnsi="宋体" w:cs="宋体"/>
          <w:sz w:val="24"/>
          <w:szCs w:val="24"/>
        </w:rPr>
      </w:pPr>
      <w:bookmarkStart w:id="3" w:name="_Toc52109513"/>
      <w:bookmarkStart w:id="4" w:name="_Toc85788521"/>
      <w:bookmarkStart w:id="5" w:name="_Toc16600759"/>
      <w:bookmarkStart w:id="6" w:name="_Toc158018812"/>
      <w:bookmarkStart w:id="7" w:name="_Toc120713939"/>
      <w:bookmarkStart w:id="8" w:name="_Toc69223243"/>
      <w:r>
        <w:rPr>
          <w:rFonts w:hint="eastAsia" w:ascii="宋体" w:hAnsi="宋体" w:cs="宋体"/>
          <w:sz w:val="24"/>
          <w:szCs w:val="24"/>
        </w:rPr>
        <w:t>3.1、监测系统技术指标</w:t>
      </w:r>
      <w:bookmarkEnd w:id="3"/>
      <w:bookmarkEnd w:id="4"/>
      <w:bookmarkEnd w:id="5"/>
      <w:bookmarkEnd w:id="6"/>
      <w:bookmarkEnd w:id="7"/>
      <w:bookmarkEnd w:id="8"/>
      <w:r>
        <w:rPr>
          <w:rFonts w:hint="eastAsia" w:ascii="宋体" w:hAnsi="宋体" w:cs="宋体"/>
          <w:sz w:val="24"/>
          <w:szCs w:val="24"/>
        </w:rPr>
        <w:t>要求</w:t>
      </w:r>
    </w:p>
    <w:p w14:paraId="03197750">
      <w:pPr>
        <w:spacing w:line="360" w:lineRule="auto"/>
        <w:ind w:firstLine="480" w:firstLineChars="200"/>
        <w:rPr>
          <w:rFonts w:hint="eastAsia" w:ascii="宋体" w:hAnsi="宋体" w:cs="宋体"/>
          <w:sz w:val="24"/>
          <w:szCs w:val="24"/>
        </w:rPr>
      </w:pPr>
      <w:r>
        <w:rPr>
          <w:rFonts w:hint="eastAsia" w:ascii="宋体" w:hAnsi="宋体" w:cs="宋体"/>
          <w:sz w:val="24"/>
          <w:szCs w:val="24"/>
        </w:rPr>
        <w:t>（1）系统指标：</w:t>
      </w:r>
    </w:p>
    <w:p w14:paraId="744F58D6">
      <w:pPr>
        <w:spacing w:line="360" w:lineRule="auto"/>
        <w:ind w:firstLine="480" w:firstLineChars="200"/>
        <w:rPr>
          <w:rFonts w:hint="eastAsia" w:ascii="宋体" w:hAnsi="宋体" w:cs="宋体"/>
          <w:sz w:val="24"/>
          <w:szCs w:val="24"/>
        </w:rPr>
      </w:pPr>
      <w:r>
        <w:rPr>
          <w:rFonts w:hint="eastAsia" w:ascii="宋体" w:hAnsi="宋体" w:cs="宋体"/>
          <w:sz w:val="24"/>
          <w:szCs w:val="24"/>
        </w:rPr>
        <w:t>频率范围：不低于20MHz～8GHz</w:t>
      </w:r>
    </w:p>
    <w:p w14:paraId="152660B9">
      <w:pPr>
        <w:spacing w:line="360" w:lineRule="auto"/>
        <w:ind w:firstLine="480" w:firstLineChars="200"/>
        <w:rPr>
          <w:rFonts w:hint="eastAsia" w:ascii="宋体" w:hAnsi="宋体" w:cs="宋体"/>
          <w:sz w:val="24"/>
          <w:szCs w:val="24"/>
        </w:rPr>
      </w:pPr>
      <w:r>
        <w:rPr>
          <w:rFonts w:hint="eastAsia" w:ascii="宋体" w:hAnsi="宋体" w:cs="宋体"/>
          <w:sz w:val="24"/>
          <w:szCs w:val="24"/>
        </w:rPr>
        <w:t>监测灵敏度：≤15dBμV/m（20MHz～3000MHz），≤20dBμV/m（3GHz～8GHz）。</w:t>
      </w:r>
    </w:p>
    <w:p w14:paraId="7E7E9048">
      <w:pPr>
        <w:spacing w:line="360" w:lineRule="auto"/>
        <w:ind w:firstLine="480" w:firstLineChars="200"/>
        <w:rPr>
          <w:rFonts w:hint="eastAsia" w:ascii="宋体" w:hAnsi="宋体" w:cs="宋体"/>
          <w:sz w:val="24"/>
          <w:szCs w:val="24"/>
        </w:rPr>
      </w:pPr>
      <w:r>
        <w:rPr>
          <w:rFonts w:hint="eastAsia" w:ascii="宋体" w:hAnsi="宋体" w:cs="宋体"/>
          <w:sz w:val="24"/>
          <w:szCs w:val="24"/>
        </w:rPr>
        <w:t>（2）监测接收机指标：</w:t>
      </w:r>
    </w:p>
    <w:p w14:paraId="2BEB1AD2">
      <w:pPr>
        <w:spacing w:line="360" w:lineRule="auto"/>
        <w:ind w:firstLine="480" w:firstLineChars="200"/>
        <w:rPr>
          <w:rFonts w:hint="eastAsia" w:ascii="宋体" w:hAnsi="宋体" w:cs="宋体"/>
          <w:sz w:val="24"/>
          <w:szCs w:val="24"/>
        </w:rPr>
      </w:pPr>
      <w:r>
        <w:rPr>
          <w:rFonts w:hint="eastAsia" w:ascii="宋体" w:hAnsi="宋体" w:cs="宋体"/>
          <w:sz w:val="24"/>
          <w:szCs w:val="24"/>
        </w:rPr>
        <w:t>频率范围：不低于20MHz～8GHz；</w:t>
      </w:r>
    </w:p>
    <w:p w14:paraId="2CC68A8F">
      <w:pPr>
        <w:spacing w:line="360" w:lineRule="auto"/>
        <w:ind w:firstLine="480" w:firstLineChars="200"/>
        <w:rPr>
          <w:rFonts w:hint="eastAsia" w:ascii="宋体" w:hAnsi="宋体" w:cs="宋体"/>
          <w:sz w:val="24"/>
          <w:szCs w:val="24"/>
          <w:vertAlign w:val="superscript"/>
        </w:rPr>
      </w:pPr>
      <w:r>
        <w:rPr>
          <w:rFonts w:hint="eastAsia" w:ascii="宋体" w:hAnsi="宋体" w:cs="宋体"/>
          <w:sz w:val="24"/>
          <w:szCs w:val="24"/>
        </w:rPr>
        <w:t>频率准确度：≤±1×10</w:t>
      </w:r>
      <w:r>
        <w:rPr>
          <w:rFonts w:hint="eastAsia" w:ascii="宋体" w:hAnsi="宋体" w:cs="宋体"/>
          <w:sz w:val="24"/>
          <w:szCs w:val="24"/>
          <w:vertAlign w:val="superscript"/>
        </w:rPr>
        <w:t>-7</w:t>
      </w:r>
      <w:r>
        <w:rPr>
          <w:rFonts w:hint="eastAsia" w:ascii="宋体" w:hAnsi="宋体" w:cs="宋体"/>
          <w:sz w:val="24"/>
          <w:szCs w:val="24"/>
        </w:rPr>
        <w:t>；</w:t>
      </w:r>
    </w:p>
    <w:p w14:paraId="4502133B">
      <w:pPr>
        <w:spacing w:line="360" w:lineRule="auto"/>
        <w:ind w:firstLine="480" w:firstLineChars="200"/>
        <w:rPr>
          <w:rFonts w:hint="eastAsia" w:ascii="宋体" w:hAnsi="宋体" w:cs="宋体"/>
          <w:sz w:val="24"/>
          <w:szCs w:val="24"/>
        </w:rPr>
      </w:pPr>
      <w:r>
        <w:rPr>
          <w:rFonts w:hint="eastAsia" w:ascii="宋体" w:hAnsi="宋体" w:cs="宋体"/>
          <w:sz w:val="24"/>
          <w:szCs w:val="24"/>
        </w:rPr>
        <w:t>中频带宽（中频频谱分析带宽）：≥80MHz，中频输出带宽可选10档以上，至少包括</w:t>
      </w:r>
      <w:r>
        <w:rPr>
          <w:rFonts w:ascii="宋体" w:hAnsi="宋体" w:cs="宋体"/>
          <w:sz w:val="24"/>
          <w:szCs w:val="24"/>
        </w:rPr>
        <w:t>1/3/10/20/30/40/50/60/70/80MHz</w:t>
      </w:r>
      <w:r>
        <w:rPr>
          <w:rFonts w:hint="eastAsia" w:ascii="宋体" w:hAnsi="宋体" w:cs="宋体"/>
          <w:sz w:val="24"/>
          <w:szCs w:val="24"/>
        </w:rPr>
        <w:t>；</w:t>
      </w:r>
    </w:p>
    <w:p w14:paraId="43CCCEBC">
      <w:pPr>
        <w:spacing w:line="360" w:lineRule="auto"/>
        <w:ind w:firstLine="480" w:firstLineChars="200"/>
        <w:rPr>
          <w:rFonts w:hint="eastAsia" w:ascii="宋体" w:hAnsi="宋体" w:cs="宋体"/>
          <w:sz w:val="24"/>
          <w:szCs w:val="24"/>
        </w:rPr>
      </w:pPr>
      <w:r>
        <w:rPr>
          <w:rFonts w:hint="eastAsia" w:ascii="宋体" w:hAnsi="宋体" w:cs="宋体"/>
          <w:sz w:val="24"/>
          <w:szCs w:val="24"/>
        </w:rPr>
        <w:t>相位噪声：≤-120dBc/Hz@10kHz（fc=1GHz）；</w:t>
      </w:r>
    </w:p>
    <w:p w14:paraId="77CEFA69">
      <w:pPr>
        <w:spacing w:line="360" w:lineRule="auto"/>
        <w:ind w:firstLine="480" w:firstLineChars="200"/>
        <w:rPr>
          <w:rFonts w:hint="eastAsia" w:ascii="宋体" w:hAnsi="宋体" w:cs="宋体"/>
          <w:sz w:val="24"/>
          <w:szCs w:val="24"/>
        </w:rPr>
      </w:pPr>
      <w:r>
        <w:rPr>
          <w:rFonts w:hint="eastAsia" w:ascii="宋体" w:hAnsi="宋体" w:cs="宋体"/>
          <w:sz w:val="24"/>
          <w:szCs w:val="24"/>
        </w:rPr>
        <w:t>二阶互调截断点：≥60dBm（低失真模式）；</w:t>
      </w:r>
    </w:p>
    <w:p w14:paraId="41CA7D54">
      <w:pPr>
        <w:spacing w:line="360" w:lineRule="auto"/>
        <w:ind w:firstLine="480" w:firstLineChars="200"/>
        <w:rPr>
          <w:rFonts w:hint="eastAsia" w:ascii="宋体" w:hAnsi="宋体" w:cs="宋体"/>
          <w:sz w:val="24"/>
          <w:szCs w:val="24"/>
        </w:rPr>
      </w:pPr>
      <w:r>
        <w:rPr>
          <w:rFonts w:hint="eastAsia" w:ascii="宋体" w:hAnsi="宋体" w:cs="宋体"/>
          <w:sz w:val="24"/>
          <w:szCs w:val="24"/>
        </w:rPr>
        <w:t>三阶互调截断点：≥20dBm（低失真模式）；</w:t>
      </w:r>
    </w:p>
    <w:p w14:paraId="66BCDD6D">
      <w:pPr>
        <w:spacing w:line="360" w:lineRule="auto"/>
        <w:ind w:firstLine="480" w:firstLineChars="200"/>
        <w:rPr>
          <w:rFonts w:hint="eastAsia" w:ascii="宋体" w:hAnsi="宋体" w:cs="宋体"/>
          <w:sz w:val="24"/>
          <w:szCs w:val="24"/>
        </w:rPr>
      </w:pPr>
      <w:r>
        <w:rPr>
          <w:rFonts w:hint="eastAsia" w:ascii="宋体" w:hAnsi="宋体" w:cs="宋体"/>
          <w:sz w:val="24"/>
          <w:szCs w:val="24"/>
        </w:rPr>
        <w:t>噪声系数：≤10dB（低噪声模式）；</w:t>
      </w:r>
    </w:p>
    <w:p w14:paraId="3F0DD27E">
      <w:pPr>
        <w:spacing w:line="360" w:lineRule="auto"/>
        <w:ind w:firstLine="480" w:firstLineChars="200"/>
        <w:rPr>
          <w:rFonts w:hint="eastAsia" w:ascii="宋体" w:hAnsi="宋体" w:cs="宋体"/>
          <w:sz w:val="24"/>
          <w:szCs w:val="24"/>
        </w:rPr>
      </w:pPr>
      <w:r>
        <w:rPr>
          <w:rFonts w:hint="eastAsia" w:ascii="宋体" w:hAnsi="宋体" w:cs="宋体"/>
          <w:sz w:val="24"/>
          <w:szCs w:val="24"/>
        </w:rPr>
        <w:t>扫描速度：≥100GHz/s（分辨率25kHz）；</w:t>
      </w:r>
    </w:p>
    <w:p w14:paraId="3EDAE274">
      <w:pPr>
        <w:spacing w:line="360" w:lineRule="auto"/>
        <w:ind w:firstLine="480" w:firstLineChars="200"/>
        <w:rPr>
          <w:rFonts w:hint="eastAsia" w:ascii="宋体" w:hAnsi="宋体" w:cs="宋体"/>
          <w:sz w:val="24"/>
          <w:szCs w:val="24"/>
        </w:rPr>
      </w:pPr>
      <w:r>
        <w:rPr>
          <w:rFonts w:hint="eastAsia" w:ascii="宋体" w:hAnsi="宋体" w:cs="宋体"/>
          <w:sz w:val="24"/>
          <w:szCs w:val="24"/>
        </w:rPr>
        <w:t>中频抑制：≥90dB；</w:t>
      </w:r>
    </w:p>
    <w:p w14:paraId="3C459F06">
      <w:pPr>
        <w:spacing w:line="360" w:lineRule="auto"/>
        <w:ind w:firstLine="480" w:firstLineChars="200"/>
        <w:rPr>
          <w:rFonts w:hint="eastAsia" w:ascii="宋体" w:hAnsi="宋体" w:cs="宋体"/>
          <w:b/>
          <w:bCs/>
          <w:sz w:val="24"/>
          <w:szCs w:val="24"/>
        </w:rPr>
      </w:pPr>
      <w:r>
        <w:rPr>
          <w:rFonts w:hint="eastAsia" w:ascii="宋体" w:hAnsi="宋体" w:cs="宋体"/>
          <w:sz w:val="24"/>
          <w:szCs w:val="24"/>
        </w:rPr>
        <w:t>镜频抑制：≥90dB；</w:t>
      </w:r>
    </w:p>
    <w:p w14:paraId="7FA1D4DE">
      <w:pPr>
        <w:spacing w:line="360" w:lineRule="auto"/>
        <w:ind w:firstLine="480" w:firstLineChars="200"/>
        <w:rPr>
          <w:rFonts w:hint="eastAsia" w:ascii="宋体" w:hAnsi="宋体" w:cs="宋体"/>
          <w:sz w:val="24"/>
          <w:szCs w:val="24"/>
        </w:rPr>
      </w:pPr>
      <w:r>
        <w:rPr>
          <w:rFonts w:hint="eastAsia" w:ascii="宋体" w:hAnsi="宋体" w:cs="宋体"/>
          <w:sz w:val="24"/>
          <w:szCs w:val="24"/>
        </w:rPr>
        <w:t>调制测量能力：AM、FM、CW、ASK、PSK、DPSK、QAM、FSK、MSK等；</w:t>
      </w:r>
    </w:p>
    <w:p w14:paraId="0E2D982F">
      <w:pPr>
        <w:spacing w:line="360" w:lineRule="auto"/>
        <w:ind w:firstLine="480" w:firstLineChars="200"/>
        <w:rPr>
          <w:rFonts w:hint="eastAsia" w:ascii="宋体" w:hAnsi="宋体" w:cs="宋体"/>
          <w:sz w:val="24"/>
          <w:szCs w:val="24"/>
        </w:rPr>
      </w:pPr>
      <w:r>
        <w:rPr>
          <w:rFonts w:hint="eastAsia" w:ascii="宋体" w:hAnsi="宋体" w:cs="宋体"/>
          <w:sz w:val="24"/>
          <w:szCs w:val="24"/>
        </w:rPr>
        <w:t>支持IQ短时存储：DDR4存储≥4GB。</w:t>
      </w:r>
    </w:p>
    <w:p w14:paraId="15E630E2">
      <w:pPr>
        <w:spacing w:line="360" w:lineRule="auto"/>
        <w:ind w:firstLine="480" w:firstLineChars="200"/>
        <w:rPr>
          <w:rFonts w:hint="eastAsia" w:ascii="宋体" w:hAnsi="宋体" w:cs="宋体"/>
          <w:sz w:val="24"/>
          <w:szCs w:val="24"/>
        </w:rPr>
      </w:pPr>
      <w:r>
        <w:rPr>
          <w:rFonts w:hint="eastAsia" w:ascii="宋体" w:hAnsi="宋体" w:cs="宋体"/>
          <w:sz w:val="24"/>
          <w:szCs w:val="24"/>
        </w:rPr>
        <w:t>（3）铁路专项监测设备指标：</w:t>
      </w:r>
    </w:p>
    <w:p w14:paraId="0749FEB6">
      <w:pPr>
        <w:spacing w:line="360" w:lineRule="auto"/>
        <w:ind w:firstLine="480" w:firstLineChars="200"/>
        <w:rPr>
          <w:rFonts w:hint="eastAsia" w:ascii="宋体" w:hAnsi="宋体" w:cs="宋体"/>
          <w:sz w:val="24"/>
          <w:szCs w:val="24"/>
        </w:rPr>
      </w:pPr>
      <w:r>
        <w:rPr>
          <w:rFonts w:hint="eastAsia" w:ascii="宋体" w:hAnsi="宋体" w:cs="宋体"/>
          <w:sz w:val="24"/>
          <w:szCs w:val="24"/>
        </w:rPr>
        <w:t>频率范围：上行885～889MHz、下行930～934MHz；</w:t>
      </w:r>
    </w:p>
    <w:p w14:paraId="39FEB1C1">
      <w:pPr>
        <w:spacing w:line="360" w:lineRule="auto"/>
        <w:ind w:firstLine="480" w:firstLineChars="200"/>
        <w:rPr>
          <w:rFonts w:hint="eastAsia" w:ascii="宋体" w:hAnsi="宋体" w:cs="宋体"/>
          <w:sz w:val="24"/>
          <w:szCs w:val="24"/>
        </w:rPr>
      </w:pPr>
      <w:r>
        <w:rPr>
          <w:rFonts w:hint="eastAsia" w:ascii="宋体" w:hAnsi="宋体" w:cs="宋体"/>
          <w:sz w:val="24"/>
          <w:szCs w:val="24"/>
        </w:rPr>
        <w:t>频率准确度：≤1×10</w:t>
      </w:r>
      <w:r>
        <w:rPr>
          <w:rFonts w:hint="eastAsia" w:ascii="宋体" w:hAnsi="宋体" w:cs="宋体"/>
          <w:sz w:val="24"/>
          <w:szCs w:val="24"/>
          <w:vertAlign w:val="superscript"/>
        </w:rPr>
        <w:t>-7</w:t>
      </w:r>
      <w:r>
        <w:rPr>
          <w:rFonts w:hint="eastAsia" w:ascii="宋体" w:hAnsi="宋体" w:cs="宋体"/>
          <w:sz w:val="24"/>
          <w:szCs w:val="24"/>
        </w:rPr>
        <w:t>；</w:t>
      </w:r>
    </w:p>
    <w:p w14:paraId="0FF6D7F9">
      <w:pPr>
        <w:spacing w:line="360" w:lineRule="auto"/>
        <w:ind w:firstLine="480" w:firstLineChars="200"/>
        <w:rPr>
          <w:rFonts w:hint="eastAsia" w:ascii="宋体" w:hAnsi="宋体" w:cs="宋体"/>
          <w:sz w:val="24"/>
          <w:szCs w:val="24"/>
        </w:rPr>
      </w:pPr>
      <w:r>
        <w:rPr>
          <w:rFonts w:hint="eastAsia" w:ascii="宋体" w:hAnsi="宋体" w:cs="宋体"/>
          <w:sz w:val="24"/>
          <w:szCs w:val="24"/>
        </w:rPr>
        <w:t>相位噪声：≤-100dBc/Hz@10kHz；</w:t>
      </w:r>
    </w:p>
    <w:p w14:paraId="50D7DFF6">
      <w:pPr>
        <w:spacing w:line="360" w:lineRule="auto"/>
        <w:ind w:firstLine="480" w:firstLineChars="200"/>
        <w:rPr>
          <w:rFonts w:hint="eastAsia" w:ascii="宋体" w:hAnsi="宋体" w:cs="宋体"/>
          <w:sz w:val="24"/>
          <w:szCs w:val="24"/>
        </w:rPr>
      </w:pPr>
      <w:r>
        <w:rPr>
          <w:rFonts w:hint="eastAsia" w:ascii="宋体" w:hAnsi="宋体" w:cs="宋体"/>
          <w:sz w:val="24"/>
          <w:szCs w:val="24"/>
        </w:rPr>
        <w:t>中频实时带宽：10MHz；</w:t>
      </w:r>
    </w:p>
    <w:p w14:paraId="25803EA6">
      <w:pPr>
        <w:spacing w:line="360" w:lineRule="auto"/>
        <w:ind w:firstLine="480" w:firstLineChars="200"/>
        <w:rPr>
          <w:rFonts w:hint="eastAsia" w:ascii="宋体" w:hAnsi="宋体" w:cs="宋体"/>
          <w:sz w:val="24"/>
          <w:szCs w:val="24"/>
        </w:rPr>
      </w:pPr>
      <w:r>
        <w:rPr>
          <w:rFonts w:hint="eastAsia" w:ascii="宋体" w:hAnsi="宋体" w:cs="宋体"/>
          <w:sz w:val="24"/>
          <w:szCs w:val="24"/>
        </w:rPr>
        <w:t>中频抑制：≥85dB；</w:t>
      </w:r>
    </w:p>
    <w:p w14:paraId="774F3658">
      <w:pPr>
        <w:spacing w:line="360" w:lineRule="auto"/>
        <w:ind w:firstLine="480" w:firstLineChars="200"/>
        <w:rPr>
          <w:rFonts w:hint="eastAsia" w:ascii="宋体" w:hAnsi="宋体" w:cs="宋体"/>
          <w:sz w:val="24"/>
          <w:szCs w:val="24"/>
        </w:rPr>
      </w:pPr>
      <w:r>
        <w:rPr>
          <w:rFonts w:hint="eastAsia" w:ascii="宋体" w:hAnsi="宋体" w:cs="宋体"/>
          <w:sz w:val="24"/>
          <w:szCs w:val="24"/>
        </w:rPr>
        <w:t>镜频抑制：≥85dB；</w:t>
      </w:r>
    </w:p>
    <w:p w14:paraId="64B2A19D">
      <w:pPr>
        <w:spacing w:line="360" w:lineRule="auto"/>
        <w:ind w:firstLine="480" w:firstLineChars="200"/>
        <w:rPr>
          <w:rFonts w:hint="eastAsia" w:ascii="宋体" w:hAnsi="宋体" w:cs="宋体"/>
          <w:sz w:val="24"/>
          <w:szCs w:val="24"/>
        </w:rPr>
      </w:pPr>
      <w:r>
        <w:rPr>
          <w:rFonts w:hint="eastAsia" w:ascii="宋体" w:hAnsi="宋体" w:cs="宋体"/>
          <w:sz w:val="24"/>
          <w:szCs w:val="24"/>
        </w:rPr>
        <w:t>扫描速度：≥20GHz/s（分辨率25kHz）；</w:t>
      </w:r>
    </w:p>
    <w:p w14:paraId="7CB0D30E">
      <w:pPr>
        <w:spacing w:line="360" w:lineRule="auto"/>
        <w:ind w:firstLine="480" w:firstLineChars="200"/>
        <w:rPr>
          <w:rFonts w:hint="eastAsia" w:ascii="宋体" w:hAnsi="宋体" w:cs="宋体"/>
          <w:sz w:val="24"/>
          <w:szCs w:val="24"/>
        </w:rPr>
      </w:pPr>
      <w:r>
        <w:rPr>
          <w:rFonts w:hint="eastAsia" w:ascii="宋体" w:hAnsi="宋体" w:cs="宋体"/>
          <w:sz w:val="24"/>
          <w:szCs w:val="24"/>
        </w:rPr>
        <w:t>二阶互调截断点：≥45dBm；</w:t>
      </w:r>
    </w:p>
    <w:p w14:paraId="72FE2DC3">
      <w:pPr>
        <w:spacing w:line="360" w:lineRule="auto"/>
        <w:ind w:firstLine="480" w:firstLineChars="200"/>
        <w:rPr>
          <w:rFonts w:hint="eastAsia" w:ascii="宋体" w:hAnsi="宋体" w:cs="宋体"/>
          <w:sz w:val="24"/>
          <w:szCs w:val="24"/>
        </w:rPr>
      </w:pPr>
      <w:r>
        <w:rPr>
          <w:rFonts w:hint="eastAsia" w:ascii="宋体" w:hAnsi="宋体" w:cs="宋体"/>
          <w:sz w:val="24"/>
          <w:szCs w:val="24"/>
        </w:rPr>
        <w:t>三阶互调截断点：≥10dBm；</w:t>
      </w:r>
    </w:p>
    <w:p w14:paraId="03B9C209">
      <w:pPr>
        <w:spacing w:line="360" w:lineRule="auto"/>
        <w:ind w:firstLine="480" w:firstLineChars="200"/>
        <w:rPr>
          <w:rFonts w:hint="eastAsia" w:ascii="宋体" w:hAnsi="宋体" w:cs="宋体"/>
          <w:sz w:val="24"/>
          <w:szCs w:val="24"/>
        </w:rPr>
      </w:pPr>
      <w:r>
        <w:rPr>
          <w:rFonts w:hint="eastAsia" w:ascii="宋体" w:hAnsi="宋体" w:cs="宋体"/>
          <w:sz w:val="24"/>
          <w:szCs w:val="24"/>
        </w:rPr>
        <w:t>噪声系数：≤10dB。</w:t>
      </w:r>
    </w:p>
    <w:p w14:paraId="34C71DFB">
      <w:pPr>
        <w:spacing w:line="360" w:lineRule="auto"/>
        <w:ind w:firstLine="480" w:firstLineChars="200"/>
        <w:rPr>
          <w:rFonts w:hint="eastAsia" w:ascii="宋体" w:hAnsi="宋体" w:cs="宋体"/>
          <w:sz w:val="24"/>
          <w:szCs w:val="24"/>
        </w:rPr>
      </w:pPr>
      <w:r>
        <w:rPr>
          <w:rFonts w:hint="eastAsia" w:ascii="宋体" w:hAnsi="宋体" w:cs="宋体"/>
          <w:sz w:val="24"/>
          <w:szCs w:val="24"/>
        </w:rPr>
        <w:t>（4）</w:t>
      </w:r>
      <w:r>
        <w:rPr>
          <w:rFonts w:ascii="宋体" w:hAnsi="宋体" w:cs="宋体"/>
          <w:sz w:val="24"/>
          <w:szCs w:val="24"/>
        </w:rPr>
        <w:t>信号发射及分析专用设备</w:t>
      </w:r>
      <w:r>
        <w:rPr>
          <w:rFonts w:hint="eastAsia" w:ascii="宋体" w:hAnsi="宋体" w:cs="宋体"/>
          <w:sz w:val="24"/>
          <w:szCs w:val="24"/>
        </w:rPr>
        <w:t>：</w:t>
      </w:r>
    </w:p>
    <w:p w14:paraId="48046726">
      <w:pPr>
        <w:spacing w:line="360" w:lineRule="auto"/>
        <w:ind w:firstLine="480" w:firstLineChars="200"/>
        <w:rPr>
          <w:rFonts w:hint="eastAsia" w:ascii="宋体" w:hAnsi="宋体" w:cs="宋体"/>
          <w:sz w:val="24"/>
          <w:szCs w:val="24"/>
        </w:rPr>
      </w:pPr>
      <w:r>
        <w:rPr>
          <w:rFonts w:hint="eastAsia" w:ascii="宋体" w:hAnsi="宋体" w:cs="宋体"/>
          <w:sz w:val="24"/>
          <w:szCs w:val="24"/>
        </w:rPr>
        <w:t>单机设备具备信号采集分析及发射回放功能；</w:t>
      </w:r>
    </w:p>
    <w:p w14:paraId="576D1214">
      <w:pPr>
        <w:spacing w:line="360" w:lineRule="auto"/>
        <w:ind w:firstLine="480" w:firstLineChars="200"/>
        <w:rPr>
          <w:rFonts w:hint="eastAsia" w:ascii="宋体" w:hAnsi="宋体" w:cs="宋体"/>
          <w:sz w:val="24"/>
          <w:szCs w:val="24"/>
        </w:rPr>
      </w:pPr>
      <w:r>
        <w:rPr>
          <w:rFonts w:hint="eastAsia" w:ascii="宋体" w:hAnsi="宋体" w:cs="宋体"/>
          <w:sz w:val="24"/>
          <w:szCs w:val="24"/>
        </w:rPr>
        <w:t>信号产生、接收分析频率范围：不低于50MHz～6GHz；</w:t>
      </w:r>
    </w:p>
    <w:p w14:paraId="0D12DEAF">
      <w:pPr>
        <w:spacing w:line="360" w:lineRule="auto"/>
        <w:ind w:firstLine="480" w:firstLineChars="200"/>
        <w:rPr>
          <w:rFonts w:hint="eastAsia" w:ascii="宋体" w:hAnsi="宋体" w:cs="宋体"/>
          <w:sz w:val="24"/>
          <w:szCs w:val="24"/>
        </w:rPr>
      </w:pPr>
      <w:r>
        <w:rPr>
          <w:rFonts w:hint="eastAsia" w:ascii="宋体" w:hAnsi="宋体" w:cs="宋体"/>
          <w:sz w:val="24"/>
          <w:szCs w:val="24"/>
        </w:rPr>
        <w:t>信号产生调制带宽：≥25MHz；</w:t>
      </w:r>
    </w:p>
    <w:p w14:paraId="12468FE8">
      <w:pPr>
        <w:spacing w:line="360" w:lineRule="auto"/>
        <w:ind w:firstLine="480" w:firstLineChars="200"/>
        <w:rPr>
          <w:rFonts w:hint="eastAsia" w:ascii="宋体" w:hAnsi="宋体" w:cs="宋体"/>
          <w:sz w:val="24"/>
          <w:szCs w:val="24"/>
        </w:rPr>
      </w:pPr>
      <w:r>
        <w:rPr>
          <w:rFonts w:hint="eastAsia" w:ascii="宋体" w:hAnsi="宋体" w:cs="宋体"/>
          <w:sz w:val="24"/>
          <w:szCs w:val="24"/>
        </w:rPr>
        <w:t>信号分析带宽：≥25MHz；</w:t>
      </w:r>
    </w:p>
    <w:p w14:paraId="6B27D03B">
      <w:pPr>
        <w:spacing w:line="360" w:lineRule="auto"/>
        <w:ind w:firstLine="480" w:firstLineChars="200"/>
        <w:rPr>
          <w:rFonts w:hint="eastAsia" w:ascii="宋体" w:hAnsi="宋体" w:cs="宋体"/>
          <w:sz w:val="24"/>
          <w:szCs w:val="24"/>
        </w:rPr>
      </w:pPr>
      <w:r>
        <w:rPr>
          <w:rFonts w:hint="eastAsia" w:ascii="宋体" w:hAnsi="宋体" w:cs="宋体"/>
          <w:sz w:val="24"/>
          <w:szCs w:val="24"/>
        </w:rPr>
        <w:t>可产生：CW、AM、FM、脉冲、扫频、数传、LoRa、TETRA、DMR、dPMR、FSK、ASK、OOK、BPSK、QPSK、π/4DQPSK、8PSK、QAM、AWGN、GSM、WCDMA、TD-LTE、LTE FDD等信号；</w:t>
      </w:r>
    </w:p>
    <w:p w14:paraId="4572D7ED">
      <w:pPr>
        <w:spacing w:line="360" w:lineRule="auto"/>
        <w:ind w:firstLine="480" w:firstLineChars="200"/>
        <w:rPr>
          <w:rFonts w:hint="eastAsia" w:ascii="宋体" w:hAnsi="宋体" w:cs="宋体"/>
          <w:sz w:val="24"/>
          <w:szCs w:val="24"/>
        </w:rPr>
      </w:pPr>
      <w:r>
        <w:rPr>
          <w:rFonts w:hint="eastAsia" w:ascii="宋体" w:hAnsi="宋体" w:cs="宋体"/>
          <w:sz w:val="24"/>
          <w:szCs w:val="24"/>
        </w:rPr>
        <w:t>具备外部信号IQ文件导入及信号播放、回放功能；</w:t>
      </w:r>
    </w:p>
    <w:p w14:paraId="1E11EB73">
      <w:pPr>
        <w:spacing w:line="360" w:lineRule="auto"/>
        <w:ind w:firstLine="480" w:firstLineChars="200"/>
        <w:rPr>
          <w:rFonts w:hint="eastAsia" w:ascii="宋体" w:hAnsi="宋体" w:cs="宋体"/>
          <w:sz w:val="24"/>
          <w:szCs w:val="24"/>
        </w:rPr>
      </w:pPr>
      <w:r>
        <w:rPr>
          <w:rFonts w:hint="eastAsia" w:ascii="宋体" w:hAnsi="宋体" w:cs="宋体"/>
          <w:sz w:val="24"/>
          <w:szCs w:val="24"/>
        </w:rPr>
        <w:t>相位噪声：≤-80dBc/Hz（@1GHz，偏置10kHz）；</w:t>
      </w:r>
    </w:p>
    <w:p w14:paraId="373F90CF">
      <w:pPr>
        <w:spacing w:line="360" w:lineRule="auto"/>
        <w:ind w:firstLine="480" w:firstLineChars="200"/>
        <w:rPr>
          <w:rFonts w:hint="eastAsia" w:ascii="宋体" w:hAnsi="宋体" w:cs="宋体"/>
          <w:sz w:val="24"/>
          <w:szCs w:val="24"/>
        </w:rPr>
      </w:pPr>
      <w:r>
        <w:rPr>
          <w:rFonts w:hint="eastAsia" w:ascii="宋体" w:hAnsi="宋体" w:cs="宋体"/>
          <w:sz w:val="24"/>
          <w:szCs w:val="24"/>
        </w:rPr>
        <w:t>具备信号时域、频域测试能力，提供通道功率、占用带宽、峰值搜索等快捷测试功能；</w:t>
      </w:r>
    </w:p>
    <w:p w14:paraId="682C0CFD">
      <w:pPr>
        <w:spacing w:line="360" w:lineRule="auto"/>
        <w:ind w:firstLine="480" w:firstLineChars="200"/>
        <w:rPr>
          <w:rFonts w:hint="eastAsia" w:ascii="宋体" w:hAnsi="宋体" w:cs="宋体"/>
          <w:sz w:val="24"/>
          <w:szCs w:val="24"/>
        </w:rPr>
      </w:pPr>
      <w:r>
        <w:rPr>
          <w:rFonts w:hint="eastAsia" w:ascii="宋体" w:hAnsi="宋体" w:cs="宋体"/>
          <w:sz w:val="24"/>
          <w:szCs w:val="24"/>
        </w:rPr>
        <w:t>具备脉冲信号专项分析能力；包括信号频谱、占用带宽、脉冲宽度、脉冲周期等；</w:t>
      </w:r>
    </w:p>
    <w:p w14:paraId="5D24C986">
      <w:pPr>
        <w:spacing w:line="360" w:lineRule="auto"/>
        <w:ind w:firstLine="480" w:firstLineChars="200"/>
        <w:rPr>
          <w:rFonts w:hint="eastAsia" w:ascii="宋体" w:hAnsi="宋体" w:cs="宋体"/>
          <w:sz w:val="24"/>
          <w:szCs w:val="24"/>
        </w:rPr>
      </w:pPr>
      <w:r>
        <w:rPr>
          <w:rFonts w:hint="eastAsia" w:ascii="宋体" w:hAnsi="宋体" w:cs="宋体"/>
          <w:sz w:val="24"/>
          <w:szCs w:val="24"/>
        </w:rPr>
        <w:t>具备扫频信号专项分析能力，包括扫描频率范围、频率间隔、扫描点数、驻留时间和扫描周期等；</w:t>
      </w:r>
    </w:p>
    <w:p w14:paraId="04346DBC">
      <w:pPr>
        <w:spacing w:line="360" w:lineRule="auto"/>
        <w:ind w:firstLine="480" w:firstLineChars="200"/>
        <w:rPr>
          <w:rFonts w:hint="eastAsia" w:ascii="宋体" w:hAnsi="宋体" w:cs="宋体"/>
          <w:sz w:val="24"/>
          <w:szCs w:val="24"/>
        </w:rPr>
      </w:pPr>
      <w:r>
        <w:rPr>
          <w:rFonts w:hint="eastAsia" w:ascii="宋体" w:hAnsi="宋体" w:cs="宋体"/>
          <w:sz w:val="24"/>
          <w:szCs w:val="24"/>
        </w:rPr>
        <w:t>可完成AM、FM模拟信号解调，解析出调制参数和语音；</w:t>
      </w:r>
    </w:p>
    <w:p w14:paraId="3668EBDB">
      <w:pPr>
        <w:spacing w:line="360" w:lineRule="auto"/>
        <w:ind w:firstLine="480" w:firstLineChars="200"/>
        <w:rPr>
          <w:rFonts w:hint="eastAsia" w:ascii="宋体" w:hAnsi="宋体" w:cs="宋体"/>
          <w:sz w:val="24"/>
          <w:szCs w:val="24"/>
        </w:rPr>
      </w:pPr>
      <w:r>
        <w:rPr>
          <w:rFonts w:hint="eastAsia" w:ascii="宋体" w:hAnsi="宋体" w:cs="宋体"/>
          <w:sz w:val="24"/>
          <w:szCs w:val="24"/>
        </w:rPr>
        <w:t>具备PSK、DPSK、QAM、FSK、DMR、dPMR、TETRA等信号解调分析功能；</w:t>
      </w:r>
    </w:p>
    <w:p w14:paraId="6C6A22FB">
      <w:pPr>
        <w:spacing w:line="360" w:lineRule="auto"/>
        <w:ind w:firstLine="480" w:firstLineChars="200"/>
        <w:rPr>
          <w:rFonts w:hint="eastAsia" w:ascii="宋体" w:hAnsi="宋体" w:cs="宋体"/>
          <w:sz w:val="24"/>
          <w:szCs w:val="24"/>
        </w:rPr>
      </w:pPr>
      <w:r>
        <w:rPr>
          <w:rFonts w:hint="eastAsia" w:ascii="宋体" w:hAnsi="宋体" w:cs="宋体"/>
          <w:sz w:val="24"/>
          <w:szCs w:val="24"/>
        </w:rPr>
        <w:t>便携式一体化整机、具备10寸以上液晶触控屏、内置主流操作系统，中文操作界面，具备WiFi通信及数据传输功能；</w:t>
      </w:r>
    </w:p>
    <w:p w14:paraId="59FB64A0">
      <w:pPr>
        <w:spacing w:line="360" w:lineRule="auto"/>
        <w:ind w:firstLine="480" w:firstLineChars="200"/>
        <w:rPr>
          <w:rFonts w:hint="eastAsia" w:ascii="宋体" w:hAnsi="宋体" w:cs="宋体"/>
          <w:sz w:val="24"/>
          <w:szCs w:val="24"/>
        </w:rPr>
      </w:pPr>
      <w:r>
        <w:rPr>
          <w:rFonts w:hint="eastAsia" w:ascii="宋体" w:hAnsi="宋体" w:cs="宋体"/>
          <w:sz w:val="24"/>
          <w:szCs w:val="24"/>
        </w:rPr>
        <w:t>内置GNSS接收机，能提供设备的位置信息。</w:t>
      </w:r>
    </w:p>
    <w:p w14:paraId="48C15AB3">
      <w:pPr>
        <w:spacing w:line="360" w:lineRule="auto"/>
        <w:ind w:firstLine="480" w:firstLineChars="200"/>
        <w:rPr>
          <w:rFonts w:hint="eastAsia" w:ascii="宋体" w:hAnsi="宋体" w:cs="宋体"/>
          <w:sz w:val="24"/>
          <w:szCs w:val="24"/>
        </w:rPr>
      </w:pPr>
      <w:r>
        <w:rPr>
          <w:rFonts w:hint="eastAsia" w:ascii="宋体" w:hAnsi="宋体" w:cs="宋体"/>
          <w:sz w:val="24"/>
          <w:szCs w:val="24"/>
        </w:rPr>
        <w:t>配套外携单元可独立开展频谱监测功能，单机具备可显示频谱的显示屏，具备独立电池，外形小巧重量轻便。</w:t>
      </w:r>
    </w:p>
    <w:p w14:paraId="37E22BDB">
      <w:pPr>
        <w:spacing w:line="360" w:lineRule="auto"/>
        <w:outlineLvl w:val="2"/>
        <w:rPr>
          <w:rFonts w:hint="eastAsia" w:ascii="宋体" w:hAnsi="宋体" w:cs="宋体"/>
          <w:sz w:val="24"/>
          <w:szCs w:val="24"/>
        </w:rPr>
      </w:pPr>
      <w:bookmarkStart w:id="9" w:name="_Toc69223244"/>
      <w:bookmarkStart w:id="10" w:name="_Toc120713940"/>
      <w:bookmarkStart w:id="11" w:name="_Toc16600763"/>
      <w:bookmarkStart w:id="12" w:name="_Toc52109514"/>
      <w:bookmarkStart w:id="13" w:name="_Toc85788522"/>
      <w:bookmarkStart w:id="14" w:name="_Toc158018813"/>
      <w:bookmarkStart w:id="15" w:name="_Toc513813683"/>
      <w:r>
        <w:rPr>
          <w:rFonts w:hint="eastAsia" w:ascii="宋体" w:hAnsi="宋体" w:cs="宋体"/>
          <w:sz w:val="24"/>
          <w:szCs w:val="24"/>
        </w:rPr>
        <w:t>3.2、测向系统技术指标</w:t>
      </w:r>
      <w:bookmarkEnd w:id="9"/>
      <w:bookmarkEnd w:id="10"/>
      <w:bookmarkEnd w:id="11"/>
      <w:bookmarkEnd w:id="12"/>
      <w:bookmarkEnd w:id="13"/>
      <w:bookmarkEnd w:id="14"/>
      <w:bookmarkEnd w:id="15"/>
    </w:p>
    <w:p w14:paraId="1ED5787A">
      <w:pPr>
        <w:spacing w:line="360" w:lineRule="auto"/>
        <w:ind w:firstLine="480" w:firstLineChars="200"/>
        <w:rPr>
          <w:rFonts w:hint="eastAsia" w:ascii="宋体" w:hAnsi="宋体" w:cs="宋体"/>
          <w:sz w:val="24"/>
          <w:szCs w:val="24"/>
        </w:rPr>
      </w:pPr>
      <w:r>
        <w:rPr>
          <w:rFonts w:hint="eastAsia" w:ascii="宋体" w:hAnsi="宋体" w:cs="宋体"/>
          <w:sz w:val="24"/>
          <w:szCs w:val="24"/>
        </w:rPr>
        <w:t>频率范围：</w:t>
      </w:r>
      <w:bookmarkStart w:id="16" w:name="_Hlk188384320"/>
      <w:r>
        <w:rPr>
          <w:rFonts w:hint="eastAsia" w:ascii="宋体" w:hAnsi="宋体" w:cs="宋体"/>
          <w:sz w:val="24"/>
          <w:szCs w:val="24"/>
        </w:rPr>
        <w:t>不低于20MHz～8GHz</w:t>
      </w:r>
      <w:bookmarkEnd w:id="16"/>
      <w:r>
        <w:rPr>
          <w:rFonts w:ascii="宋体" w:hAnsi="宋体" w:cs="宋体"/>
          <w:sz w:val="24"/>
          <w:szCs w:val="24"/>
        </w:rPr>
        <w:t>（垂直极化）、40MHz～1300MHz（水平极化）</w:t>
      </w:r>
      <w:r>
        <w:rPr>
          <w:rFonts w:hint="eastAsia" w:ascii="宋体" w:hAnsi="宋体" w:cs="宋体"/>
          <w:sz w:val="24"/>
          <w:szCs w:val="24"/>
        </w:rPr>
        <w:t xml:space="preserve">； </w:t>
      </w:r>
    </w:p>
    <w:p w14:paraId="24D02B59">
      <w:pPr>
        <w:spacing w:line="360" w:lineRule="auto"/>
        <w:ind w:firstLine="480" w:firstLineChars="200"/>
        <w:rPr>
          <w:rFonts w:hint="eastAsia" w:ascii="宋体" w:hAnsi="宋体" w:cs="宋体"/>
          <w:sz w:val="24"/>
          <w:szCs w:val="24"/>
        </w:rPr>
      </w:pPr>
      <w:r>
        <w:rPr>
          <w:rFonts w:hint="eastAsia" w:ascii="宋体" w:hAnsi="宋体" w:cs="宋体"/>
          <w:sz w:val="24"/>
          <w:szCs w:val="24"/>
        </w:rPr>
        <w:t>测向体制：相关干涉仪和空间谱估计双测向体制；</w:t>
      </w:r>
    </w:p>
    <w:p w14:paraId="347267F1">
      <w:pPr>
        <w:spacing w:line="360" w:lineRule="auto"/>
        <w:ind w:firstLine="480" w:firstLineChars="200"/>
        <w:rPr>
          <w:rFonts w:hint="eastAsia" w:ascii="宋体" w:hAnsi="宋体" w:cs="宋体"/>
          <w:sz w:val="24"/>
          <w:szCs w:val="24"/>
        </w:rPr>
      </w:pPr>
      <w:r>
        <w:rPr>
          <w:rFonts w:hint="eastAsia" w:ascii="宋体" w:hAnsi="宋体" w:cs="宋体"/>
          <w:sz w:val="24"/>
          <w:szCs w:val="24"/>
        </w:rPr>
        <w:t>测向带宽：≥80MHz；</w:t>
      </w:r>
    </w:p>
    <w:p w14:paraId="1604424F">
      <w:pPr>
        <w:spacing w:line="360" w:lineRule="auto"/>
        <w:ind w:firstLine="480" w:firstLineChars="200"/>
        <w:rPr>
          <w:rFonts w:hint="eastAsia" w:ascii="宋体" w:hAnsi="宋体" w:cs="宋体"/>
          <w:sz w:val="24"/>
          <w:szCs w:val="24"/>
        </w:rPr>
      </w:pPr>
      <w:r>
        <w:rPr>
          <w:rFonts w:hint="eastAsia" w:ascii="宋体" w:hAnsi="宋体" w:cs="宋体"/>
          <w:sz w:val="24"/>
          <w:szCs w:val="24"/>
        </w:rPr>
        <w:t>测向准确度（测向精度）：≤2°（30MHz～3GHz，R.M.S，无反射环境），≤3°（3GHz～8GHz，R.M.S，无反射环境）；</w:t>
      </w:r>
    </w:p>
    <w:p w14:paraId="75399A87">
      <w:pPr>
        <w:spacing w:line="360" w:lineRule="auto"/>
        <w:ind w:firstLine="480" w:firstLineChars="200"/>
        <w:rPr>
          <w:rFonts w:hint="eastAsia" w:ascii="宋体" w:hAnsi="宋体" w:cs="宋体"/>
          <w:sz w:val="24"/>
          <w:szCs w:val="24"/>
        </w:rPr>
      </w:pPr>
      <w:r>
        <w:rPr>
          <w:rFonts w:hint="eastAsia" w:ascii="宋体" w:hAnsi="宋体" w:cs="宋体"/>
          <w:sz w:val="24"/>
          <w:szCs w:val="24"/>
        </w:rPr>
        <w:t>测向灵敏度：≤20dBμV/m（30MHz～3GHz），≤25dBμV/m（3GHz～8GHz）；</w:t>
      </w:r>
    </w:p>
    <w:p w14:paraId="2658DFEB">
      <w:pPr>
        <w:autoSpaceDE w:val="0"/>
        <w:autoSpaceDN w:val="0"/>
        <w:adjustRightInd w:val="0"/>
        <w:spacing w:line="360" w:lineRule="auto"/>
        <w:ind w:firstLine="480" w:firstLineChars="200"/>
        <w:rPr>
          <w:rFonts w:hint="eastAsia" w:ascii="宋体" w:hAnsi="宋体" w:cs="宋体"/>
          <w:sz w:val="24"/>
          <w:szCs w:val="24"/>
        </w:rPr>
      </w:pPr>
      <w:r>
        <w:rPr>
          <w:rFonts w:hint="eastAsia" w:ascii="宋体" w:hAnsi="宋体" w:cs="宋体"/>
          <w:sz w:val="24"/>
          <w:szCs w:val="24"/>
        </w:rPr>
        <w:t>最小信号驻留时间：≤0.5ms（20MHz～8GHz，单次突发信号）；</w:t>
      </w:r>
    </w:p>
    <w:p w14:paraId="5205C80B">
      <w:pPr>
        <w:autoSpaceDE w:val="0"/>
        <w:autoSpaceDN w:val="0"/>
        <w:adjustRightInd w:val="0"/>
        <w:spacing w:line="360" w:lineRule="auto"/>
        <w:ind w:firstLine="480" w:firstLineChars="200"/>
        <w:rPr>
          <w:rFonts w:hint="eastAsia" w:ascii="宋体" w:hAnsi="宋体" w:cs="宋体"/>
          <w:sz w:val="24"/>
          <w:szCs w:val="24"/>
        </w:rPr>
      </w:pPr>
      <w:r>
        <w:rPr>
          <w:rFonts w:hint="eastAsia" w:ascii="宋体" w:hAnsi="宋体" w:cs="宋体"/>
          <w:sz w:val="24"/>
          <w:szCs w:val="24"/>
        </w:rPr>
        <w:t>同频非相干信号分离个数（D/λ&gt;1）：≥3个；</w:t>
      </w:r>
    </w:p>
    <w:p w14:paraId="119BE67F">
      <w:pPr>
        <w:autoSpaceDE w:val="0"/>
        <w:autoSpaceDN w:val="0"/>
        <w:adjustRightInd w:val="0"/>
        <w:spacing w:line="360" w:lineRule="auto"/>
        <w:ind w:firstLine="480" w:firstLineChars="200"/>
        <w:rPr>
          <w:rFonts w:hint="eastAsia" w:ascii="宋体" w:hAnsi="宋体" w:cs="宋体"/>
          <w:sz w:val="24"/>
          <w:szCs w:val="24"/>
        </w:rPr>
      </w:pPr>
      <w:r>
        <w:rPr>
          <w:rFonts w:hint="eastAsia" w:ascii="宋体" w:hAnsi="宋体" w:cs="宋体"/>
          <w:sz w:val="24"/>
          <w:szCs w:val="24"/>
        </w:rPr>
        <w:t>同频相干信号分离个数（D/λ&gt;1）：≥2个；</w:t>
      </w:r>
    </w:p>
    <w:p w14:paraId="6F349D19">
      <w:pPr>
        <w:autoSpaceDE w:val="0"/>
        <w:autoSpaceDN w:val="0"/>
        <w:adjustRightInd w:val="0"/>
        <w:spacing w:line="360" w:lineRule="auto"/>
        <w:ind w:firstLine="480" w:firstLineChars="200"/>
        <w:rPr>
          <w:rFonts w:hint="eastAsia" w:ascii="宋体" w:hAnsi="宋体" w:cs="宋体"/>
          <w:sz w:val="24"/>
          <w:szCs w:val="24"/>
        </w:rPr>
      </w:pPr>
      <w:r>
        <w:rPr>
          <w:rFonts w:hint="eastAsia" w:ascii="宋体" w:hAnsi="宋体" w:cs="宋体"/>
          <w:sz w:val="24"/>
          <w:szCs w:val="24"/>
        </w:rPr>
        <w:t>最小同频分辨角度（D/λ&gt;1）：≤20°。</w:t>
      </w:r>
    </w:p>
    <w:p w14:paraId="219C6555">
      <w:pPr>
        <w:spacing w:line="360" w:lineRule="auto"/>
        <w:outlineLvl w:val="1"/>
        <w:rPr>
          <w:rFonts w:hint="eastAsia" w:ascii="宋体" w:hAnsi="宋体" w:cs="宋体"/>
          <w:b/>
          <w:bCs/>
          <w:sz w:val="24"/>
          <w:szCs w:val="24"/>
        </w:rPr>
      </w:pPr>
      <w:bookmarkStart w:id="17" w:name="_Toc158015930"/>
      <w:r>
        <w:rPr>
          <w:rFonts w:hint="eastAsia" w:ascii="宋体" w:hAnsi="宋体" w:cs="宋体"/>
          <w:b/>
          <w:bCs/>
          <w:sz w:val="24"/>
          <w:szCs w:val="24"/>
        </w:rPr>
        <w:t>4、系统功能</w:t>
      </w:r>
      <w:bookmarkEnd w:id="17"/>
      <w:r>
        <w:rPr>
          <w:rFonts w:hint="eastAsia" w:ascii="宋体" w:hAnsi="宋体" w:cs="宋体"/>
          <w:b/>
          <w:bCs/>
          <w:sz w:val="24"/>
          <w:szCs w:val="24"/>
        </w:rPr>
        <w:t>要求</w:t>
      </w:r>
    </w:p>
    <w:p w14:paraId="15E4D4C2">
      <w:pPr>
        <w:spacing w:line="360" w:lineRule="auto"/>
        <w:outlineLvl w:val="2"/>
        <w:rPr>
          <w:rFonts w:hint="eastAsia" w:ascii="宋体" w:hAnsi="宋体" w:cs="宋体"/>
          <w:sz w:val="24"/>
          <w:szCs w:val="24"/>
        </w:rPr>
      </w:pPr>
      <w:r>
        <w:rPr>
          <w:rFonts w:hint="eastAsia" w:ascii="宋体" w:hAnsi="宋体" w:cs="宋体"/>
          <w:sz w:val="24"/>
          <w:szCs w:val="24"/>
        </w:rPr>
        <w:t>4.1、基础功能</w:t>
      </w:r>
    </w:p>
    <w:p w14:paraId="0BAB6B34">
      <w:pPr>
        <w:spacing w:line="360" w:lineRule="auto"/>
        <w:ind w:firstLine="480" w:firstLineChars="200"/>
        <w:rPr>
          <w:rFonts w:hint="eastAsia" w:ascii="宋体" w:hAnsi="宋体" w:cs="宋体"/>
          <w:sz w:val="24"/>
          <w:szCs w:val="24"/>
        </w:rPr>
      </w:pPr>
      <w:r>
        <w:rPr>
          <w:rFonts w:hint="eastAsia" w:ascii="宋体" w:hAnsi="宋体" w:cs="宋体"/>
          <w:sz w:val="24"/>
          <w:szCs w:val="24"/>
        </w:rPr>
        <w:t>（1）基本监测功能：频率测量、电平测量、场强和功率通量密度测量、占用带宽测量、频率使用率测量等。</w:t>
      </w:r>
    </w:p>
    <w:p w14:paraId="1AD6E5A9">
      <w:pPr>
        <w:spacing w:line="360" w:lineRule="auto"/>
        <w:ind w:firstLine="480" w:firstLineChars="200"/>
        <w:rPr>
          <w:rFonts w:hint="eastAsia" w:ascii="宋体" w:hAnsi="宋体" w:cs="宋体"/>
          <w:sz w:val="24"/>
          <w:szCs w:val="24"/>
        </w:rPr>
      </w:pPr>
      <w:r>
        <w:rPr>
          <w:rFonts w:hint="eastAsia" w:ascii="宋体" w:hAnsi="宋体" w:cs="宋体"/>
          <w:sz w:val="24"/>
          <w:szCs w:val="24"/>
        </w:rPr>
        <w:t>（2）电磁环境测量。</w:t>
      </w:r>
    </w:p>
    <w:p w14:paraId="340BAC81">
      <w:pPr>
        <w:spacing w:line="360" w:lineRule="auto"/>
        <w:ind w:firstLine="480" w:firstLineChars="200"/>
        <w:rPr>
          <w:rFonts w:hint="eastAsia" w:ascii="宋体" w:hAnsi="宋体" w:cs="宋体"/>
          <w:sz w:val="24"/>
          <w:szCs w:val="24"/>
        </w:rPr>
      </w:pPr>
      <w:r>
        <w:rPr>
          <w:rFonts w:hint="eastAsia" w:ascii="宋体" w:hAnsi="宋体" w:cs="宋体"/>
          <w:sz w:val="24"/>
          <w:szCs w:val="24"/>
        </w:rPr>
        <w:t>（3）支持无线电测向及测向数据回放，能够对过去不少于24小时内出现过的干扰信号测向定位。</w:t>
      </w:r>
    </w:p>
    <w:p w14:paraId="739A7D97">
      <w:pPr>
        <w:spacing w:line="360" w:lineRule="auto"/>
        <w:ind w:firstLine="480" w:firstLineChars="200"/>
        <w:rPr>
          <w:rFonts w:hint="eastAsia" w:ascii="宋体" w:hAnsi="宋体" w:cs="宋体"/>
          <w:sz w:val="24"/>
          <w:szCs w:val="24"/>
        </w:rPr>
      </w:pPr>
      <w:r>
        <w:rPr>
          <w:rFonts w:hint="eastAsia" w:ascii="宋体" w:hAnsi="宋体" w:cs="宋体"/>
          <w:sz w:val="24"/>
          <w:szCs w:val="24"/>
        </w:rPr>
        <w:t>（4）支持监测和测向实时并行，具备实时多任务功能。</w:t>
      </w:r>
    </w:p>
    <w:p w14:paraId="536545A3">
      <w:pPr>
        <w:spacing w:line="360" w:lineRule="auto"/>
        <w:ind w:firstLine="480" w:firstLineChars="200"/>
        <w:rPr>
          <w:rFonts w:hint="eastAsia" w:ascii="宋体" w:hAnsi="宋体" w:cs="宋体"/>
          <w:sz w:val="24"/>
          <w:szCs w:val="24"/>
        </w:rPr>
      </w:pPr>
      <w:r>
        <w:rPr>
          <w:rFonts w:hint="eastAsia" w:ascii="宋体" w:hAnsi="宋体" w:cs="宋体"/>
          <w:sz w:val="24"/>
          <w:szCs w:val="24"/>
        </w:rPr>
        <w:t>（5）监测数据存储和处理。</w:t>
      </w:r>
    </w:p>
    <w:p w14:paraId="09B3BAFD">
      <w:pPr>
        <w:spacing w:line="360" w:lineRule="auto"/>
        <w:ind w:firstLine="480" w:firstLineChars="200"/>
        <w:rPr>
          <w:rFonts w:hint="eastAsia" w:ascii="宋体" w:hAnsi="宋体" w:cs="宋体"/>
          <w:sz w:val="24"/>
          <w:szCs w:val="24"/>
        </w:rPr>
      </w:pPr>
      <w:r>
        <w:rPr>
          <w:rFonts w:hint="eastAsia" w:ascii="宋体" w:hAnsi="宋体" w:cs="宋体"/>
          <w:sz w:val="24"/>
          <w:szCs w:val="24"/>
        </w:rPr>
        <w:t>（6）系统遥控和联网。</w:t>
      </w:r>
    </w:p>
    <w:p w14:paraId="24F7B3A8">
      <w:pPr>
        <w:spacing w:line="360" w:lineRule="auto"/>
        <w:ind w:firstLine="480" w:firstLineChars="200"/>
        <w:rPr>
          <w:rFonts w:hint="eastAsia" w:ascii="宋体" w:hAnsi="宋体" w:cs="宋体"/>
          <w:sz w:val="24"/>
          <w:szCs w:val="24"/>
        </w:rPr>
      </w:pPr>
      <w:r>
        <w:rPr>
          <w:rFonts w:hint="eastAsia" w:ascii="宋体" w:hAnsi="宋体" w:cs="宋体"/>
          <w:sz w:val="24"/>
          <w:szCs w:val="24"/>
        </w:rPr>
        <w:t>（7）系统自检。</w:t>
      </w:r>
    </w:p>
    <w:p w14:paraId="68CEA728">
      <w:pPr>
        <w:spacing w:line="360" w:lineRule="auto"/>
        <w:outlineLvl w:val="2"/>
        <w:rPr>
          <w:rFonts w:hint="eastAsia" w:ascii="宋体" w:hAnsi="宋体" w:cs="宋体"/>
          <w:sz w:val="24"/>
          <w:szCs w:val="24"/>
        </w:rPr>
      </w:pPr>
      <w:r>
        <w:rPr>
          <w:rFonts w:hint="eastAsia" w:ascii="宋体" w:hAnsi="宋体" w:cs="宋体"/>
          <w:sz w:val="24"/>
          <w:szCs w:val="24"/>
        </w:rPr>
        <w:t>4.2、单频测量</w:t>
      </w:r>
    </w:p>
    <w:p w14:paraId="0A53D0C5">
      <w:pPr>
        <w:spacing w:line="360" w:lineRule="auto"/>
        <w:ind w:firstLine="480"/>
        <w:rPr>
          <w:rFonts w:hint="eastAsia" w:ascii="宋体" w:hAnsi="宋体"/>
          <w:kern w:val="2"/>
          <w:sz w:val="24"/>
          <w:szCs w:val="24"/>
        </w:rPr>
      </w:pPr>
      <w:r>
        <w:rPr>
          <w:rFonts w:hint="eastAsia" w:ascii="宋体" w:hAnsi="宋体"/>
          <w:kern w:val="2"/>
          <w:sz w:val="24"/>
          <w:szCs w:val="24"/>
        </w:rPr>
        <w:t>能够按ITU标准测量无线电发射基本参数测量，包括频率测量、电平/场强测量、带宽测量、调制测量、频段和频道占用度测量、信号监听、录音等。可显示信号瀑布图。实现测量单位dBμv、dBm与dBμv/m等换算与显示。</w:t>
      </w:r>
    </w:p>
    <w:p w14:paraId="3E20C248">
      <w:pPr>
        <w:spacing w:line="360" w:lineRule="auto"/>
        <w:outlineLvl w:val="2"/>
        <w:rPr>
          <w:rFonts w:hint="eastAsia" w:ascii="宋体" w:hAnsi="宋体" w:cs="宋体"/>
          <w:sz w:val="24"/>
          <w:szCs w:val="24"/>
        </w:rPr>
      </w:pPr>
      <w:r>
        <w:rPr>
          <w:rFonts w:hint="eastAsia" w:ascii="宋体" w:hAnsi="宋体" w:cs="宋体"/>
          <w:sz w:val="24"/>
          <w:szCs w:val="24"/>
        </w:rPr>
        <w:t>4.3、频段扫描</w:t>
      </w:r>
    </w:p>
    <w:p w14:paraId="3E0204E1">
      <w:pPr>
        <w:spacing w:line="360" w:lineRule="auto"/>
        <w:ind w:firstLine="480"/>
        <w:rPr>
          <w:rFonts w:hint="eastAsia" w:ascii="宋体" w:hAnsi="宋体"/>
          <w:kern w:val="2"/>
          <w:sz w:val="24"/>
          <w:szCs w:val="24"/>
        </w:rPr>
      </w:pPr>
      <w:r>
        <w:rPr>
          <w:rFonts w:hint="eastAsia" w:ascii="宋体" w:hAnsi="宋体"/>
          <w:kern w:val="2"/>
          <w:sz w:val="24"/>
          <w:szCs w:val="24"/>
        </w:rPr>
        <w:t>可对一个频段或多个频段按一定的步进间隔进行扫描，实时测量各信号电平或场强，实时测量频段时间占有度，实现显示信号流动和瀑布图。当发现非法信号或异常信号，可以根据需要转入ITU测量等功能，数据可以保存回放。具有将测量信号、数据监听、录音、保存到数据库及打印的功能。扫描过程可以同时完成信号搜索，触发测量，占用度测量，干扰互调分析，日、月报数据采集，过程记录等工作。</w:t>
      </w:r>
    </w:p>
    <w:p w14:paraId="15C5A05E">
      <w:pPr>
        <w:spacing w:line="360" w:lineRule="auto"/>
        <w:outlineLvl w:val="2"/>
        <w:rPr>
          <w:rFonts w:hint="eastAsia" w:ascii="宋体" w:hAnsi="宋体" w:cs="宋体"/>
          <w:sz w:val="24"/>
          <w:szCs w:val="24"/>
        </w:rPr>
      </w:pPr>
      <w:r>
        <w:rPr>
          <w:rFonts w:hint="eastAsia" w:ascii="宋体" w:hAnsi="宋体" w:cs="宋体"/>
          <w:sz w:val="24"/>
          <w:szCs w:val="24"/>
        </w:rPr>
        <w:t>4.4、离散扫描</w:t>
      </w:r>
    </w:p>
    <w:p w14:paraId="69AA1590">
      <w:pPr>
        <w:spacing w:line="360" w:lineRule="auto"/>
        <w:ind w:firstLine="480"/>
        <w:rPr>
          <w:rFonts w:hint="eastAsia" w:ascii="宋体" w:hAnsi="宋体"/>
          <w:kern w:val="2"/>
          <w:sz w:val="24"/>
          <w:szCs w:val="24"/>
        </w:rPr>
      </w:pPr>
      <w:r>
        <w:rPr>
          <w:rFonts w:hint="eastAsia" w:ascii="宋体" w:hAnsi="宋体"/>
          <w:kern w:val="2"/>
          <w:sz w:val="24"/>
          <w:szCs w:val="24"/>
        </w:rPr>
        <w:t>能够根据用户的监测需求，实现多个预设频率的电平值测量。对离散的频点或频率表实时扫描监测，可以测量发射信号的电平或场强，实时测量各离散点时间占用度。测量频率可与样本库信息或台站数据库比对。对于异常的信号，根据需要转入ITU测量等功能，数据可以保存回放。</w:t>
      </w:r>
    </w:p>
    <w:p w14:paraId="2DE4C613">
      <w:pPr>
        <w:spacing w:line="360" w:lineRule="auto"/>
        <w:outlineLvl w:val="2"/>
        <w:rPr>
          <w:rFonts w:hint="eastAsia" w:ascii="宋体" w:hAnsi="宋体" w:cs="宋体"/>
          <w:sz w:val="24"/>
          <w:szCs w:val="24"/>
        </w:rPr>
      </w:pPr>
      <w:r>
        <w:rPr>
          <w:rFonts w:hint="eastAsia" w:ascii="宋体" w:hAnsi="宋体" w:cs="宋体"/>
          <w:sz w:val="24"/>
          <w:szCs w:val="24"/>
        </w:rPr>
        <w:t>4.5、多路窄带分析</w:t>
      </w:r>
    </w:p>
    <w:p w14:paraId="53A712FA">
      <w:pPr>
        <w:spacing w:line="360" w:lineRule="auto"/>
        <w:ind w:firstLine="480" w:firstLineChars="200"/>
        <w:rPr>
          <w:rFonts w:hint="eastAsia" w:ascii="宋体" w:hAnsi="宋体" w:cs="宋体"/>
          <w:sz w:val="24"/>
          <w:szCs w:val="24"/>
        </w:rPr>
      </w:pPr>
      <w:r>
        <w:rPr>
          <w:rFonts w:hint="eastAsia" w:ascii="宋体" w:hAnsi="宋体" w:cs="宋体"/>
          <w:sz w:val="24"/>
          <w:szCs w:val="24"/>
        </w:rPr>
        <w:t>可在接收机最大中频带宽下选择多个子路路进行分析，可同时展示中频频谱数据和子路频谱数据；子路通道支持单独参数设置功能，支持信号解调功能。</w:t>
      </w:r>
    </w:p>
    <w:p w14:paraId="496CEFC5">
      <w:pPr>
        <w:spacing w:line="360" w:lineRule="auto"/>
        <w:outlineLvl w:val="2"/>
        <w:rPr>
          <w:rFonts w:hint="eastAsia" w:ascii="宋体" w:hAnsi="宋体" w:cs="宋体"/>
          <w:sz w:val="24"/>
          <w:szCs w:val="24"/>
        </w:rPr>
      </w:pPr>
      <w:r>
        <w:rPr>
          <w:rFonts w:hint="eastAsia" w:ascii="宋体" w:hAnsi="宋体" w:cs="宋体"/>
          <w:sz w:val="24"/>
          <w:szCs w:val="24"/>
        </w:rPr>
        <w:t>4.6、信号截获</w:t>
      </w:r>
    </w:p>
    <w:p w14:paraId="706B9120">
      <w:pPr>
        <w:spacing w:line="360" w:lineRule="auto"/>
        <w:ind w:firstLine="480" w:firstLineChars="200"/>
        <w:rPr>
          <w:rFonts w:hint="eastAsia" w:ascii="宋体" w:hAnsi="宋体" w:cs="宋体"/>
          <w:sz w:val="24"/>
          <w:szCs w:val="24"/>
        </w:rPr>
      </w:pPr>
      <w:r>
        <w:rPr>
          <w:rFonts w:hint="eastAsia" w:ascii="宋体" w:hAnsi="宋体" w:cs="宋体"/>
          <w:sz w:val="24"/>
          <w:szCs w:val="24"/>
        </w:rPr>
        <w:t>用户提前在正常的电磁环境下监测并将测量数据和频谱保存为模板，在后续的实时监测过程中，通过将实时监测信号与保存的历史模板数据进行对比，识别监测过程中的异常。</w:t>
      </w:r>
    </w:p>
    <w:p w14:paraId="2E730240">
      <w:pPr>
        <w:spacing w:line="360" w:lineRule="auto"/>
        <w:ind w:firstLine="480" w:firstLineChars="200"/>
        <w:rPr>
          <w:rFonts w:hint="eastAsia" w:ascii="宋体" w:hAnsi="宋体" w:cs="宋体"/>
          <w:sz w:val="24"/>
          <w:szCs w:val="24"/>
        </w:rPr>
      </w:pPr>
      <w:r>
        <w:rPr>
          <w:rFonts w:hint="eastAsia" w:ascii="宋体" w:hAnsi="宋体" w:cs="宋体"/>
          <w:sz w:val="24"/>
          <w:szCs w:val="24"/>
        </w:rPr>
        <w:t>支持同步展示历史频谱图形、实时频谱图形以及当前频段的实时频谱与保存的历史数据之间的差值，其中差值会随着所选计算方法的不同而不同，支持平均值减平均谱、最小值减最小谐、实时值减阈值谱、最大值减阈值谱。</w:t>
      </w:r>
    </w:p>
    <w:p w14:paraId="76FB290D">
      <w:pPr>
        <w:spacing w:line="360" w:lineRule="auto"/>
        <w:outlineLvl w:val="2"/>
        <w:rPr>
          <w:rFonts w:hint="eastAsia" w:ascii="宋体" w:hAnsi="宋体" w:cs="宋体"/>
          <w:sz w:val="24"/>
          <w:szCs w:val="24"/>
        </w:rPr>
      </w:pPr>
      <w:r>
        <w:rPr>
          <w:rFonts w:hint="eastAsia" w:ascii="宋体" w:hAnsi="宋体" w:cs="宋体"/>
          <w:sz w:val="24"/>
          <w:szCs w:val="24"/>
        </w:rPr>
        <w:t>4.7、单频测向</w:t>
      </w:r>
    </w:p>
    <w:p w14:paraId="035253C0">
      <w:pPr>
        <w:spacing w:line="360" w:lineRule="auto"/>
        <w:ind w:firstLine="480"/>
        <w:rPr>
          <w:rFonts w:hint="eastAsia" w:ascii="宋体" w:hAnsi="宋体"/>
          <w:kern w:val="2"/>
          <w:sz w:val="24"/>
          <w:szCs w:val="24"/>
        </w:rPr>
      </w:pPr>
      <w:r>
        <w:rPr>
          <w:rFonts w:ascii="宋体" w:hAnsi="宋体"/>
          <w:kern w:val="2"/>
          <w:sz w:val="24"/>
          <w:szCs w:val="24"/>
        </w:rPr>
        <w:t>支持对工作频段范围内给定的任意频率进行测向，显示实时示向度、测向质量、电平曲线、实时频谱、瀑布图，并能对测向方位角进行概率统计。在测向过程中，在电子地图上绘制测得信号的真北示向线。用户可自定义电平和质量门限，来对测向结果进行过滤，所有测向数据可实时保存，并支持后期回放。</w:t>
      </w:r>
    </w:p>
    <w:p w14:paraId="6F358DB5">
      <w:pPr>
        <w:spacing w:line="360" w:lineRule="auto"/>
        <w:outlineLvl w:val="2"/>
        <w:rPr>
          <w:rFonts w:hint="eastAsia" w:ascii="宋体" w:hAnsi="宋体" w:cs="宋体"/>
          <w:sz w:val="24"/>
          <w:szCs w:val="24"/>
        </w:rPr>
      </w:pPr>
      <w:r>
        <w:rPr>
          <w:rFonts w:hint="eastAsia" w:ascii="宋体" w:hAnsi="宋体" w:cs="宋体"/>
          <w:sz w:val="24"/>
          <w:szCs w:val="24"/>
        </w:rPr>
        <w:t>4.8、空间谱测向</w:t>
      </w:r>
    </w:p>
    <w:p w14:paraId="7A4D0732">
      <w:pPr>
        <w:spacing w:line="360" w:lineRule="auto"/>
        <w:ind w:firstLine="480"/>
        <w:rPr>
          <w:rFonts w:hint="eastAsia" w:ascii="宋体" w:hAnsi="宋体"/>
          <w:kern w:val="2"/>
          <w:sz w:val="24"/>
          <w:szCs w:val="24"/>
        </w:rPr>
      </w:pPr>
      <w:r>
        <w:rPr>
          <w:rFonts w:hint="eastAsia" w:ascii="宋体" w:hAnsi="宋体"/>
          <w:kern w:val="2"/>
          <w:sz w:val="24"/>
          <w:szCs w:val="24"/>
        </w:rPr>
        <w:t>支持对空中同频信号的来波方向进行识别分离，最多支持3个非相干同频信号分离和2个相干同频信号分离。</w:t>
      </w:r>
    </w:p>
    <w:p w14:paraId="4B68E7D6">
      <w:pPr>
        <w:spacing w:line="360" w:lineRule="auto"/>
        <w:outlineLvl w:val="2"/>
        <w:rPr>
          <w:rFonts w:hint="eastAsia" w:ascii="宋体" w:hAnsi="宋体" w:cs="宋体"/>
          <w:sz w:val="24"/>
          <w:szCs w:val="24"/>
        </w:rPr>
      </w:pPr>
      <w:r>
        <w:rPr>
          <w:rFonts w:hint="eastAsia" w:ascii="宋体" w:hAnsi="宋体" w:cs="宋体"/>
          <w:sz w:val="24"/>
          <w:szCs w:val="24"/>
        </w:rPr>
        <w:t>4.9、宽带测向</w:t>
      </w:r>
    </w:p>
    <w:p w14:paraId="5A1F08D4">
      <w:pPr>
        <w:spacing w:line="360" w:lineRule="auto"/>
        <w:ind w:firstLine="480"/>
        <w:rPr>
          <w:rFonts w:hint="eastAsia" w:ascii="宋体" w:hAnsi="宋体"/>
          <w:kern w:val="2"/>
          <w:sz w:val="24"/>
          <w:szCs w:val="24"/>
        </w:rPr>
      </w:pPr>
      <w:r>
        <w:rPr>
          <w:rFonts w:ascii="宋体" w:hAnsi="宋体"/>
          <w:kern w:val="2"/>
          <w:sz w:val="24"/>
          <w:szCs w:val="24"/>
        </w:rPr>
        <w:t>支持宽带信号快速测向，支持显示实时示向度、示向度最优值、实时电平、电平曲线、实时频谱、瀑布图等。支持对测向方位角进行概率统计，给出选中频率的实时方位角和最大概率角度等信息，并在电子地图上显示示向线。</w:t>
      </w:r>
    </w:p>
    <w:p w14:paraId="19F9E983">
      <w:pPr>
        <w:spacing w:line="360" w:lineRule="auto"/>
        <w:outlineLvl w:val="2"/>
        <w:rPr>
          <w:rFonts w:hint="eastAsia" w:ascii="宋体" w:hAnsi="宋体" w:cs="宋体"/>
          <w:sz w:val="24"/>
          <w:szCs w:val="24"/>
        </w:rPr>
      </w:pPr>
      <w:r>
        <w:rPr>
          <w:rFonts w:hint="eastAsia" w:ascii="宋体" w:hAnsi="宋体" w:cs="宋体"/>
          <w:sz w:val="24"/>
          <w:szCs w:val="24"/>
        </w:rPr>
        <w:t>4.10、统计分析</w:t>
      </w:r>
    </w:p>
    <w:p w14:paraId="5484C6B9">
      <w:pPr>
        <w:spacing w:line="360" w:lineRule="auto"/>
        <w:ind w:firstLine="480"/>
        <w:rPr>
          <w:rFonts w:hint="eastAsia" w:ascii="宋体" w:hAnsi="宋体"/>
          <w:kern w:val="2"/>
          <w:sz w:val="24"/>
          <w:szCs w:val="24"/>
        </w:rPr>
      </w:pPr>
      <w:r>
        <w:rPr>
          <w:rFonts w:hint="eastAsia" w:ascii="宋体" w:hAnsi="宋体"/>
          <w:kern w:val="2"/>
          <w:sz w:val="24"/>
          <w:szCs w:val="24"/>
        </w:rPr>
        <w:t>能够存储各种监测功能相应的监测数据，可以对监测数据进行查询和回放分析，生成信道占用度</w:t>
      </w:r>
      <w:r>
        <w:rPr>
          <w:rFonts w:ascii="宋体" w:hAnsi="宋体"/>
          <w:kern w:val="2"/>
          <w:sz w:val="24"/>
          <w:szCs w:val="24"/>
        </w:rPr>
        <w:t>日报、月报</w:t>
      </w:r>
      <w:r>
        <w:rPr>
          <w:rFonts w:hint="eastAsia" w:ascii="宋体" w:hAnsi="宋体"/>
          <w:kern w:val="2"/>
          <w:sz w:val="24"/>
          <w:szCs w:val="24"/>
        </w:rPr>
        <w:t>报表。</w:t>
      </w:r>
    </w:p>
    <w:p w14:paraId="7F7BB0F2">
      <w:pPr>
        <w:spacing w:line="360" w:lineRule="auto"/>
        <w:outlineLvl w:val="2"/>
        <w:rPr>
          <w:rFonts w:hint="eastAsia" w:ascii="宋体" w:hAnsi="宋体"/>
          <w:kern w:val="2"/>
          <w:sz w:val="24"/>
          <w:szCs w:val="24"/>
        </w:rPr>
      </w:pPr>
      <w:r>
        <w:rPr>
          <w:rFonts w:hint="eastAsia" w:ascii="宋体" w:hAnsi="宋体"/>
          <w:kern w:val="2"/>
          <w:sz w:val="24"/>
          <w:szCs w:val="24"/>
        </w:rPr>
        <w:t>4.11、任务管理功能</w:t>
      </w:r>
    </w:p>
    <w:p w14:paraId="42AD50A3">
      <w:pPr>
        <w:spacing w:line="360" w:lineRule="auto"/>
        <w:ind w:firstLine="480"/>
        <w:rPr>
          <w:rFonts w:hint="eastAsia" w:ascii="宋体" w:hAnsi="宋体"/>
          <w:kern w:val="2"/>
          <w:sz w:val="24"/>
          <w:szCs w:val="24"/>
        </w:rPr>
      </w:pPr>
      <w:r>
        <w:rPr>
          <w:rFonts w:hint="eastAsia" w:ascii="宋体" w:hAnsi="宋体"/>
          <w:kern w:val="2"/>
          <w:sz w:val="24"/>
          <w:szCs w:val="24"/>
        </w:rPr>
        <w:t>支持对已有任务进行查看、编辑或删除，还可以查看该任务执行过程中产生的日志信息，包括监测站、设备、功能、类型、开始结束时间等。</w:t>
      </w:r>
    </w:p>
    <w:p w14:paraId="21BD092A">
      <w:pPr>
        <w:spacing w:line="360" w:lineRule="auto"/>
        <w:outlineLvl w:val="2"/>
        <w:rPr>
          <w:rFonts w:hint="eastAsia" w:ascii="宋体" w:hAnsi="宋体"/>
          <w:kern w:val="2"/>
          <w:sz w:val="24"/>
          <w:szCs w:val="24"/>
        </w:rPr>
      </w:pPr>
      <w:r>
        <w:rPr>
          <w:rFonts w:hint="eastAsia" w:ascii="宋体" w:hAnsi="宋体"/>
          <w:kern w:val="2"/>
          <w:sz w:val="24"/>
          <w:szCs w:val="24"/>
        </w:rPr>
        <w:t>4.12、</w:t>
      </w:r>
      <w:r>
        <w:rPr>
          <w:rFonts w:hint="eastAsia" w:ascii="宋体" w:hAnsi="宋体" w:cs="宋体"/>
          <w:sz w:val="24"/>
          <w:szCs w:val="24"/>
        </w:rPr>
        <w:t>日志</w:t>
      </w:r>
      <w:r>
        <w:rPr>
          <w:rFonts w:hint="eastAsia" w:ascii="宋体" w:hAnsi="宋体"/>
          <w:kern w:val="2"/>
          <w:sz w:val="24"/>
          <w:szCs w:val="24"/>
        </w:rPr>
        <w:t>管理功能</w:t>
      </w:r>
    </w:p>
    <w:p w14:paraId="62553C1A">
      <w:pPr>
        <w:spacing w:line="360" w:lineRule="auto"/>
        <w:ind w:firstLine="480"/>
        <w:rPr>
          <w:rFonts w:hint="eastAsia" w:ascii="宋体" w:hAnsi="宋体"/>
          <w:kern w:val="2"/>
          <w:sz w:val="24"/>
          <w:szCs w:val="24"/>
        </w:rPr>
      </w:pPr>
      <w:r>
        <w:rPr>
          <w:rFonts w:hint="eastAsia" w:ascii="宋体" w:hAnsi="宋体"/>
          <w:kern w:val="2"/>
          <w:sz w:val="24"/>
          <w:szCs w:val="24"/>
        </w:rPr>
        <w:t>系统在运行过程中产生的错误和操作日志信息自动记录并显示。通过日志管理可查看监测日志信息、日志产生时间及操作用户的账号。系统在运行过程中产生的错误和操作日志信息会在这个窗口中显示，可以通过这些信息了解错误原因，追溯操作历史记录。</w:t>
      </w:r>
    </w:p>
    <w:p w14:paraId="69CA17FD">
      <w:pPr>
        <w:spacing w:line="360" w:lineRule="auto"/>
        <w:ind w:firstLine="480"/>
        <w:rPr>
          <w:rFonts w:hint="eastAsia" w:ascii="宋体" w:hAnsi="宋体"/>
          <w:kern w:val="2"/>
          <w:sz w:val="24"/>
          <w:szCs w:val="24"/>
        </w:rPr>
      </w:pPr>
      <w:r>
        <w:rPr>
          <w:rFonts w:hint="eastAsia" w:ascii="宋体" w:hAnsi="宋体"/>
          <w:kern w:val="2"/>
          <w:sz w:val="24"/>
          <w:szCs w:val="24"/>
        </w:rPr>
        <w:t>对用户日常所进行的实时监测情况的任务信息进行管理。切换查看当前活动任务、历史任务，在任务列表中用户可以查看执行监测的任务名称、监测站名称、开始时间、测量时长、测量次数、数据保存选项等信息。</w:t>
      </w:r>
    </w:p>
    <w:p w14:paraId="0C3BF132">
      <w:pPr>
        <w:spacing w:line="360" w:lineRule="auto"/>
        <w:outlineLvl w:val="2"/>
        <w:rPr>
          <w:rFonts w:hint="eastAsia" w:ascii="宋体" w:hAnsi="宋体" w:cs="宋体"/>
          <w:sz w:val="24"/>
          <w:szCs w:val="24"/>
        </w:rPr>
      </w:pPr>
      <w:r>
        <w:rPr>
          <w:rFonts w:hint="eastAsia" w:ascii="宋体" w:hAnsi="宋体" w:cs="宋体"/>
          <w:sz w:val="24"/>
          <w:szCs w:val="24"/>
        </w:rPr>
        <w:t>4.13、电子地图</w:t>
      </w:r>
    </w:p>
    <w:p w14:paraId="07E27932">
      <w:pPr>
        <w:spacing w:line="360" w:lineRule="auto"/>
        <w:ind w:firstLine="480"/>
        <w:rPr>
          <w:rFonts w:hint="eastAsia" w:ascii="宋体" w:hAnsi="宋体"/>
          <w:kern w:val="2"/>
          <w:sz w:val="24"/>
          <w:szCs w:val="24"/>
        </w:rPr>
      </w:pPr>
      <w:r>
        <w:rPr>
          <w:rFonts w:hint="eastAsia" w:ascii="宋体" w:hAnsi="宋体"/>
          <w:kern w:val="2"/>
          <w:sz w:val="24"/>
          <w:szCs w:val="24"/>
        </w:rPr>
        <w:t>提供设站城市核心行政区电子地图，并能将数据应用于无线电监测测向系统软件。地图支持缩放、移动，支持距离测量、面积测量、标记、坐标显示等常用工具，支持测向、定位、ADS-B等功能在地图上的数据展示。</w:t>
      </w:r>
    </w:p>
    <w:p w14:paraId="1ECB9665">
      <w:pPr>
        <w:spacing w:line="360" w:lineRule="auto"/>
        <w:outlineLvl w:val="2"/>
        <w:rPr>
          <w:rFonts w:hint="eastAsia" w:ascii="宋体" w:hAnsi="宋体" w:cs="宋体"/>
          <w:sz w:val="24"/>
          <w:szCs w:val="24"/>
        </w:rPr>
      </w:pPr>
      <w:r>
        <w:rPr>
          <w:rFonts w:hint="eastAsia" w:ascii="宋体" w:hAnsi="宋体" w:cs="宋体"/>
          <w:sz w:val="24"/>
          <w:szCs w:val="24"/>
        </w:rPr>
        <w:t>4.14、公众移动基站监测</w:t>
      </w:r>
    </w:p>
    <w:p w14:paraId="5E61E5FA">
      <w:pPr>
        <w:spacing w:line="360" w:lineRule="auto"/>
        <w:ind w:firstLine="480"/>
        <w:rPr>
          <w:rFonts w:hint="eastAsia" w:ascii="宋体" w:hAnsi="宋体"/>
          <w:kern w:val="2"/>
          <w:sz w:val="24"/>
          <w:szCs w:val="24"/>
        </w:rPr>
      </w:pPr>
      <w:r>
        <w:rPr>
          <w:rFonts w:hint="eastAsia" w:ascii="宋体" w:hAnsi="宋体"/>
          <w:kern w:val="2"/>
          <w:sz w:val="24"/>
          <w:szCs w:val="24"/>
        </w:rPr>
        <w:t>具备移动通信信号接收和解码能力，能够获取指定区域不同运营商、不同网络制式（2G/3G/4G/5G）基站的情况，如类别、制式、频率、运营商、信道号、场强、基站识别码、蜂窝小区号、位置区域码等。</w:t>
      </w:r>
    </w:p>
    <w:p w14:paraId="05230EC7">
      <w:pPr>
        <w:spacing w:line="360" w:lineRule="auto"/>
        <w:outlineLvl w:val="2"/>
        <w:rPr>
          <w:rFonts w:hint="eastAsia" w:ascii="宋体" w:hAnsi="宋体" w:cs="宋体"/>
          <w:sz w:val="24"/>
          <w:szCs w:val="24"/>
        </w:rPr>
      </w:pPr>
      <w:r>
        <w:rPr>
          <w:rFonts w:hint="eastAsia" w:ascii="宋体" w:hAnsi="宋体" w:cs="宋体"/>
          <w:sz w:val="24"/>
          <w:szCs w:val="24"/>
        </w:rPr>
        <w:t>4.15、ADS-B航空信号解码</w:t>
      </w:r>
    </w:p>
    <w:p w14:paraId="2A67A34F">
      <w:pPr>
        <w:spacing w:line="360" w:lineRule="auto"/>
        <w:ind w:firstLine="480"/>
        <w:rPr>
          <w:rFonts w:hint="eastAsia" w:ascii="宋体" w:hAnsi="宋体" w:cs="宋体"/>
          <w:sz w:val="24"/>
          <w:szCs w:val="24"/>
        </w:rPr>
      </w:pPr>
      <w:r>
        <w:rPr>
          <w:rFonts w:ascii="宋体" w:hAnsi="宋体" w:cs="宋体"/>
          <w:sz w:val="24"/>
          <w:szCs w:val="24"/>
        </w:rPr>
        <w:t>系统支持对广播式ADS-B航空信号进行解码分析，可识别飞行器的航向、航速、航高、经纬度、国别、航班号、导航精度等信息；能在电子地图上显示飞行器位置和历史轨迹，能自动在电子地图上标记干扰位置。</w:t>
      </w:r>
    </w:p>
    <w:p w14:paraId="36AA1808">
      <w:pPr>
        <w:spacing w:line="360" w:lineRule="auto"/>
        <w:outlineLvl w:val="2"/>
        <w:rPr>
          <w:rFonts w:hint="eastAsia" w:ascii="宋体" w:hAnsi="宋体" w:cs="宋体"/>
          <w:sz w:val="24"/>
          <w:szCs w:val="24"/>
        </w:rPr>
      </w:pPr>
      <w:r>
        <w:rPr>
          <w:rFonts w:hint="eastAsia" w:ascii="宋体" w:hAnsi="宋体" w:cs="宋体"/>
          <w:sz w:val="24"/>
          <w:szCs w:val="24"/>
        </w:rPr>
        <w:t>4.16、铁路专项监测功能</w:t>
      </w:r>
    </w:p>
    <w:p w14:paraId="3652046D">
      <w:pPr>
        <w:spacing w:line="360" w:lineRule="auto"/>
        <w:ind w:firstLine="488" w:firstLineChars="200"/>
        <w:rPr>
          <w:rFonts w:hint="eastAsia" w:ascii="宋体" w:hAnsi="宋体" w:cs="宋体"/>
          <w:sz w:val="24"/>
          <w:szCs w:val="24"/>
        </w:rPr>
      </w:pPr>
      <w:r>
        <w:rPr>
          <w:rFonts w:hint="eastAsia" w:ascii="宋体" w:hAnsi="宋体" w:cs="宋体"/>
          <w:spacing w:val="2"/>
          <w:sz w:val="24"/>
          <w:szCs w:val="24"/>
        </w:rPr>
        <w:t>具备对GSM-R频段上下行信号实时监测能力，可</w:t>
      </w:r>
      <w:r>
        <w:rPr>
          <w:rFonts w:hint="eastAsia" w:ascii="宋体" w:hAnsi="宋体" w:cs="宋体"/>
          <w:sz w:val="24"/>
          <w:szCs w:val="24"/>
        </w:rPr>
        <w:t>实时显示GSM-R频段的上下行频谱。支持930MHz-934MHz所有GSM-R基站同时解码。</w:t>
      </w:r>
    </w:p>
    <w:p w14:paraId="20952B3F">
      <w:pPr>
        <w:spacing w:line="360" w:lineRule="auto"/>
        <w:outlineLvl w:val="2"/>
        <w:rPr>
          <w:rFonts w:hint="eastAsia" w:ascii="宋体" w:hAnsi="宋体" w:cs="宋体"/>
          <w:sz w:val="24"/>
          <w:szCs w:val="24"/>
        </w:rPr>
      </w:pPr>
      <w:r>
        <w:rPr>
          <w:rFonts w:hint="eastAsia" w:ascii="宋体" w:hAnsi="宋体" w:cs="宋体"/>
          <w:sz w:val="24"/>
          <w:szCs w:val="24"/>
        </w:rPr>
        <w:t>4.17、对讲机信号监测</w:t>
      </w:r>
    </w:p>
    <w:p w14:paraId="7DADF3D6">
      <w:pPr>
        <w:spacing w:line="360" w:lineRule="auto"/>
        <w:ind w:firstLine="480"/>
        <w:rPr>
          <w:rFonts w:hint="eastAsia" w:ascii="宋体" w:hAnsi="宋体"/>
          <w:kern w:val="2"/>
          <w:sz w:val="24"/>
          <w:szCs w:val="24"/>
        </w:rPr>
      </w:pPr>
      <w:r>
        <w:rPr>
          <w:rFonts w:hint="eastAsia" w:ascii="宋体" w:hAnsi="宋体"/>
          <w:kern w:val="2"/>
          <w:sz w:val="24"/>
          <w:szCs w:val="24"/>
        </w:rPr>
        <w:t>具备对DMR/dPMR/PDT/TETRA数字集群终端的测试和协议解析，包括色码、主叫号、被叫号、短信内容、语音等，并在频谱分析的同时输出短信内容和语音。</w:t>
      </w:r>
    </w:p>
    <w:p w14:paraId="77621C66">
      <w:pPr>
        <w:spacing w:line="360" w:lineRule="auto"/>
        <w:outlineLvl w:val="2"/>
        <w:rPr>
          <w:rFonts w:hint="eastAsia" w:ascii="宋体" w:hAnsi="宋体" w:cs="宋体"/>
          <w:sz w:val="24"/>
          <w:szCs w:val="24"/>
        </w:rPr>
      </w:pPr>
      <w:r>
        <w:rPr>
          <w:rFonts w:hint="eastAsia" w:ascii="宋体" w:hAnsi="宋体" w:cs="宋体"/>
          <w:sz w:val="24"/>
          <w:szCs w:val="24"/>
        </w:rPr>
        <w:t>4.18、信号识别与分析</w:t>
      </w:r>
    </w:p>
    <w:p w14:paraId="4777E113">
      <w:pPr>
        <w:spacing w:line="360" w:lineRule="auto"/>
        <w:ind w:firstLine="480"/>
        <w:rPr>
          <w:rFonts w:hint="eastAsia" w:ascii="宋体" w:hAnsi="宋体" w:cs="宋体"/>
          <w:sz w:val="24"/>
          <w:szCs w:val="24"/>
        </w:rPr>
      </w:pPr>
      <w:r>
        <w:rPr>
          <w:rFonts w:hint="eastAsia" w:ascii="宋体" w:hAnsi="宋体" w:cs="宋体"/>
          <w:sz w:val="24"/>
          <w:szCs w:val="24"/>
        </w:rPr>
        <w:t>具备AM、FM、CW、FSK、QPSK、BPSK、QAM等信号识别能力。可对常见的数字信号进行解调分析测量，支持的信号类型包括但不限于BPSK、QPSK、DQPSK、π/4DQPSK、8PSK、MSK、16QAM、32QAM、64QAM等。可实现时域、频域、调制域同步分析能力，具有多窗口展示频谱图、瀑布图、时域图、星座图、IQ分析图、矢量误差图、相位误差图等。</w:t>
      </w:r>
    </w:p>
    <w:p w14:paraId="437B016E">
      <w:pPr>
        <w:spacing w:line="360" w:lineRule="auto"/>
        <w:rPr>
          <w:rFonts w:hint="eastAsia" w:ascii="宋体" w:hAnsi="宋体" w:cs="宋体"/>
          <w:b/>
          <w:bCs/>
          <w:color w:val="auto"/>
          <w:sz w:val="24"/>
          <w:szCs w:val="24"/>
          <w:highlight w:val="none"/>
        </w:rPr>
      </w:pPr>
    </w:p>
    <w:p w14:paraId="1A951E3F">
      <w:pPr>
        <w:spacing w:line="360" w:lineRule="auto"/>
        <w:rPr>
          <w:rFonts w:hint="eastAsia" w:ascii="宋体" w:hAnsi="宋体"/>
          <w:color w:val="auto"/>
          <w:highlight w:val="none"/>
        </w:rPr>
      </w:pPr>
      <w:r>
        <w:rPr>
          <w:rFonts w:hint="eastAsia" w:ascii="宋体" w:hAnsi="宋体" w:cs="宋体"/>
          <w:b/>
          <w:bCs/>
          <w:color w:val="auto"/>
          <w:sz w:val="24"/>
          <w:szCs w:val="24"/>
          <w:highlight w:val="none"/>
        </w:rPr>
        <w:t>注：以上技术/服务部分条款为基本技术要求，投标人必须全部响应（即满足或优于技术要求），否则其响应无效。</w:t>
      </w:r>
    </w:p>
    <w:p w14:paraId="2B4C556A">
      <w:bookmarkStart w:id="18" w:name="_GoBack"/>
      <w:bookmarkEnd w:id="18"/>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BBF67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sz w:val="21"/>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Plain Text"/>
    <w:basedOn w:val="1"/>
    <w:link w:val="5"/>
    <w:qFormat/>
    <w:uiPriority w:val="0"/>
    <w:rPr>
      <w:rFonts w:ascii="宋体" w:hAnsi="Courier New"/>
      <w:sz w:val="20"/>
      <w:szCs w:val="24"/>
    </w:rPr>
  </w:style>
  <w:style w:type="character" w:customStyle="1" w:styleId="5">
    <w:name w:val="纯文本 字符"/>
    <w:link w:val="2"/>
    <w:uiPriority w:val="0"/>
    <w:rPr>
      <w:rFonts w:ascii="宋体" w:hAnsi="Courier New"/>
      <w:sz w:val="20"/>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2026-07-03T08:53:16Z</dcterms:created>
  <dc:creator>17</dc:creator>
  <cp:lastModifiedBy>17</cp:lastModifiedBy>
  <dcterms:modified xsi:type="dcterms:W3CDTF">2026-07-03T08:53:39Z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eyJoZGlkIjoiMzcwZDA2OGU3Y2VkMjFkZWU4ODI4MWE0YzljZTdkZDYiLCJ1c2VySWQiOiIxNTU5ODk3Njg1In0=</vt:lpwstr>
  </property>
  <property fmtid="{D5CDD505-2E9C-101B-9397-08002B2CF9AE}" pid="4" name="ICV">
    <vt:lpwstr>5AB6C0A4F8F240B59AB4FE0CB0340EDE_12</vt:lpwstr>
  </property>
</Properties>
</file>