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7D21B48">
      <w:pPr>
        <w:pageBreakBefore w:val="0"/>
        <w:widowControl w:val="0"/>
        <w:wordWrap/>
        <w:overflowPunct/>
        <w:topLinePunct w:val="0"/>
        <w:bidi w:val="0"/>
        <w:spacing w:before="78" w:line="219" w:lineRule="auto"/>
        <w:rPr>
          <w:rFonts w:ascii="宋体" w:hAnsi="宋体" w:eastAsia="宋体" w:cs="宋体"/>
          <w:color w:val="auto"/>
          <w:sz w:val="24"/>
          <w:szCs w:val="24"/>
          <w:highlight w:val="none"/>
        </w:rPr>
      </w:pPr>
      <w:r>
        <w:rPr>
          <w:rFonts w:ascii="宋体" w:hAnsi="宋体" w:eastAsia="宋体" w:cs="宋体"/>
          <w:b/>
          <w:bCs/>
          <w:color w:val="auto"/>
          <w:spacing w:val="-5"/>
          <w:sz w:val="24"/>
          <w:szCs w:val="24"/>
          <w:highlight w:val="none"/>
        </w:rPr>
        <w:t>（一）技术需求</w:t>
      </w:r>
    </w:p>
    <w:p w14:paraId="5B05AA83">
      <w:pPr>
        <w:keepNext w:val="0"/>
        <w:keepLines w:val="0"/>
        <w:pageBreakBefore w:val="0"/>
        <w:numPr>
          <w:ilvl w:val="0"/>
          <w:numId w:val="0"/>
        </w:numPr>
        <w:shd w:val="clear"/>
        <w:kinsoku/>
        <w:wordWrap/>
        <w:overflowPunct/>
        <w:topLinePunct w:val="0"/>
        <w:bidi w:val="0"/>
        <w:snapToGrid/>
        <w:spacing w:line="480" w:lineRule="exact"/>
        <w:rPr>
          <w:rFonts w:hint="eastAsia"/>
          <w:b/>
          <w:bCs/>
          <w:color w:val="auto"/>
          <w:sz w:val="24"/>
          <w:szCs w:val="24"/>
          <w:highlight w:val="none"/>
        </w:rPr>
      </w:pPr>
      <w:r>
        <w:rPr>
          <w:rFonts w:hint="eastAsia" w:eastAsia="宋体"/>
          <w:b/>
          <w:bCs/>
          <w:color w:val="auto"/>
          <w:sz w:val="24"/>
          <w:szCs w:val="24"/>
          <w:highlight w:val="none"/>
          <w:lang w:val="en-US" w:eastAsia="zh-CN"/>
        </w:rPr>
        <w:t>1、</w:t>
      </w:r>
      <w:r>
        <w:rPr>
          <w:rFonts w:hint="eastAsia"/>
          <w:b/>
          <w:bCs/>
          <w:color w:val="auto"/>
          <w:sz w:val="24"/>
          <w:szCs w:val="24"/>
          <w:highlight w:val="none"/>
        </w:rPr>
        <w:t>项目概况</w:t>
      </w:r>
    </w:p>
    <w:p w14:paraId="158233EE">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sz w:val="24"/>
          <w:szCs w:val="24"/>
          <w:lang w:val="en-US" w:eastAsia="zh-CN"/>
        </w:rPr>
      </w:pPr>
      <w:r>
        <w:rPr>
          <w:rFonts w:hint="eastAsia" w:ascii="宋体" w:hAnsi="宋体" w:eastAsia="宋体" w:cs="宋体"/>
          <w:kern w:val="0"/>
          <w:sz w:val="24"/>
          <w:szCs w:val="24"/>
          <w:lang w:val="en-US" w:eastAsia="zh-CN"/>
        </w:rPr>
        <w:t>为切实满足高职院校机电一体化技术、电气自动化技术及智能机电技术等专业在运动控制技术领域的高素质技术技能人才培养需求，紧密对接教育部《高等职业学校机电一体化技术专业教学标准》、《高等职业学校电气自动化技术专业教学标准》及《高等职业学校智能机电技术专业教学标准》中关于运动控制系统设计、安装、调试、维护的核心能力要求，本项目拟建设一个功能完备、技术先进、贴近产业的“运动控制实训室”。其中教学仪器采购主要</w:t>
      </w:r>
      <w:r>
        <w:rPr>
          <w:rFonts w:hint="eastAsia" w:ascii="宋体" w:hAnsi="宋体" w:eastAsia="宋体" w:cs="宋体"/>
          <w:kern w:val="0"/>
          <w:sz w:val="24"/>
          <w:szCs w:val="24"/>
        </w:rPr>
        <w:t>内容包括</w:t>
      </w:r>
      <w:r>
        <w:rPr>
          <w:rFonts w:hint="eastAsia" w:ascii="宋体" w:hAnsi="宋体" w:eastAsia="宋体" w:cs="宋体"/>
          <w:kern w:val="0"/>
          <w:sz w:val="24"/>
          <w:szCs w:val="24"/>
          <w:lang w:val="en-US" w:eastAsia="zh-CN"/>
        </w:rPr>
        <w:t>采购运动控制系统实训平台20套，具体如下：</w:t>
      </w:r>
    </w:p>
    <w:p w14:paraId="32F318FD">
      <w:pPr>
        <w:keepNext w:val="0"/>
        <w:keepLines w:val="0"/>
        <w:pageBreakBefore w:val="0"/>
        <w:numPr>
          <w:ilvl w:val="0"/>
          <w:numId w:val="0"/>
        </w:numPr>
        <w:shd w:val="clear"/>
        <w:kinsoku/>
        <w:wordWrap/>
        <w:overflowPunct/>
        <w:topLinePunct w:val="0"/>
        <w:bidi w:val="0"/>
        <w:snapToGrid/>
        <w:spacing w:line="480" w:lineRule="exact"/>
        <w:rPr>
          <w:rFonts w:hint="eastAsia" w:ascii="宋体" w:hAnsi="宋体" w:eastAsia="宋体" w:cs="宋体"/>
          <w:kern w:val="0"/>
          <w:sz w:val="24"/>
          <w:szCs w:val="24"/>
          <w:lang w:val="en-US" w:eastAsia="zh-CN"/>
        </w:rPr>
      </w:pPr>
      <w:r>
        <w:rPr>
          <w:rFonts w:hint="eastAsia" w:asciiTheme="minorEastAsia" w:hAnsiTheme="minorEastAsia" w:eastAsiaTheme="minorEastAsia" w:cstheme="minorEastAsia"/>
          <w:color w:val="auto"/>
          <w:sz w:val="24"/>
          <w:szCs w:val="24"/>
          <w:highlight w:val="none"/>
          <w:lang w:val="en-US" w:eastAsia="zh-CN"/>
        </w:rPr>
        <w:t>2</w:t>
      </w:r>
      <w:r>
        <w:rPr>
          <w:rFonts w:hint="eastAsia" w:asciiTheme="minorEastAsia" w:hAnsiTheme="minorEastAsia" w:eastAsiaTheme="minorEastAsia" w:cstheme="minorEastAsia"/>
          <w:color w:val="auto"/>
          <w:sz w:val="24"/>
          <w:szCs w:val="24"/>
          <w:highlight w:val="none"/>
        </w:rPr>
        <w:t>、采购标的名称及数量</w:t>
      </w:r>
    </w:p>
    <w:tbl>
      <w:tblPr>
        <w:tblStyle w:val="4"/>
        <w:tblW w:w="822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5"/>
        <w:gridCol w:w="2325"/>
        <w:gridCol w:w="1987"/>
        <w:gridCol w:w="1010"/>
        <w:gridCol w:w="1200"/>
        <w:gridCol w:w="798"/>
      </w:tblGrid>
      <w:tr w14:paraId="4BCDF2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05" w:type="dxa"/>
            <w:vAlign w:val="center"/>
          </w:tcPr>
          <w:p w14:paraId="25AA072E">
            <w:pPr>
              <w:keepNext w:val="0"/>
              <w:keepLines w:val="0"/>
              <w:pageBreakBefore w:val="0"/>
              <w:widowControl w:val="0"/>
              <w:kinsoku/>
              <w:wordWrap/>
              <w:overflowPunct/>
              <w:topLinePunct w:val="0"/>
              <w:autoSpaceDE/>
              <w:autoSpaceDN/>
              <w:bidi w:val="0"/>
              <w:snapToGrid/>
              <w:spacing w:line="480" w:lineRule="exact"/>
              <w:jc w:val="center"/>
              <w:rPr>
                <w:rFonts w:hint="eastAsia" w:ascii="宋体" w:hAnsi="宋体" w:eastAsia="宋体" w:cs="宋体"/>
                <w:kern w:val="0"/>
                <w:sz w:val="24"/>
                <w:szCs w:val="24"/>
              </w:rPr>
            </w:pPr>
            <w:r>
              <w:rPr>
                <w:rFonts w:hint="eastAsia" w:ascii="宋体" w:hAnsi="宋体" w:eastAsia="宋体" w:cs="宋体"/>
                <w:kern w:val="0"/>
                <w:sz w:val="24"/>
                <w:szCs w:val="24"/>
              </w:rPr>
              <w:t>序号</w:t>
            </w:r>
          </w:p>
        </w:tc>
        <w:tc>
          <w:tcPr>
            <w:tcW w:w="2325" w:type="dxa"/>
            <w:vAlign w:val="center"/>
          </w:tcPr>
          <w:p w14:paraId="59314A4D">
            <w:pPr>
              <w:keepNext w:val="0"/>
              <w:keepLines w:val="0"/>
              <w:pageBreakBefore w:val="0"/>
              <w:widowControl w:val="0"/>
              <w:kinsoku/>
              <w:wordWrap/>
              <w:overflowPunct/>
              <w:topLinePunct w:val="0"/>
              <w:autoSpaceDE/>
              <w:autoSpaceDN/>
              <w:bidi w:val="0"/>
              <w:snapToGrid/>
              <w:spacing w:line="480" w:lineRule="exact"/>
              <w:jc w:val="center"/>
              <w:rPr>
                <w:rFonts w:hint="eastAsia" w:ascii="宋体" w:hAnsi="宋体" w:eastAsia="宋体" w:cs="宋体"/>
                <w:kern w:val="0"/>
                <w:sz w:val="24"/>
                <w:szCs w:val="24"/>
              </w:rPr>
            </w:pPr>
            <w:r>
              <w:rPr>
                <w:rFonts w:hint="eastAsia" w:ascii="宋体" w:hAnsi="宋体" w:eastAsia="宋体" w:cs="宋体"/>
                <w:kern w:val="0"/>
                <w:sz w:val="24"/>
                <w:szCs w:val="24"/>
              </w:rPr>
              <w:t>标的名称</w:t>
            </w:r>
          </w:p>
        </w:tc>
        <w:tc>
          <w:tcPr>
            <w:tcW w:w="1987" w:type="dxa"/>
            <w:vAlign w:val="center"/>
          </w:tcPr>
          <w:p w14:paraId="45A52B11">
            <w:pPr>
              <w:keepNext w:val="0"/>
              <w:keepLines w:val="0"/>
              <w:pageBreakBefore w:val="0"/>
              <w:widowControl w:val="0"/>
              <w:kinsoku/>
              <w:wordWrap/>
              <w:overflowPunct/>
              <w:topLinePunct w:val="0"/>
              <w:autoSpaceDE/>
              <w:autoSpaceDN/>
              <w:bidi w:val="0"/>
              <w:snapToGrid/>
              <w:spacing w:line="480" w:lineRule="exact"/>
              <w:jc w:val="center"/>
              <w:rPr>
                <w:rFonts w:hint="eastAsia" w:ascii="宋体" w:hAnsi="宋体" w:eastAsia="宋体" w:cs="宋体"/>
                <w:kern w:val="0"/>
                <w:sz w:val="24"/>
                <w:szCs w:val="24"/>
              </w:rPr>
            </w:pPr>
            <w:r>
              <w:rPr>
                <w:rFonts w:hint="eastAsia" w:ascii="宋体" w:hAnsi="宋体" w:eastAsia="宋体" w:cs="宋体"/>
                <w:kern w:val="0"/>
                <w:sz w:val="24"/>
                <w:szCs w:val="24"/>
              </w:rPr>
              <w:t>采购品目及代码</w:t>
            </w:r>
          </w:p>
        </w:tc>
        <w:tc>
          <w:tcPr>
            <w:tcW w:w="1010" w:type="dxa"/>
            <w:vAlign w:val="center"/>
          </w:tcPr>
          <w:p w14:paraId="3FD2E794">
            <w:pPr>
              <w:keepNext w:val="0"/>
              <w:keepLines w:val="0"/>
              <w:pageBreakBefore w:val="0"/>
              <w:widowControl w:val="0"/>
              <w:kinsoku/>
              <w:wordWrap/>
              <w:overflowPunct/>
              <w:topLinePunct w:val="0"/>
              <w:autoSpaceDE/>
              <w:autoSpaceDN/>
              <w:bidi w:val="0"/>
              <w:snapToGrid/>
              <w:spacing w:line="480" w:lineRule="exact"/>
              <w:jc w:val="center"/>
              <w:rPr>
                <w:rFonts w:hint="eastAsia" w:ascii="宋体" w:hAnsi="宋体" w:eastAsia="宋体" w:cs="宋体"/>
                <w:kern w:val="0"/>
                <w:sz w:val="24"/>
                <w:szCs w:val="24"/>
              </w:rPr>
            </w:pPr>
            <w:r>
              <w:rPr>
                <w:rFonts w:hint="eastAsia" w:ascii="宋体" w:hAnsi="宋体" w:eastAsia="宋体" w:cs="宋体"/>
                <w:kern w:val="0"/>
                <w:sz w:val="24"/>
                <w:szCs w:val="24"/>
              </w:rPr>
              <w:t>数量</w:t>
            </w:r>
          </w:p>
        </w:tc>
        <w:tc>
          <w:tcPr>
            <w:tcW w:w="1200" w:type="dxa"/>
            <w:vAlign w:val="center"/>
          </w:tcPr>
          <w:p w14:paraId="3A4BAEB1">
            <w:pPr>
              <w:keepNext w:val="0"/>
              <w:keepLines w:val="0"/>
              <w:pageBreakBefore w:val="0"/>
              <w:widowControl w:val="0"/>
              <w:kinsoku/>
              <w:wordWrap/>
              <w:overflowPunct/>
              <w:topLinePunct w:val="0"/>
              <w:autoSpaceDE/>
              <w:autoSpaceDN/>
              <w:bidi w:val="0"/>
              <w:snapToGrid/>
              <w:spacing w:line="480" w:lineRule="exact"/>
              <w:jc w:val="center"/>
              <w:rPr>
                <w:rFonts w:hint="eastAsia" w:ascii="宋体" w:hAnsi="宋体" w:eastAsia="宋体" w:cs="宋体"/>
                <w:kern w:val="0"/>
                <w:sz w:val="24"/>
                <w:szCs w:val="24"/>
              </w:rPr>
            </w:pPr>
            <w:r>
              <w:rPr>
                <w:rFonts w:hint="eastAsia" w:ascii="宋体" w:hAnsi="宋体" w:eastAsia="宋体" w:cs="宋体"/>
                <w:kern w:val="0"/>
                <w:sz w:val="24"/>
                <w:szCs w:val="24"/>
              </w:rPr>
              <w:t>预算总价</w:t>
            </w:r>
          </w:p>
        </w:tc>
        <w:tc>
          <w:tcPr>
            <w:tcW w:w="798" w:type="dxa"/>
            <w:vAlign w:val="center"/>
          </w:tcPr>
          <w:p w14:paraId="62F87B62">
            <w:pPr>
              <w:keepNext w:val="0"/>
              <w:keepLines w:val="0"/>
              <w:pageBreakBefore w:val="0"/>
              <w:widowControl w:val="0"/>
              <w:kinsoku/>
              <w:wordWrap/>
              <w:overflowPunct/>
              <w:topLinePunct w:val="0"/>
              <w:autoSpaceDE/>
              <w:autoSpaceDN/>
              <w:bidi w:val="0"/>
              <w:snapToGrid/>
              <w:spacing w:line="480" w:lineRule="exact"/>
              <w:jc w:val="center"/>
              <w:rPr>
                <w:rFonts w:hint="eastAsia" w:ascii="宋体" w:hAnsi="宋体" w:eastAsia="宋体" w:cs="宋体"/>
                <w:kern w:val="0"/>
                <w:sz w:val="24"/>
                <w:szCs w:val="24"/>
              </w:rPr>
            </w:pPr>
            <w:r>
              <w:rPr>
                <w:rFonts w:hint="eastAsia" w:ascii="宋体" w:hAnsi="宋体" w:eastAsia="宋体" w:cs="宋体"/>
                <w:kern w:val="0"/>
                <w:sz w:val="24"/>
                <w:szCs w:val="24"/>
              </w:rPr>
              <w:t>备注</w:t>
            </w:r>
          </w:p>
        </w:tc>
      </w:tr>
      <w:tr w14:paraId="211E28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05" w:type="dxa"/>
            <w:vAlign w:val="center"/>
          </w:tcPr>
          <w:p w14:paraId="155BDFFB">
            <w:pPr>
              <w:keepNext w:val="0"/>
              <w:keepLines w:val="0"/>
              <w:pageBreakBefore w:val="0"/>
              <w:widowControl w:val="0"/>
              <w:kinsoku/>
              <w:wordWrap/>
              <w:overflowPunct/>
              <w:topLinePunct w:val="0"/>
              <w:autoSpaceDE/>
              <w:autoSpaceDN/>
              <w:bidi w:val="0"/>
              <w:snapToGrid/>
              <w:spacing w:line="480" w:lineRule="exact"/>
              <w:jc w:val="center"/>
              <w:rPr>
                <w:rFonts w:hint="eastAsia" w:ascii="宋体" w:hAnsi="宋体" w:eastAsia="宋体" w:cs="宋体"/>
                <w:kern w:val="0"/>
                <w:sz w:val="24"/>
                <w:szCs w:val="24"/>
              </w:rPr>
            </w:pPr>
            <w:r>
              <w:rPr>
                <w:rFonts w:hint="eastAsia" w:ascii="宋体" w:hAnsi="宋体" w:eastAsia="宋体" w:cs="宋体"/>
                <w:kern w:val="0"/>
                <w:sz w:val="24"/>
                <w:szCs w:val="24"/>
              </w:rPr>
              <w:t>1</w:t>
            </w:r>
          </w:p>
        </w:tc>
        <w:tc>
          <w:tcPr>
            <w:tcW w:w="2325" w:type="dxa"/>
            <w:vAlign w:val="center"/>
          </w:tcPr>
          <w:p w14:paraId="03AFB52A">
            <w:pPr>
              <w:keepNext w:val="0"/>
              <w:keepLines w:val="0"/>
              <w:pageBreakBefore w:val="0"/>
              <w:widowControl w:val="0"/>
              <w:kinsoku/>
              <w:wordWrap/>
              <w:overflowPunct/>
              <w:topLinePunct w:val="0"/>
              <w:autoSpaceDE/>
              <w:autoSpaceDN/>
              <w:bidi w:val="0"/>
              <w:snapToGrid/>
              <w:spacing w:line="480" w:lineRule="exact"/>
              <w:jc w:val="center"/>
              <w:rPr>
                <w:rFonts w:hint="eastAsia" w:ascii="宋体" w:hAnsi="宋体" w:eastAsia="宋体" w:cs="宋体"/>
                <w:kern w:val="0"/>
                <w:sz w:val="24"/>
                <w:szCs w:val="24"/>
                <w:lang w:val="en-US"/>
              </w:rPr>
            </w:pPr>
            <w:r>
              <w:rPr>
                <w:rFonts w:hint="eastAsia" w:ascii="宋体" w:hAnsi="宋体" w:eastAsia="宋体" w:cs="宋体"/>
                <w:kern w:val="0"/>
                <w:sz w:val="24"/>
                <w:szCs w:val="24"/>
                <w:lang w:val="en-US" w:eastAsia="zh-CN"/>
              </w:rPr>
              <w:t xml:space="preserve">运动控制实训室教学仪器采购项目 </w:t>
            </w:r>
          </w:p>
        </w:tc>
        <w:tc>
          <w:tcPr>
            <w:tcW w:w="1987" w:type="dxa"/>
            <w:vAlign w:val="center"/>
          </w:tcPr>
          <w:p w14:paraId="5882D2DF">
            <w:pPr>
              <w:keepNext w:val="0"/>
              <w:keepLines w:val="0"/>
              <w:pageBreakBefore w:val="0"/>
              <w:widowControl w:val="0"/>
              <w:kinsoku/>
              <w:wordWrap/>
              <w:overflowPunct/>
              <w:topLinePunct w:val="0"/>
              <w:autoSpaceDE/>
              <w:autoSpaceDN/>
              <w:bidi w:val="0"/>
              <w:snapToGrid/>
              <w:spacing w:line="480" w:lineRule="exact"/>
              <w:jc w:val="center"/>
              <w:rPr>
                <w:rFonts w:hint="eastAsia" w:ascii="宋体" w:hAnsi="宋体" w:eastAsia="宋体" w:cs="宋体"/>
                <w:kern w:val="0"/>
                <w:sz w:val="24"/>
                <w:szCs w:val="24"/>
              </w:rPr>
            </w:pPr>
          </w:p>
        </w:tc>
        <w:tc>
          <w:tcPr>
            <w:tcW w:w="1010" w:type="dxa"/>
            <w:vAlign w:val="center"/>
          </w:tcPr>
          <w:p w14:paraId="53EADDE5">
            <w:pPr>
              <w:keepNext w:val="0"/>
              <w:keepLines w:val="0"/>
              <w:pageBreakBefore w:val="0"/>
              <w:widowControl w:val="0"/>
              <w:kinsoku/>
              <w:wordWrap/>
              <w:overflowPunct/>
              <w:topLinePunct w:val="0"/>
              <w:autoSpaceDE/>
              <w:autoSpaceDN/>
              <w:bidi w:val="0"/>
              <w:snapToGrid/>
              <w:spacing w:line="480" w:lineRule="exact"/>
              <w:jc w:val="center"/>
              <w:rPr>
                <w:rFonts w:hint="eastAsia" w:ascii="宋体" w:hAnsi="宋体" w:eastAsia="宋体" w:cs="宋体"/>
                <w:kern w:val="0"/>
                <w:sz w:val="24"/>
                <w:szCs w:val="24"/>
              </w:rPr>
            </w:pPr>
            <w:r>
              <w:rPr>
                <w:rFonts w:hint="eastAsia" w:ascii="宋体" w:hAnsi="宋体" w:eastAsia="宋体" w:cs="宋体"/>
                <w:kern w:val="0"/>
                <w:sz w:val="24"/>
                <w:szCs w:val="24"/>
              </w:rPr>
              <w:t>1项</w:t>
            </w:r>
          </w:p>
        </w:tc>
        <w:tc>
          <w:tcPr>
            <w:tcW w:w="1200" w:type="dxa"/>
            <w:vAlign w:val="center"/>
          </w:tcPr>
          <w:p w14:paraId="3331A82E">
            <w:pPr>
              <w:keepNext w:val="0"/>
              <w:keepLines w:val="0"/>
              <w:pageBreakBefore w:val="0"/>
              <w:widowControl w:val="0"/>
              <w:kinsoku/>
              <w:wordWrap/>
              <w:overflowPunct/>
              <w:topLinePunct w:val="0"/>
              <w:autoSpaceDE/>
              <w:autoSpaceDN/>
              <w:bidi w:val="0"/>
              <w:snapToGrid/>
              <w:spacing w:line="480" w:lineRule="exact"/>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80</w:t>
            </w:r>
            <w:r>
              <w:rPr>
                <w:rFonts w:hint="eastAsia" w:ascii="宋体" w:hAnsi="宋体" w:eastAsia="宋体" w:cs="宋体"/>
                <w:kern w:val="0"/>
                <w:sz w:val="24"/>
                <w:szCs w:val="24"/>
              </w:rPr>
              <w:t>万</w:t>
            </w:r>
            <w:r>
              <w:rPr>
                <w:rFonts w:hint="eastAsia" w:ascii="宋体" w:hAnsi="宋体" w:eastAsia="宋体" w:cs="宋体"/>
                <w:kern w:val="0"/>
                <w:sz w:val="24"/>
                <w:szCs w:val="24"/>
                <w:lang w:val="en-US" w:eastAsia="zh-CN"/>
              </w:rPr>
              <w:t>元</w:t>
            </w:r>
          </w:p>
        </w:tc>
        <w:tc>
          <w:tcPr>
            <w:tcW w:w="798" w:type="dxa"/>
            <w:vAlign w:val="center"/>
          </w:tcPr>
          <w:p w14:paraId="476600F1">
            <w:pPr>
              <w:keepNext w:val="0"/>
              <w:keepLines w:val="0"/>
              <w:pageBreakBefore w:val="0"/>
              <w:widowControl w:val="0"/>
              <w:kinsoku/>
              <w:wordWrap/>
              <w:overflowPunct/>
              <w:topLinePunct w:val="0"/>
              <w:autoSpaceDE/>
              <w:autoSpaceDN/>
              <w:bidi w:val="0"/>
              <w:snapToGrid/>
              <w:spacing w:line="480" w:lineRule="exact"/>
              <w:jc w:val="center"/>
              <w:rPr>
                <w:rFonts w:hint="eastAsia" w:ascii="宋体" w:hAnsi="宋体" w:eastAsia="宋体" w:cs="宋体"/>
                <w:kern w:val="0"/>
                <w:sz w:val="24"/>
                <w:szCs w:val="24"/>
              </w:rPr>
            </w:pPr>
          </w:p>
        </w:tc>
      </w:tr>
    </w:tbl>
    <w:p w14:paraId="766A9C48">
      <w:pPr>
        <w:keepNext w:val="0"/>
        <w:keepLines w:val="0"/>
        <w:pageBreakBefore w:val="0"/>
        <w:numPr>
          <w:ilvl w:val="0"/>
          <w:numId w:val="0"/>
        </w:numPr>
        <w:shd w:val="clear"/>
        <w:kinsoku/>
        <w:wordWrap/>
        <w:overflowPunct/>
        <w:topLinePunct w:val="0"/>
        <w:bidi w:val="0"/>
        <w:snapToGrid/>
        <w:spacing w:line="480" w:lineRule="exact"/>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3、</w:t>
      </w:r>
      <w:r>
        <w:rPr>
          <w:rFonts w:hint="eastAsia" w:asciiTheme="minorEastAsia" w:hAnsiTheme="minorEastAsia" w:eastAsiaTheme="minorEastAsia" w:cstheme="minorEastAsia"/>
          <w:color w:val="auto"/>
          <w:sz w:val="24"/>
          <w:szCs w:val="24"/>
          <w:highlight w:val="none"/>
        </w:rPr>
        <w:t>采购</w:t>
      </w:r>
      <w:r>
        <w:rPr>
          <w:rFonts w:hint="eastAsia" w:asciiTheme="minorEastAsia" w:hAnsiTheme="minorEastAsia" w:eastAsiaTheme="minorEastAsia" w:cstheme="minorEastAsia"/>
          <w:color w:val="auto"/>
          <w:sz w:val="24"/>
          <w:szCs w:val="24"/>
          <w:highlight w:val="none"/>
          <w:lang w:eastAsia="zh-CN"/>
        </w:rPr>
        <w:t>标</w:t>
      </w:r>
      <w:r>
        <w:rPr>
          <w:rFonts w:hint="eastAsia" w:asciiTheme="minorEastAsia" w:hAnsiTheme="minorEastAsia" w:eastAsiaTheme="minorEastAsia" w:cstheme="minorEastAsia"/>
          <w:color w:val="auto"/>
          <w:sz w:val="24"/>
          <w:szCs w:val="24"/>
          <w:highlight w:val="none"/>
        </w:rPr>
        <w:t>的工作内容</w:t>
      </w:r>
    </w:p>
    <w:tbl>
      <w:tblPr>
        <w:tblStyle w:val="3"/>
        <w:tblW w:w="812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37"/>
        <w:gridCol w:w="5127"/>
        <w:gridCol w:w="972"/>
        <w:gridCol w:w="885"/>
      </w:tblGrid>
      <w:tr w14:paraId="7D9D53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1137" w:type="dxa"/>
            <w:noWrap/>
            <w:vAlign w:val="center"/>
          </w:tcPr>
          <w:p w14:paraId="5AD71687">
            <w:pPr>
              <w:keepNext w:val="0"/>
              <w:keepLines w:val="0"/>
              <w:pageBreakBefore w:val="0"/>
              <w:kinsoku/>
              <w:wordWrap/>
              <w:overflowPunct/>
              <w:topLinePunct w:val="0"/>
              <w:autoSpaceDE/>
              <w:autoSpaceDN/>
              <w:bidi w:val="0"/>
              <w:snapToGrid/>
              <w:spacing w:line="480" w:lineRule="exact"/>
              <w:jc w:val="center"/>
              <w:rPr>
                <w:rFonts w:hint="eastAsia" w:ascii="宋体" w:hAnsi="宋体" w:eastAsia="宋体" w:cs="宋体"/>
                <w:kern w:val="0"/>
                <w:sz w:val="24"/>
                <w:szCs w:val="24"/>
              </w:rPr>
            </w:pPr>
            <w:r>
              <w:rPr>
                <w:rFonts w:hint="eastAsia" w:ascii="宋体" w:hAnsi="宋体" w:eastAsia="宋体" w:cs="宋体"/>
                <w:kern w:val="0"/>
                <w:sz w:val="24"/>
                <w:szCs w:val="24"/>
              </w:rPr>
              <w:t>序号</w:t>
            </w:r>
          </w:p>
        </w:tc>
        <w:tc>
          <w:tcPr>
            <w:tcW w:w="5127" w:type="dxa"/>
            <w:shd w:val="clear" w:color="auto" w:fill="auto"/>
            <w:noWrap/>
            <w:vAlign w:val="center"/>
          </w:tcPr>
          <w:p w14:paraId="0359ACB7">
            <w:pPr>
              <w:keepNext w:val="0"/>
              <w:keepLines w:val="0"/>
              <w:pageBreakBefore w:val="0"/>
              <w:kinsoku/>
              <w:wordWrap/>
              <w:overflowPunct/>
              <w:topLinePunct w:val="0"/>
              <w:autoSpaceDE/>
              <w:autoSpaceDN/>
              <w:bidi w:val="0"/>
              <w:snapToGrid/>
              <w:spacing w:line="480" w:lineRule="exact"/>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rPr>
              <w:t>设备名称</w:t>
            </w:r>
          </w:p>
        </w:tc>
        <w:tc>
          <w:tcPr>
            <w:tcW w:w="972" w:type="dxa"/>
            <w:noWrap/>
            <w:vAlign w:val="center"/>
          </w:tcPr>
          <w:p w14:paraId="5A4BF2BB">
            <w:pPr>
              <w:keepNext w:val="0"/>
              <w:keepLines w:val="0"/>
              <w:pageBreakBefore w:val="0"/>
              <w:kinsoku/>
              <w:wordWrap/>
              <w:overflowPunct/>
              <w:topLinePunct w:val="0"/>
              <w:autoSpaceDE/>
              <w:autoSpaceDN/>
              <w:bidi w:val="0"/>
              <w:snapToGrid/>
              <w:spacing w:line="480" w:lineRule="exact"/>
              <w:jc w:val="center"/>
              <w:rPr>
                <w:rFonts w:hint="eastAsia" w:ascii="宋体" w:hAnsi="宋体" w:eastAsia="宋体" w:cs="宋体"/>
                <w:kern w:val="0"/>
                <w:sz w:val="24"/>
                <w:szCs w:val="24"/>
              </w:rPr>
            </w:pPr>
            <w:r>
              <w:rPr>
                <w:rFonts w:hint="eastAsia" w:ascii="宋体" w:hAnsi="宋体" w:eastAsia="宋体" w:cs="宋体"/>
                <w:kern w:val="0"/>
                <w:sz w:val="24"/>
                <w:szCs w:val="24"/>
              </w:rPr>
              <w:t>单位</w:t>
            </w:r>
          </w:p>
        </w:tc>
        <w:tc>
          <w:tcPr>
            <w:tcW w:w="885" w:type="dxa"/>
            <w:noWrap/>
            <w:vAlign w:val="center"/>
          </w:tcPr>
          <w:p w14:paraId="793B25E3">
            <w:pPr>
              <w:keepNext w:val="0"/>
              <w:keepLines w:val="0"/>
              <w:pageBreakBefore w:val="0"/>
              <w:kinsoku/>
              <w:wordWrap/>
              <w:overflowPunct/>
              <w:topLinePunct w:val="0"/>
              <w:autoSpaceDE/>
              <w:autoSpaceDN/>
              <w:bidi w:val="0"/>
              <w:snapToGrid/>
              <w:spacing w:line="480" w:lineRule="exact"/>
              <w:jc w:val="center"/>
              <w:rPr>
                <w:rFonts w:hint="eastAsia" w:ascii="宋体" w:hAnsi="宋体" w:eastAsia="宋体" w:cs="宋体"/>
                <w:kern w:val="0"/>
                <w:sz w:val="24"/>
                <w:szCs w:val="24"/>
              </w:rPr>
            </w:pPr>
            <w:r>
              <w:rPr>
                <w:rFonts w:hint="eastAsia" w:ascii="宋体" w:hAnsi="宋体" w:eastAsia="宋体" w:cs="宋体"/>
                <w:kern w:val="0"/>
                <w:sz w:val="24"/>
                <w:szCs w:val="24"/>
              </w:rPr>
              <w:t>数量</w:t>
            </w:r>
          </w:p>
        </w:tc>
      </w:tr>
      <w:tr w14:paraId="26214D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1137" w:type="dxa"/>
            <w:noWrap/>
            <w:vAlign w:val="center"/>
          </w:tcPr>
          <w:p w14:paraId="1848B6CA">
            <w:pPr>
              <w:keepNext w:val="0"/>
              <w:keepLines w:val="0"/>
              <w:pageBreakBefore w:val="0"/>
              <w:kinsoku/>
              <w:wordWrap/>
              <w:overflowPunct/>
              <w:topLinePunct w:val="0"/>
              <w:autoSpaceDE/>
              <w:autoSpaceDN/>
              <w:bidi w:val="0"/>
              <w:snapToGrid/>
              <w:spacing w:line="480" w:lineRule="exact"/>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1</w:t>
            </w:r>
          </w:p>
        </w:tc>
        <w:tc>
          <w:tcPr>
            <w:tcW w:w="5127" w:type="dxa"/>
            <w:shd w:val="clear" w:color="auto" w:fill="auto"/>
            <w:noWrap/>
            <w:vAlign w:val="center"/>
          </w:tcPr>
          <w:p w14:paraId="33D6A723">
            <w:pPr>
              <w:keepNext w:val="0"/>
              <w:keepLines w:val="0"/>
              <w:pageBreakBefore w:val="0"/>
              <w:kinsoku/>
              <w:wordWrap/>
              <w:overflowPunct/>
              <w:topLinePunct w:val="0"/>
              <w:autoSpaceDE/>
              <w:autoSpaceDN/>
              <w:bidi w:val="0"/>
              <w:snapToGrid/>
              <w:spacing w:line="480" w:lineRule="exact"/>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运动控制系统实训平台</w:t>
            </w:r>
          </w:p>
        </w:tc>
        <w:tc>
          <w:tcPr>
            <w:tcW w:w="972" w:type="dxa"/>
            <w:noWrap/>
            <w:vAlign w:val="center"/>
          </w:tcPr>
          <w:p w14:paraId="56E48B68">
            <w:pPr>
              <w:keepNext w:val="0"/>
              <w:keepLines w:val="0"/>
              <w:pageBreakBefore w:val="0"/>
              <w:kinsoku/>
              <w:wordWrap/>
              <w:overflowPunct/>
              <w:topLinePunct w:val="0"/>
              <w:autoSpaceDE/>
              <w:autoSpaceDN/>
              <w:bidi w:val="0"/>
              <w:snapToGrid/>
              <w:spacing w:line="480" w:lineRule="exact"/>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套</w:t>
            </w:r>
          </w:p>
        </w:tc>
        <w:tc>
          <w:tcPr>
            <w:tcW w:w="885" w:type="dxa"/>
            <w:noWrap/>
            <w:vAlign w:val="center"/>
          </w:tcPr>
          <w:p w14:paraId="2C73B5D4">
            <w:pPr>
              <w:keepNext w:val="0"/>
              <w:keepLines w:val="0"/>
              <w:pageBreakBefore w:val="0"/>
              <w:kinsoku/>
              <w:wordWrap/>
              <w:overflowPunct/>
              <w:topLinePunct w:val="0"/>
              <w:autoSpaceDE/>
              <w:autoSpaceDN/>
              <w:bidi w:val="0"/>
              <w:snapToGrid/>
              <w:spacing w:line="480" w:lineRule="exact"/>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20</w:t>
            </w:r>
          </w:p>
        </w:tc>
      </w:tr>
    </w:tbl>
    <w:p w14:paraId="6DDADD0E">
      <w:pPr>
        <w:keepNext w:val="0"/>
        <w:keepLines w:val="0"/>
        <w:pageBreakBefore w:val="0"/>
        <w:numPr>
          <w:ilvl w:val="0"/>
          <w:numId w:val="0"/>
        </w:numPr>
        <w:shd w:val="clear"/>
        <w:kinsoku/>
        <w:wordWrap/>
        <w:overflowPunct/>
        <w:topLinePunct w:val="0"/>
        <w:bidi w:val="0"/>
        <w:snapToGrid/>
        <w:spacing w:line="480" w:lineRule="exact"/>
        <w:rPr>
          <w:rFonts w:hint="default"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cstheme="minorEastAsia"/>
          <w:color w:val="auto"/>
          <w:sz w:val="24"/>
          <w:szCs w:val="24"/>
          <w:highlight w:val="none"/>
          <w:lang w:val="en-US" w:eastAsia="zh-CN"/>
        </w:rPr>
        <w:t>4、主要技术参数</w:t>
      </w:r>
    </w:p>
    <w:tbl>
      <w:tblPr>
        <w:tblStyle w:val="4"/>
        <w:tblW w:w="836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25"/>
        <w:gridCol w:w="7435"/>
      </w:tblGrid>
      <w:tr w14:paraId="1B34DC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925" w:type="dxa"/>
            <w:tcBorders>
              <w:left w:val="single" w:color="auto" w:sz="4" w:space="0"/>
              <w:right w:val="single" w:color="auto" w:sz="4" w:space="0"/>
            </w:tcBorders>
            <w:shd w:val="clear" w:color="auto" w:fill="auto"/>
            <w:vAlign w:val="center"/>
          </w:tcPr>
          <w:p w14:paraId="4FEEB7E8">
            <w:pPr>
              <w:keepNext w:val="0"/>
              <w:keepLines w:val="0"/>
              <w:pageBreakBefore w:val="0"/>
              <w:widowControl/>
              <w:kinsoku/>
              <w:wordWrap/>
              <w:overflowPunct/>
              <w:topLinePunct w:val="0"/>
              <w:bidi w:val="0"/>
              <w:snapToGrid/>
              <w:spacing w:line="480" w:lineRule="exact"/>
              <w:jc w:val="center"/>
              <w:textAlignment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名称</w:t>
            </w:r>
          </w:p>
        </w:tc>
        <w:tc>
          <w:tcPr>
            <w:tcW w:w="7435" w:type="dxa"/>
            <w:tcBorders>
              <w:left w:val="single" w:color="auto" w:sz="4" w:space="0"/>
            </w:tcBorders>
            <w:shd w:val="clear" w:color="auto" w:fill="auto"/>
            <w:vAlign w:val="center"/>
          </w:tcPr>
          <w:p w14:paraId="1286ADB9">
            <w:pPr>
              <w:keepNext w:val="0"/>
              <w:keepLines w:val="0"/>
              <w:pageBreakBefore w:val="0"/>
              <w:widowControl w:val="0"/>
              <w:kinsoku/>
              <w:wordWrap/>
              <w:overflowPunct/>
              <w:topLinePunct w:val="0"/>
              <w:bidi w:val="0"/>
              <w:adjustRightInd/>
              <w:snapToGrid/>
              <w:spacing w:line="480" w:lineRule="exact"/>
              <w:jc w:val="center"/>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lang w:val="en-US" w:eastAsia="zh-CN"/>
              </w:rPr>
              <w:t>技术要求</w:t>
            </w:r>
          </w:p>
        </w:tc>
      </w:tr>
      <w:tr w14:paraId="30E26E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925" w:type="dxa"/>
            <w:tcBorders>
              <w:left w:val="single" w:color="auto" w:sz="4" w:space="0"/>
              <w:right w:val="single" w:color="auto" w:sz="4" w:space="0"/>
            </w:tcBorders>
            <w:shd w:val="clear" w:color="auto" w:fill="auto"/>
            <w:vAlign w:val="center"/>
          </w:tcPr>
          <w:p w14:paraId="00136C43">
            <w:pPr>
              <w:keepNext w:val="0"/>
              <w:keepLines w:val="0"/>
              <w:pageBreakBefore w:val="0"/>
              <w:widowControl/>
              <w:kinsoku/>
              <w:wordWrap/>
              <w:overflowPunct/>
              <w:topLinePunct w:val="0"/>
              <w:bidi w:val="0"/>
              <w:snapToGrid/>
              <w:spacing w:line="480" w:lineRule="exact"/>
              <w:jc w:val="center"/>
              <w:textAlignment w:val="center"/>
              <w:rPr>
                <w:rFonts w:hint="eastAsia" w:ascii="宋体" w:hAnsi="宋体" w:eastAsia="宋体" w:cs="宋体"/>
                <w:sz w:val="24"/>
                <w:szCs w:val="24"/>
              </w:rPr>
            </w:pPr>
            <w:r>
              <w:rPr>
                <w:rFonts w:hint="eastAsia" w:ascii="宋体" w:hAnsi="宋体" w:eastAsia="宋体" w:cs="宋体"/>
                <w:sz w:val="24"/>
                <w:szCs w:val="24"/>
                <w:lang w:val="en-US" w:eastAsia="zh-CN"/>
              </w:rPr>
              <w:t>运动控制系统实训考核平台</w:t>
            </w:r>
          </w:p>
        </w:tc>
        <w:tc>
          <w:tcPr>
            <w:tcW w:w="7435" w:type="dxa"/>
            <w:tcBorders>
              <w:left w:val="single" w:color="auto" w:sz="4" w:space="0"/>
            </w:tcBorders>
            <w:vAlign w:val="center"/>
          </w:tcPr>
          <w:p w14:paraId="4A683DF3">
            <w:pPr>
              <w:keepNext w:val="0"/>
              <w:keepLines w:val="0"/>
              <w:pageBreakBefore w:val="0"/>
              <w:widowControl w:val="0"/>
              <w:numPr>
                <w:ilvl w:val="0"/>
                <w:numId w:val="0"/>
              </w:numPr>
              <w:kinsoku/>
              <w:wordWrap/>
              <w:overflowPunct/>
              <w:topLinePunct w:val="0"/>
              <w:bidi w:val="0"/>
              <w:adjustRightInd/>
              <w:snapToGrid/>
              <w:spacing w:line="480" w:lineRule="exact"/>
              <w:jc w:val="both"/>
              <w:textAlignment w:val="auto"/>
              <w:rPr>
                <w:rFonts w:hint="eastAsia" w:ascii="宋体" w:hAnsi="宋体" w:eastAsia="宋体" w:cs="宋体"/>
                <w:sz w:val="24"/>
                <w:szCs w:val="24"/>
                <w:lang w:val="en-US" w:eastAsia="zh-CN"/>
              </w:rPr>
            </w:pPr>
            <w:bookmarkStart w:id="0" w:name="_Toc16932"/>
            <w:r>
              <w:rPr>
                <w:rFonts w:hint="eastAsia" w:ascii="宋体" w:hAnsi="宋体" w:eastAsia="宋体" w:cs="宋体"/>
                <w:b/>
                <w:bCs/>
                <w:color w:val="auto"/>
                <w:kern w:val="2"/>
                <w:sz w:val="24"/>
                <w:szCs w:val="24"/>
                <w:lang w:val="en-US" w:eastAsia="zh-CN" w:bidi="ar-SA"/>
              </w:rPr>
              <w:t>1.</w:t>
            </w:r>
            <w:r>
              <w:rPr>
                <w:rFonts w:hint="eastAsia" w:ascii="宋体" w:hAnsi="宋体" w:eastAsia="宋体" w:cs="宋体"/>
                <w:b/>
                <w:bCs/>
                <w:color w:val="auto"/>
                <w:sz w:val="24"/>
                <w:szCs w:val="24"/>
                <w:lang w:val="en-US" w:eastAsia="zh-CN"/>
              </w:rPr>
              <w:t>运动控制系统实训考核平台</w:t>
            </w:r>
            <w:bookmarkEnd w:id="0"/>
          </w:p>
          <w:p w14:paraId="1C074906">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b/>
                <w:bCs/>
                <w:color w:val="auto"/>
                <w:sz w:val="24"/>
                <w:szCs w:val="24"/>
                <w:lang w:val="en-US" w:eastAsia="zh-CN"/>
              </w:rPr>
            </w:pPr>
            <w:bookmarkStart w:id="1" w:name="_Toc2209"/>
            <w:bookmarkStart w:id="2" w:name="_Toc8824"/>
            <w:r>
              <w:rPr>
                <w:rFonts w:hint="eastAsia" w:ascii="宋体" w:hAnsi="宋体" w:eastAsia="宋体" w:cs="宋体"/>
                <w:b/>
                <w:bCs/>
                <w:color w:val="auto"/>
                <w:sz w:val="24"/>
                <w:szCs w:val="24"/>
                <w:lang w:val="en-US" w:eastAsia="zh-CN"/>
              </w:rPr>
              <w:t>1.1 运动控制系统实训考核平台</w:t>
            </w:r>
            <w:bookmarkEnd w:id="1"/>
            <w:bookmarkEnd w:id="2"/>
            <w:bookmarkStart w:id="3" w:name="_Toc21271"/>
            <w:r>
              <w:rPr>
                <w:rFonts w:hint="eastAsia" w:ascii="宋体" w:hAnsi="宋体" w:eastAsia="宋体" w:cs="宋体"/>
                <w:b/>
                <w:bCs/>
                <w:color w:val="auto"/>
                <w:sz w:val="24"/>
                <w:szCs w:val="24"/>
                <w:lang w:val="en-US" w:eastAsia="zh-CN"/>
              </w:rPr>
              <w:t>总体要求</w:t>
            </w:r>
          </w:p>
          <w:p w14:paraId="1E8D72BE">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运动控制系统实训考核平台是顺应工业技术革新与人才培养需求的专业教学设施。要求融合伺服驱动、可编程控制器等前沿技术设备，模拟多样化工业场景，设置基础到复杂的实训项目，帮助学生掌握运动控制核心技术。同时，通过科学多元的考核体系，全方位评估学生理论与实践能力。该平台打破传统教学局限，促进理论与实践结合，推动教学模式创新，深化校企合作，为企业精准输送适配人才，还面向社会开展技术培训服务，是推动产学研用协同发展、提升院校社会服务能力的关键平台。</w:t>
            </w:r>
          </w:p>
          <w:p w14:paraId="3B5CD5C7">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b/>
                <w:bCs/>
                <w:color w:val="auto"/>
                <w:sz w:val="24"/>
                <w:szCs w:val="24"/>
                <w:lang w:val="en-US" w:eastAsia="zh-CN"/>
              </w:rPr>
            </w:pPr>
            <w:bookmarkStart w:id="4" w:name="_Toc12592"/>
            <w:r>
              <w:rPr>
                <w:rFonts w:hint="eastAsia" w:ascii="宋体" w:hAnsi="宋体" w:eastAsia="宋体" w:cs="宋体"/>
                <w:b/>
                <w:bCs/>
                <w:color w:val="auto"/>
                <w:sz w:val="24"/>
                <w:szCs w:val="24"/>
                <w:lang w:val="en-US" w:eastAsia="zh-CN"/>
              </w:rPr>
              <w:t xml:space="preserve">1.2 </w:t>
            </w:r>
            <w:bookmarkEnd w:id="3"/>
            <w:r>
              <w:rPr>
                <w:rFonts w:hint="eastAsia" w:ascii="宋体" w:hAnsi="宋体" w:eastAsia="宋体" w:cs="宋体"/>
                <w:b/>
                <w:bCs/>
                <w:color w:val="auto"/>
                <w:sz w:val="24"/>
                <w:szCs w:val="24"/>
                <w:lang w:val="en-US" w:eastAsia="zh-CN"/>
              </w:rPr>
              <w:t>运动控制系统实训考核平台组成</w:t>
            </w:r>
            <w:bookmarkEnd w:id="4"/>
          </w:p>
          <w:tbl>
            <w:tblPr>
              <w:tblStyle w:val="3"/>
              <w:tblW w:w="7138"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088"/>
              <w:gridCol w:w="4867"/>
              <w:gridCol w:w="1183"/>
            </w:tblGrid>
            <w:tr w14:paraId="0B7EF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trPr>
              <w:tc>
                <w:tcPr>
                  <w:tcW w:w="10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4FF05B">
                  <w:pPr>
                    <w:keepNext w:val="0"/>
                    <w:keepLines w:val="0"/>
                    <w:pageBreakBefore w:val="0"/>
                    <w:kinsoku/>
                    <w:wordWrap/>
                    <w:overflowPunct/>
                    <w:topLinePunct w:val="0"/>
                    <w:bidi w:val="0"/>
                    <w:adjustRightInd/>
                    <w:snapToGrid/>
                    <w:spacing w:line="48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序号</w:t>
                  </w:r>
                </w:p>
              </w:tc>
              <w:tc>
                <w:tcPr>
                  <w:tcW w:w="48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08ECEF">
                  <w:pPr>
                    <w:keepNext w:val="0"/>
                    <w:keepLines w:val="0"/>
                    <w:pageBreakBefore w:val="0"/>
                    <w:kinsoku/>
                    <w:wordWrap/>
                    <w:overflowPunct/>
                    <w:topLinePunct w:val="0"/>
                    <w:bidi w:val="0"/>
                    <w:adjustRightInd/>
                    <w:snapToGrid/>
                    <w:spacing w:line="48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内容</w:t>
                  </w:r>
                </w:p>
              </w:tc>
              <w:tc>
                <w:tcPr>
                  <w:tcW w:w="11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1CDD2B">
                  <w:pPr>
                    <w:keepNext w:val="0"/>
                    <w:keepLines w:val="0"/>
                    <w:pageBreakBefore w:val="0"/>
                    <w:kinsoku/>
                    <w:wordWrap/>
                    <w:overflowPunct/>
                    <w:topLinePunct w:val="0"/>
                    <w:bidi w:val="0"/>
                    <w:adjustRightInd/>
                    <w:snapToGrid/>
                    <w:spacing w:line="48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数量</w:t>
                  </w:r>
                </w:p>
              </w:tc>
            </w:tr>
            <w:tr w14:paraId="6531CC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10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85AA3B">
                  <w:pPr>
                    <w:keepNext w:val="0"/>
                    <w:keepLines w:val="0"/>
                    <w:pageBreakBefore w:val="0"/>
                    <w:kinsoku/>
                    <w:wordWrap/>
                    <w:overflowPunct/>
                    <w:topLinePunct w:val="0"/>
                    <w:bidi w:val="0"/>
                    <w:adjustRightInd/>
                    <w:snapToGrid/>
                    <w:spacing w:line="48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w:t>
                  </w:r>
                </w:p>
              </w:tc>
              <w:tc>
                <w:tcPr>
                  <w:tcW w:w="4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290395">
                  <w:pPr>
                    <w:keepNext w:val="0"/>
                    <w:keepLines w:val="0"/>
                    <w:pageBreakBefore w:val="0"/>
                    <w:kinsoku/>
                    <w:wordWrap/>
                    <w:overflowPunct/>
                    <w:topLinePunct w:val="0"/>
                    <w:bidi w:val="0"/>
                    <w:adjustRightInd/>
                    <w:snapToGrid/>
                    <w:spacing w:line="48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系统操作台</w:t>
                  </w:r>
                </w:p>
              </w:tc>
              <w:tc>
                <w:tcPr>
                  <w:tcW w:w="11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F98059">
                  <w:pPr>
                    <w:keepNext w:val="0"/>
                    <w:keepLines w:val="0"/>
                    <w:pageBreakBefore w:val="0"/>
                    <w:kinsoku/>
                    <w:wordWrap/>
                    <w:overflowPunct/>
                    <w:topLinePunct w:val="0"/>
                    <w:bidi w:val="0"/>
                    <w:adjustRightInd/>
                    <w:snapToGrid/>
                    <w:spacing w:line="480" w:lineRule="exact"/>
                    <w:jc w:val="center"/>
                    <w:textAlignment w:val="auto"/>
                    <w:rPr>
                      <w:rFonts w:hint="eastAsia" w:ascii="宋体" w:hAnsi="宋体" w:cs="宋体" w:eastAsiaTheme="minorEastAsia"/>
                      <w:color w:val="auto"/>
                      <w:sz w:val="24"/>
                      <w:szCs w:val="24"/>
                      <w:lang w:val="en-US" w:eastAsia="zh-CN"/>
                    </w:rPr>
                  </w:pPr>
                  <w:r>
                    <w:rPr>
                      <w:rFonts w:hint="eastAsia" w:ascii="宋体" w:hAnsi="宋体" w:eastAsia="宋体" w:cs="宋体"/>
                      <w:color w:val="auto"/>
                      <w:sz w:val="24"/>
                      <w:szCs w:val="24"/>
                      <w:lang w:val="en-US" w:eastAsia="zh-CN"/>
                    </w:rPr>
                    <w:t>1</w:t>
                  </w:r>
                  <w:r>
                    <w:rPr>
                      <w:rFonts w:hint="eastAsia"/>
                      <w:sz w:val="24"/>
                      <w:szCs w:val="24"/>
                      <w:lang w:val="en-US" w:eastAsia="zh-CN"/>
                    </w:rPr>
                    <w:t>台</w:t>
                  </w:r>
                </w:p>
              </w:tc>
            </w:tr>
            <w:tr w14:paraId="0B0DC6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0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7AF5CB">
                  <w:pPr>
                    <w:keepNext w:val="0"/>
                    <w:keepLines w:val="0"/>
                    <w:pageBreakBefore w:val="0"/>
                    <w:kinsoku/>
                    <w:wordWrap/>
                    <w:overflowPunct/>
                    <w:topLinePunct w:val="0"/>
                    <w:bidi w:val="0"/>
                    <w:adjustRightInd/>
                    <w:snapToGrid/>
                    <w:spacing w:line="48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w:t>
                  </w:r>
                </w:p>
              </w:tc>
              <w:tc>
                <w:tcPr>
                  <w:tcW w:w="4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055BCC">
                  <w:pPr>
                    <w:keepNext w:val="0"/>
                    <w:keepLines w:val="0"/>
                    <w:pageBreakBefore w:val="0"/>
                    <w:kinsoku/>
                    <w:wordWrap/>
                    <w:overflowPunct/>
                    <w:topLinePunct w:val="0"/>
                    <w:bidi w:val="0"/>
                    <w:adjustRightInd/>
                    <w:snapToGrid/>
                    <w:spacing w:line="48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环形输送线</w:t>
                  </w:r>
                </w:p>
              </w:tc>
              <w:tc>
                <w:tcPr>
                  <w:tcW w:w="11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D8DF5">
                  <w:pPr>
                    <w:keepNext w:val="0"/>
                    <w:keepLines w:val="0"/>
                    <w:pageBreakBefore w:val="0"/>
                    <w:kinsoku/>
                    <w:wordWrap/>
                    <w:overflowPunct/>
                    <w:topLinePunct w:val="0"/>
                    <w:bidi w:val="0"/>
                    <w:adjustRightInd/>
                    <w:snapToGrid/>
                    <w:spacing w:line="480" w:lineRule="exact"/>
                    <w:jc w:val="center"/>
                    <w:textAlignment w:val="auto"/>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1台</w:t>
                  </w:r>
                </w:p>
              </w:tc>
            </w:tr>
            <w:tr w14:paraId="5C1D70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0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EB9BE4">
                  <w:pPr>
                    <w:keepNext w:val="0"/>
                    <w:keepLines w:val="0"/>
                    <w:pageBreakBefore w:val="0"/>
                    <w:kinsoku/>
                    <w:wordWrap/>
                    <w:overflowPunct/>
                    <w:topLinePunct w:val="0"/>
                    <w:bidi w:val="0"/>
                    <w:adjustRightInd/>
                    <w:snapToGrid/>
                    <w:spacing w:line="48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w:t>
                  </w:r>
                </w:p>
              </w:tc>
              <w:tc>
                <w:tcPr>
                  <w:tcW w:w="4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817CB2">
                  <w:pPr>
                    <w:keepNext w:val="0"/>
                    <w:keepLines w:val="0"/>
                    <w:pageBreakBefore w:val="0"/>
                    <w:kinsoku/>
                    <w:wordWrap/>
                    <w:overflowPunct/>
                    <w:topLinePunct w:val="0"/>
                    <w:bidi w:val="0"/>
                    <w:adjustRightInd/>
                    <w:snapToGrid/>
                    <w:spacing w:line="48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储料台</w:t>
                  </w:r>
                </w:p>
              </w:tc>
              <w:tc>
                <w:tcPr>
                  <w:tcW w:w="11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063F39">
                  <w:pPr>
                    <w:keepNext w:val="0"/>
                    <w:keepLines w:val="0"/>
                    <w:pageBreakBefore w:val="0"/>
                    <w:kinsoku/>
                    <w:wordWrap/>
                    <w:overflowPunct/>
                    <w:topLinePunct w:val="0"/>
                    <w:bidi w:val="0"/>
                    <w:adjustRightInd/>
                    <w:snapToGrid/>
                    <w:spacing w:line="480" w:lineRule="exact"/>
                    <w:jc w:val="center"/>
                    <w:textAlignment w:val="auto"/>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1台</w:t>
                  </w:r>
                </w:p>
              </w:tc>
            </w:tr>
            <w:tr w14:paraId="41DDC9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5" w:hRule="atLeast"/>
              </w:trPr>
              <w:tc>
                <w:tcPr>
                  <w:tcW w:w="10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6AB46F">
                  <w:pPr>
                    <w:keepNext w:val="0"/>
                    <w:keepLines w:val="0"/>
                    <w:pageBreakBefore w:val="0"/>
                    <w:kinsoku/>
                    <w:wordWrap/>
                    <w:overflowPunct/>
                    <w:topLinePunct w:val="0"/>
                    <w:bidi w:val="0"/>
                    <w:adjustRightInd/>
                    <w:snapToGrid/>
                    <w:spacing w:line="48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w:t>
                  </w:r>
                </w:p>
              </w:tc>
              <w:tc>
                <w:tcPr>
                  <w:tcW w:w="4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836CC2">
                  <w:pPr>
                    <w:keepNext w:val="0"/>
                    <w:keepLines w:val="0"/>
                    <w:pageBreakBefore w:val="0"/>
                    <w:kinsoku/>
                    <w:wordWrap/>
                    <w:overflowPunct/>
                    <w:topLinePunct w:val="0"/>
                    <w:bidi w:val="0"/>
                    <w:adjustRightInd/>
                    <w:snapToGrid/>
                    <w:spacing w:line="48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龙门式机械手</w:t>
                  </w:r>
                </w:p>
              </w:tc>
              <w:tc>
                <w:tcPr>
                  <w:tcW w:w="11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C44CA9">
                  <w:pPr>
                    <w:keepNext w:val="0"/>
                    <w:keepLines w:val="0"/>
                    <w:pageBreakBefore w:val="0"/>
                    <w:kinsoku/>
                    <w:wordWrap/>
                    <w:overflowPunct/>
                    <w:topLinePunct w:val="0"/>
                    <w:bidi w:val="0"/>
                    <w:adjustRightInd/>
                    <w:snapToGrid/>
                    <w:spacing w:line="480" w:lineRule="exact"/>
                    <w:jc w:val="center"/>
                    <w:textAlignment w:val="auto"/>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1台</w:t>
                  </w:r>
                </w:p>
              </w:tc>
            </w:tr>
            <w:tr w14:paraId="5034F0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trPr>
              <w:tc>
                <w:tcPr>
                  <w:tcW w:w="10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EE5B64">
                  <w:pPr>
                    <w:keepNext w:val="0"/>
                    <w:keepLines w:val="0"/>
                    <w:pageBreakBefore w:val="0"/>
                    <w:kinsoku/>
                    <w:wordWrap/>
                    <w:overflowPunct/>
                    <w:topLinePunct w:val="0"/>
                    <w:bidi w:val="0"/>
                    <w:adjustRightInd/>
                    <w:snapToGrid/>
                    <w:spacing w:line="48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5</w:t>
                  </w:r>
                </w:p>
              </w:tc>
              <w:tc>
                <w:tcPr>
                  <w:tcW w:w="4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571A41">
                  <w:pPr>
                    <w:keepNext w:val="0"/>
                    <w:keepLines w:val="0"/>
                    <w:pageBreakBefore w:val="0"/>
                    <w:kinsoku/>
                    <w:wordWrap/>
                    <w:overflowPunct/>
                    <w:topLinePunct w:val="0"/>
                    <w:bidi w:val="0"/>
                    <w:adjustRightInd/>
                    <w:snapToGrid/>
                    <w:spacing w:line="48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工业相机</w:t>
                  </w:r>
                </w:p>
              </w:tc>
              <w:tc>
                <w:tcPr>
                  <w:tcW w:w="11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7889BE">
                  <w:pPr>
                    <w:keepNext w:val="0"/>
                    <w:keepLines w:val="0"/>
                    <w:pageBreakBefore w:val="0"/>
                    <w:kinsoku/>
                    <w:wordWrap/>
                    <w:overflowPunct/>
                    <w:topLinePunct w:val="0"/>
                    <w:bidi w:val="0"/>
                    <w:adjustRightInd/>
                    <w:snapToGrid/>
                    <w:spacing w:line="480" w:lineRule="exact"/>
                    <w:jc w:val="center"/>
                    <w:textAlignment w:val="auto"/>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1台</w:t>
                  </w:r>
                </w:p>
              </w:tc>
            </w:tr>
            <w:tr w14:paraId="5A8B36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10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3A0C16">
                  <w:pPr>
                    <w:keepNext w:val="0"/>
                    <w:keepLines w:val="0"/>
                    <w:pageBreakBefore w:val="0"/>
                    <w:kinsoku/>
                    <w:wordWrap/>
                    <w:overflowPunct/>
                    <w:topLinePunct w:val="0"/>
                    <w:bidi w:val="0"/>
                    <w:adjustRightInd/>
                    <w:snapToGrid/>
                    <w:spacing w:line="48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6</w:t>
                  </w:r>
                </w:p>
              </w:tc>
              <w:tc>
                <w:tcPr>
                  <w:tcW w:w="4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92BE94">
                  <w:pPr>
                    <w:keepNext w:val="0"/>
                    <w:keepLines w:val="0"/>
                    <w:pageBreakBefore w:val="0"/>
                    <w:kinsoku/>
                    <w:wordWrap/>
                    <w:overflowPunct/>
                    <w:topLinePunct w:val="0"/>
                    <w:bidi w:val="0"/>
                    <w:adjustRightInd/>
                    <w:snapToGrid/>
                    <w:spacing w:line="480" w:lineRule="exact"/>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井式送料台</w:t>
                  </w:r>
                </w:p>
              </w:tc>
              <w:tc>
                <w:tcPr>
                  <w:tcW w:w="11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9084A4">
                  <w:pPr>
                    <w:keepNext w:val="0"/>
                    <w:keepLines w:val="0"/>
                    <w:pageBreakBefore w:val="0"/>
                    <w:kinsoku/>
                    <w:wordWrap/>
                    <w:overflowPunct/>
                    <w:topLinePunct w:val="0"/>
                    <w:bidi w:val="0"/>
                    <w:adjustRightInd/>
                    <w:snapToGrid/>
                    <w:spacing w:line="480" w:lineRule="exact"/>
                    <w:jc w:val="center"/>
                    <w:textAlignment w:val="auto"/>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1台</w:t>
                  </w:r>
                </w:p>
              </w:tc>
            </w:tr>
          </w:tbl>
          <w:p w14:paraId="3295EB3D">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bookmarkStart w:id="5" w:name="_Toc3868"/>
            <w:bookmarkStart w:id="6" w:name="_Toc30727"/>
            <w:r>
              <w:rPr>
                <w:rFonts w:hint="eastAsia" w:ascii="宋体" w:hAnsi="宋体" w:eastAsia="宋体" w:cs="宋体"/>
                <w:b/>
                <w:bCs/>
                <w:color w:val="auto"/>
                <w:sz w:val="24"/>
                <w:szCs w:val="24"/>
                <w:lang w:val="en-US" w:eastAsia="zh-CN"/>
              </w:rPr>
              <w:t>1.2.1 系统操作台</w:t>
            </w:r>
            <w:bookmarkEnd w:id="5"/>
            <w:bookmarkEnd w:id="6"/>
          </w:p>
          <w:p w14:paraId="053B2D5A">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1）外形尺寸：≤1500×960×800mm</w:t>
            </w:r>
          </w:p>
          <w:p w14:paraId="5537255A">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2）型台规格：≤20×80mm铝型材桌面</w:t>
            </w:r>
          </w:p>
          <w:p w14:paraId="20E92F82">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3）柜子框架：≤40×40mm铝型材</w:t>
            </w:r>
          </w:p>
          <w:p w14:paraId="57B6EB8C">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4）配置要求：机架结构采用铝型材搭建，配备地脚滚轮、警示灯、按钮控制盒。</w:t>
            </w:r>
          </w:p>
          <w:p w14:paraId="0524BF40">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bookmarkStart w:id="7" w:name="_Toc16816"/>
            <w:bookmarkStart w:id="8" w:name="_Toc19344"/>
            <w:r>
              <w:rPr>
                <w:rFonts w:hint="eastAsia" w:ascii="宋体" w:hAnsi="宋体" w:eastAsia="宋体" w:cs="宋体"/>
                <w:b/>
                <w:bCs/>
                <w:color w:val="auto"/>
                <w:sz w:val="24"/>
                <w:szCs w:val="24"/>
                <w:lang w:val="en-US" w:eastAsia="zh-CN"/>
              </w:rPr>
              <w:t xml:space="preserve">1.2.2 </w:t>
            </w:r>
            <w:bookmarkEnd w:id="7"/>
            <w:r>
              <w:rPr>
                <w:rFonts w:hint="eastAsia" w:ascii="宋体" w:hAnsi="宋体" w:eastAsia="宋体" w:cs="宋体"/>
                <w:b/>
                <w:bCs/>
                <w:color w:val="auto"/>
                <w:sz w:val="24"/>
                <w:szCs w:val="24"/>
                <w:lang w:val="en-US" w:eastAsia="zh-CN"/>
              </w:rPr>
              <w:t>环形输送线</w:t>
            </w:r>
            <w:bookmarkEnd w:id="8"/>
          </w:p>
          <w:p w14:paraId="1DEA578D">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环形输送线可实现物料连续循环输送，能高效、稳定且不间断地流转物品，优化生产流程，提升空间利用率与输送效率。</w:t>
            </w:r>
          </w:p>
          <w:p w14:paraId="176CA075">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1）外形尺寸：≤800×600mm</w:t>
            </w:r>
          </w:p>
          <w:p w14:paraId="5A31B59D">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2）输送面宽度：≤65mm</w:t>
            </w:r>
          </w:p>
          <w:p w14:paraId="000B2ADD">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bookmarkStart w:id="9" w:name="_Toc11003"/>
            <w:bookmarkStart w:id="10" w:name="_Toc30267"/>
            <w:r>
              <w:rPr>
                <w:rFonts w:hint="eastAsia" w:ascii="宋体" w:hAnsi="宋体" w:eastAsia="宋体" w:cs="宋体"/>
                <w:b/>
                <w:bCs/>
                <w:color w:val="auto"/>
                <w:sz w:val="24"/>
                <w:szCs w:val="24"/>
                <w:lang w:val="en-US" w:eastAsia="zh-CN"/>
              </w:rPr>
              <w:t xml:space="preserve">1.2.3 </w:t>
            </w:r>
            <w:bookmarkEnd w:id="9"/>
            <w:r>
              <w:rPr>
                <w:rFonts w:hint="eastAsia" w:ascii="宋体" w:hAnsi="宋体" w:eastAsia="宋体" w:cs="宋体"/>
                <w:b/>
                <w:bCs/>
                <w:color w:val="auto"/>
                <w:sz w:val="24"/>
                <w:szCs w:val="24"/>
                <w:lang w:val="en-US" w:eastAsia="zh-CN"/>
              </w:rPr>
              <w:t>储料台</w:t>
            </w:r>
            <w:bookmarkEnd w:id="10"/>
          </w:p>
          <w:p w14:paraId="2A3A329E">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储料台可临时存放物料，具备方便物料集中管理、便于拿取及适配多容器放置的特点，可提升物料流转效率。</w:t>
            </w:r>
          </w:p>
          <w:p w14:paraId="002288B0">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1）外形尺寸：≤300×70mm</w:t>
            </w:r>
          </w:p>
          <w:p w14:paraId="421AE6E8">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2）储存数量：≤5个</w:t>
            </w:r>
          </w:p>
          <w:p w14:paraId="56AFC993">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3）物料尺寸：≤直径50mm，≥厚度16mm</w:t>
            </w:r>
          </w:p>
          <w:p w14:paraId="7CCB4E7E">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bookmarkStart w:id="11" w:name="_Toc3380"/>
            <w:bookmarkStart w:id="12" w:name="_Toc28186"/>
            <w:r>
              <w:rPr>
                <w:rFonts w:hint="eastAsia" w:ascii="宋体" w:hAnsi="宋体" w:eastAsia="宋体" w:cs="宋体"/>
                <w:b/>
                <w:bCs/>
                <w:color w:val="auto"/>
                <w:sz w:val="24"/>
                <w:szCs w:val="24"/>
                <w:lang w:val="en-US" w:eastAsia="zh-CN"/>
              </w:rPr>
              <w:t xml:space="preserve">1.2.4 </w:t>
            </w:r>
            <w:bookmarkEnd w:id="11"/>
            <w:r>
              <w:rPr>
                <w:rFonts w:hint="eastAsia" w:ascii="宋体" w:hAnsi="宋体" w:eastAsia="宋体" w:cs="宋体"/>
                <w:b/>
                <w:bCs/>
                <w:color w:val="auto"/>
                <w:sz w:val="24"/>
                <w:szCs w:val="24"/>
                <w:lang w:val="en-US" w:eastAsia="zh-CN"/>
              </w:rPr>
              <w:t>龙门式机械手</w:t>
            </w:r>
            <w:bookmarkEnd w:id="12"/>
          </w:p>
          <w:p w14:paraId="650F9CF7">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龙门式机械手可实现物料等的精准搬运、定位等操作，具备结构稳定、承载能力强、运动精度高、适用范围广的特点，能提升自动化生产效率与质量。</w:t>
            </w:r>
          </w:p>
          <w:p w14:paraId="7672EC72">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1）外形尺寸：≤690×450mm</w:t>
            </w:r>
          </w:p>
          <w:p w14:paraId="5C9CE29E">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2）X轴行程：≤450mm</w:t>
            </w:r>
          </w:p>
          <w:p w14:paraId="2C5C97E3">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3）Z轴行程：≤120mm</w:t>
            </w:r>
          </w:p>
          <w:p w14:paraId="122E5637">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4）吸盘尺寸：≤30mm</w:t>
            </w:r>
          </w:p>
          <w:p w14:paraId="104E9296">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bookmarkStart w:id="13" w:name="_Toc31084"/>
            <w:bookmarkStart w:id="14" w:name="_Toc5899"/>
            <w:r>
              <w:rPr>
                <w:rFonts w:hint="eastAsia" w:ascii="宋体" w:hAnsi="宋体" w:eastAsia="宋体" w:cs="宋体"/>
                <w:b/>
                <w:bCs/>
                <w:color w:val="auto"/>
                <w:sz w:val="24"/>
                <w:szCs w:val="24"/>
                <w:lang w:val="en-US" w:eastAsia="zh-CN"/>
              </w:rPr>
              <w:t xml:space="preserve">1.2.5 </w:t>
            </w:r>
            <w:bookmarkEnd w:id="13"/>
            <w:r>
              <w:rPr>
                <w:rFonts w:hint="eastAsia" w:ascii="宋体" w:hAnsi="宋体" w:eastAsia="宋体" w:cs="宋体"/>
                <w:b/>
                <w:bCs/>
                <w:color w:val="auto"/>
                <w:sz w:val="24"/>
                <w:szCs w:val="24"/>
                <w:lang w:val="en-US" w:eastAsia="zh-CN"/>
              </w:rPr>
              <w:t>工业相机</w:t>
            </w:r>
            <w:bookmarkEnd w:id="14"/>
            <w:bookmarkStart w:id="15" w:name="_Toc29835"/>
          </w:p>
          <w:p w14:paraId="400921D2">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工业面阵相机，千兆网接口，无中继情况下，最大传输距离可达100m。采用全新硬件平台实现更低功耗，搭载IMX264 CMOS芯片或优于，动态范围高，信噪比好，图像质量优异。通过千兆以太网接口传输图像，可快速实时传输数据。</w:t>
            </w:r>
          </w:p>
          <w:p w14:paraId="31F3002F">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1）像素：≥40万</w:t>
            </w:r>
          </w:p>
          <w:p w14:paraId="083F1D9B">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2）镜头接口：C-Mount</w:t>
            </w:r>
          </w:p>
          <w:p w14:paraId="08EE22C9">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3）镜像：支持水平镜像、垂直镜像输出</w:t>
            </w:r>
          </w:p>
          <w:p w14:paraId="71F2599B">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4）传感器类型：CMOS全局快门</w:t>
            </w:r>
          </w:p>
          <w:p w14:paraId="0577EE62">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5）分辨率：≥720x540</w:t>
            </w:r>
          </w:p>
          <w:p w14:paraId="531C99A1">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6）最大帧率：≥125.2fps</w:t>
            </w:r>
          </w:p>
          <w:p w14:paraId="288A8F46">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7）动态范围：≥74dB</w:t>
            </w:r>
          </w:p>
          <w:p w14:paraId="7CC85053">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8）正常曝光时间：15μs~10sec</w:t>
            </w:r>
          </w:p>
          <w:p w14:paraId="3C78B7EA">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9）数据接口：GigE</w:t>
            </w:r>
          </w:p>
          <w:p w14:paraId="50C480A8">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10）防护等级：不低于IP30</w:t>
            </w:r>
          </w:p>
          <w:p w14:paraId="3AEFACD4">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工业镜头</w:t>
            </w:r>
          </w:p>
          <w:p w14:paraId="41C2AE21">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1）焦距：≤8mm</w:t>
            </w:r>
          </w:p>
          <w:p w14:paraId="1C5CB7FA">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2）F数：F2.4~F16</w:t>
            </w:r>
          </w:p>
          <w:p w14:paraId="29E55AAC">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3）相面尺寸：Φ11mm(1/1.8")</w:t>
            </w:r>
          </w:p>
          <w:p w14:paraId="27683943">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4）镜头接口：C-Mount</w:t>
            </w:r>
          </w:p>
          <w:p w14:paraId="24C4CB43">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b/>
                <w:bCs/>
                <w:color w:val="auto"/>
                <w:sz w:val="24"/>
                <w:szCs w:val="24"/>
                <w:lang w:val="en-US" w:eastAsia="zh-CN"/>
              </w:rPr>
            </w:pPr>
            <w:r>
              <w:rPr>
                <w:rFonts w:hint="eastAsia" w:ascii="宋体" w:hAnsi="宋体" w:eastAsia="宋体" w:cs="宋体"/>
                <w:b/>
                <w:bCs/>
                <w:color w:val="auto"/>
                <w:sz w:val="24"/>
                <w:szCs w:val="24"/>
                <w:lang w:val="en-US" w:eastAsia="zh-CN"/>
              </w:rPr>
              <w:t>配套视觉软件</w:t>
            </w:r>
          </w:p>
          <w:p w14:paraId="656FAEDD">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1）图像功能：采集图像、输出图像。</w:t>
            </w:r>
          </w:p>
          <w:p w14:paraId="52BCE8E9">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定位功能：轮廓匹配、高精度匹配、快速匹配、灰度匹配、图形定位、BLOB分析、BLOB标签分析、位置修正、圆查找、椭圆查找、阵列圆查找、直线查找组合、多直线查找、直线查找、边缘交点、四边形查找、平行线查找、平行线计算、矩形检测、中线查找、垂线查找。</w:t>
            </w:r>
          </w:p>
          <w:p w14:paraId="03092D93">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3）测量功能：线圆测量、圆圆测量、点圆测量、点线测量、线线测量、点点测量、亮度测量、间距检测、像素统计、直方图工具。</w:t>
            </w:r>
          </w:p>
          <w:p w14:paraId="68399582">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识别功能：深度学习通用读码、深度学习高精度读码、条码识别、二维码识别、深度学习字符定位、深度学习精准字符定位、深度学习字符识别、深度学习高精度字符识别、深度学习单字符检测、深度学习高精度单字符检测、通用字符识别、机器学习图像分类。</w:t>
            </w:r>
          </w:p>
          <w:p w14:paraId="62694225">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5）缺陷检测：表面缺陷滤波、字符缺陷检测、异常检测、边缘模型缺陷检测、边缘对模型缺陷检测、直线边缘缺陷检测、直线对缺陷检测、圆弧对缺陷检测、圆弧边缘缺陷检测、边缘组合缺陷检测、边缘对组合缺陷检测、边缘位置趋势分析。</w:t>
            </w:r>
          </w:p>
          <w:p w14:paraId="4E790990">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6）逻辑处理：条件分支、条件检测、分支模块、分支字符、文本存储、逻辑运算、数据格式化、字符比对、自定义脚本、分组管理、坐标点集、运行耗时统计、数据集管理、事件触发模块、图形元素采集。</w:t>
            </w:r>
          </w:p>
          <w:p w14:paraId="1867ED71">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7）通信：接收数据、发送数据、相机IO通信、协议解析、协议组装。支持TCP/IP、ModBus、串口、UDP、支持 EtherNet/IP、CIP 等常见工业通信协议，可与主流品牌 PLC 实现通讯互联。</w:t>
            </w:r>
          </w:p>
          <w:p w14:paraId="0EE8114E">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b/>
                <w:bCs/>
                <w:color w:val="auto"/>
                <w:sz w:val="24"/>
                <w:szCs w:val="24"/>
                <w:lang w:val="en-US" w:eastAsia="zh-CN"/>
              </w:rPr>
            </w:pPr>
            <w:r>
              <w:rPr>
                <w:rFonts w:hint="eastAsia" w:ascii="宋体" w:hAnsi="宋体" w:eastAsia="宋体" w:cs="宋体"/>
                <w:b/>
                <w:bCs/>
                <w:color w:val="auto"/>
                <w:sz w:val="24"/>
                <w:szCs w:val="24"/>
                <w:lang w:val="en-US" w:eastAsia="zh-CN"/>
              </w:rPr>
              <w:t>视觉算法平台</w:t>
            </w:r>
          </w:p>
          <w:p w14:paraId="67D49402">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1）由完全自主开发的图像处理算子和多种交互式模块组成，包含160+个模块，支持多种操作系统和图像采集设备，能够满足机器视觉领域中定位、测量、识别、检测等需求。</w:t>
            </w:r>
          </w:p>
          <w:p w14:paraId="6C388C13">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2）完全图形化交互界面，功能图标直观易懂，拖拽式操作，可根据视觉需求快速搭建方案，模块运行状态独立标识，实时显示。</w:t>
            </w:r>
          </w:p>
          <w:p w14:paraId="612C6309">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3）可根据需求自定义运行界面，并在运行界面上集成背景图片，满足个性化需求。</w:t>
            </w:r>
          </w:p>
          <w:p w14:paraId="299B9DD4">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4）兼容GigE Vision和USB3 Vision协议标准，可接入多种品牌的相机。</w:t>
            </w:r>
          </w:p>
          <w:p w14:paraId="3EB61CD1">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5）支持本地图像和相机实时图像的处理二次开发。</w:t>
            </w:r>
          </w:p>
          <w:p w14:paraId="6FF3E8AD">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6）新增控件可一键导入VisualStudio中，支持QT、MFC、WPF和Winform的界面开发。</w:t>
            </w:r>
          </w:p>
          <w:p w14:paraId="170E1C97">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7）支持自定义模块开发，可将自定义算法封装后在软件中直接拖拽使用。</w:t>
            </w:r>
          </w:p>
          <w:p w14:paraId="340E5A5A">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8）支持TCP/IP、串口、UDP、ModBus、Ethernet/IP等多种常见的工业通信协议，能兼容主流PLC型号的通讯。</w:t>
            </w:r>
          </w:p>
          <w:p w14:paraId="565F2DB6">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9）可直接使用软件进行视觉方案搭建及部署。</w:t>
            </w:r>
          </w:p>
          <w:p w14:paraId="30099787">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10）在软件中完成视觉方案搭建后，可使用软件进行自定义开发。</w:t>
            </w:r>
          </w:p>
          <w:p w14:paraId="1231D901">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sz w:val="24"/>
                <w:szCs w:val="24"/>
                <w:lang w:val="en-US" w:eastAsia="zh-CN"/>
              </w:rPr>
            </w:pPr>
            <w:r>
              <w:rPr>
                <w:rFonts w:hint="eastAsia" w:ascii="宋体" w:hAnsi="宋体" w:eastAsia="宋体" w:cs="宋体"/>
                <w:color w:val="auto"/>
                <w:sz w:val="24"/>
                <w:szCs w:val="24"/>
                <w:lang w:val="en-US" w:eastAsia="zh-CN"/>
              </w:rPr>
              <w:t>11）可实现将算子包装成独特的视觉工具，融入自定义的检测流程中。</w:t>
            </w:r>
          </w:p>
          <w:p w14:paraId="15A7D90A">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bookmarkStart w:id="16" w:name="_Toc2454"/>
            <w:r>
              <w:rPr>
                <w:rFonts w:hint="eastAsia" w:ascii="宋体" w:hAnsi="宋体" w:eastAsia="宋体" w:cs="宋体"/>
                <w:b/>
                <w:bCs/>
                <w:color w:val="auto"/>
                <w:sz w:val="24"/>
                <w:szCs w:val="24"/>
                <w:lang w:val="en-US" w:eastAsia="zh-CN"/>
              </w:rPr>
              <w:t xml:space="preserve">1.2.6 </w:t>
            </w:r>
            <w:bookmarkEnd w:id="15"/>
            <w:r>
              <w:rPr>
                <w:rFonts w:hint="eastAsia" w:ascii="宋体" w:hAnsi="宋体" w:eastAsia="宋体" w:cs="宋体"/>
                <w:b/>
                <w:bCs/>
                <w:color w:val="auto"/>
                <w:sz w:val="24"/>
                <w:szCs w:val="24"/>
                <w:lang w:val="en-US" w:eastAsia="zh-CN"/>
              </w:rPr>
              <w:t>井式送料台</w:t>
            </w:r>
            <w:bookmarkEnd w:id="16"/>
          </w:p>
          <w:p w14:paraId="51F43E23">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bookmarkStart w:id="17" w:name="_Toc6795"/>
            <w:r>
              <w:rPr>
                <w:rFonts w:hint="eastAsia" w:ascii="宋体" w:hAnsi="宋体" w:eastAsia="宋体" w:cs="宋体"/>
                <w:color w:val="auto"/>
                <w:sz w:val="24"/>
                <w:szCs w:val="24"/>
                <w:lang w:val="en-US" w:eastAsia="zh-CN"/>
              </w:rPr>
              <w:t>井式送料台可对工件进行有序存储与逐个自动送出，具有结构紧凑、送料稳定、占用空间小、能提升自动化生产供料效率。</w:t>
            </w:r>
          </w:p>
          <w:p w14:paraId="4E2D11B5">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1）外形尺寸：≤100×100mm</w:t>
            </w:r>
          </w:p>
          <w:p w14:paraId="4611FCDE">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2）储存数量：≤5个</w:t>
            </w:r>
            <w:bookmarkEnd w:id="17"/>
          </w:p>
          <w:p w14:paraId="361E8552">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b/>
                <w:bCs/>
                <w:color w:val="auto"/>
                <w:sz w:val="24"/>
                <w:szCs w:val="24"/>
                <w:lang w:val="en-US" w:eastAsia="zh-CN"/>
              </w:rPr>
            </w:pPr>
            <w:bookmarkStart w:id="18" w:name="_Toc27770"/>
            <w:r>
              <w:rPr>
                <w:rFonts w:hint="eastAsia" w:ascii="宋体" w:hAnsi="宋体" w:eastAsia="宋体" w:cs="宋体"/>
                <w:b/>
                <w:bCs/>
                <w:color w:val="auto"/>
                <w:sz w:val="24"/>
                <w:szCs w:val="24"/>
                <w:lang w:val="en-US" w:eastAsia="zh-CN"/>
              </w:rPr>
              <w:t>2. 控制系统硬件</w:t>
            </w:r>
            <w:bookmarkEnd w:id="18"/>
            <w:r>
              <w:rPr>
                <w:rFonts w:hint="eastAsia" w:ascii="宋体" w:hAnsi="宋体" w:eastAsia="宋体" w:cs="宋体"/>
                <w:b/>
                <w:bCs/>
                <w:color w:val="auto"/>
                <w:sz w:val="24"/>
                <w:szCs w:val="24"/>
                <w:lang w:val="en-US" w:eastAsia="zh-CN"/>
              </w:rPr>
              <w:t>要求</w:t>
            </w:r>
          </w:p>
          <w:p w14:paraId="465C4DF9">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bookmarkStart w:id="19" w:name="_Toc7638"/>
            <w:r>
              <w:rPr>
                <w:rFonts w:hint="eastAsia" w:ascii="宋体" w:hAnsi="宋体" w:eastAsia="宋体" w:cs="宋体"/>
                <w:b/>
                <w:bCs/>
                <w:color w:val="auto"/>
                <w:sz w:val="24"/>
                <w:szCs w:val="24"/>
                <w:lang w:val="en-US" w:eastAsia="zh-CN"/>
              </w:rPr>
              <w:t>2.1 可编程控制器</w:t>
            </w:r>
            <w:bookmarkEnd w:id="19"/>
          </w:p>
          <w:p w14:paraId="04695AAA">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bookmarkStart w:id="20" w:name="_Toc9753"/>
            <w:r>
              <w:rPr>
                <w:rFonts w:hint="eastAsia" w:ascii="宋体" w:hAnsi="宋体" w:eastAsia="宋体" w:cs="宋体"/>
                <w:color w:val="auto"/>
                <w:sz w:val="24"/>
                <w:szCs w:val="24"/>
                <w:lang w:val="en-US" w:eastAsia="zh-CN"/>
              </w:rPr>
              <w:t>1）供电电压：DC20.4～28.8V</w:t>
            </w:r>
          </w:p>
          <w:p w14:paraId="07743B48">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2）数字量输入/输出：集成至少14路数字量输入，至少10路数字量输出，2路模拟量输入内置</w:t>
            </w:r>
          </w:p>
          <w:p w14:paraId="3AF41089">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3）存储器：≥150KB工作存储器/4MB装载存储器/14KB保持性存储</w:t>
            </w:r>
          </w:p>
          <w:p w14:paraId="7DE8176C">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器</w:t>
            </w:r>
          </w:p>
          <w:p w14:paraId="3899A6C8">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4）高速计数器：≥6个（最大100KHz）</w:t>
            </w:r>
          </w:p>
          <w:p w14:paraId="42CE172C">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5）脉冲输出：≥4个高速脉冲输出（最大100KHZ）</w:t>
            </w:r>
          </w:p>
          <w:p w14:paraId="07AB5E1D">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6）集成以太网接口：支持RS232、RS485、MODBUS、USS、S7协议通讯、PROFIBUS、PROFINET等通信，配有通信编程电缆。</w:t>
            </w:r>
          </w:p>
          <w:p w14:paraId="6FA38BE9">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b/>
                <w:bCs/>
                <w:color w:val="auto"/>
                <w:sz w:val="24"/>
                <w:szCs w:val="24"/>
                <w:lang w:val="en-US" w:eastAsia="zh-CN"/>
              </w:rPr>
            </w:pPr>
            <w:r>
              <w:rPr>
                <w:rFonts w:hint="eastAsia" w:ascii="宋体" w:hAnsi="宋体" w:eastAsia="宋体" w:cs="宋体"/>
                <w:b/>
                <w:bCs/>
                <w:color w:val="auto"/>
                <w:sz w:val="24"/>
                <w:szCs w:val="24"/>
                <w:lang w:val="en-US" w:eastAsia="zh-CN"/>
              </w:rPr>
              <w:t>2.2扩展模块</w:t>
            </w:r>
          </w:p>
          <w:p w14:paraId="39CA5F36">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1）功耗：≤1.5W</w:t>
            </w:r>
          </w:p>
          <w:p w14:paraId="6D541A85">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2）连续电压：最大30V DC</w:t>
            </w:r>
          </w:p>
          <w:p w14:paraId="6DA4FE38">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3）数字量输入：≥8</w:t>
            </w:r>
          </w:p>
          <w:p w14:paraId="009A9CE2">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b/>
                <w:bCs/>
                <w:color w:val="auto"/>
                <w:sz w:val="24"/>
                <w:szCs w:val="24"/>
                <w:lang w:val="en-US" w:eastAsia="zh-CN"/>
              </w:rPr>
              <w:t>2.3 变频器</w:t>
            </w:r>
            <w:bookmarkEnd w:id="20"/>
            <w:r>
              <w:rPr>
                <w:rFonts w:hint="eastAsia" w:ascii="宋体" w:hAnsi="宋体" w:eastAsia="宋体" w:cs="宋体"/>
                <w:b/>
                <w:bCs/>
                <w:color w:val="auto"/>
                <w:sz w:val="24"/>
                <w:szCs w:val="24"/>
                <w:lang w:val="en-US" w:eastAsia="zh-CN"/>
              </w:rPr>
              <w:t>：</w:t>
            </w:r>
          </w:p>
          <w:p w14:paraId="0A125CFF">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bookmarkStart w:id="21" w:name="_Toc30967"/>
            <w:r>
              <w:rPr>
                <w:rFonts w:hint="eastAsia" w:ascii="宋体" w:hAnsi="宋体" w:eastAsia="宋体" w:cs="宋体"/>
                <w:color w:val="auto"/>
                <w:sz w:val="24"/>
                <w:szCs w:val="24"/>
                <w:lang w:val="en-US" w:eastAsia="zh-CN"/>
              </w:rPr>
              <w:t>1）模拟量输入/输出：集成至少2路模拟量输入，至少1路模拟量输出</w:t>
            </w:r>
          </w:p>
          <w:p w14:paraId="31CA00B9">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2）数字量输入/输出：集成至少4路模拟量输入，至少2路模拟量输出</w:t>
            </w:r>
          </w:p>
          <w:p w14:paraId="443B51DE">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3）输出频率：0~550Hz，精度：≤0.01Hz</w:t>
            </w:r>
          </w:p>
          <w:p w14:paraId="39EC4CDB">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b/>
                <w:bCs/>
                <w:color w:val="auto"/>
                <w:sz w:val="24"/>
                <w:szCs w:val="24"/>
                <w:lang w:val="en-US" w:eastAsia="zh-CN"/>
              </w:rPr>
              <w:t>2.4 触摸屏</w:t>
            </w:r>
            <w:bookmarkEnd w:id="21"/>
          </w:p>
          <w:p w14:paraId="66FAAC7C">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要求选用7英寸高亮度TFT液晶显示屏搭配四线电阻式触摸屏，显示清晰，操作灵敏。学生可以通过简单的拖拽、设置等操作，快速创建个性化的人机交互界面（HMI）。</w:t>
            </w:r>
          </w:p>
          <w:p w14:paraId="2F7AE17B">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 xml:space="preserve">1. 采用：7 英寸彩色显示屏 </w:t>
            </w:r>
          </w:p>
          <w:p w14:paraId="300D71D4">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 xml:space="preserve">2. 分辨率：≥800×480 </w:t>
            </w:r>
          </w:p>
          <w:p w14:paraId="7BE936E5">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 xml:space="preserve">3. 主频：≥800 MHz </w:t>
            </w:r>
          </w:p>
          <w:p w14:paraId="52CC725C">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 xml:space="preserve">4. 内存、存储：均为 128 M，具备强大的图像显示和数据处理功能。 </w:t>
            </w:r>
          </w:p>
          <w:p w14:paraId="57491827">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5. 串行接口：COM1（RS232），COM2（RS485）；USB 接口：1 主 1 从，至少 1 个以太网接口。</w:t>
            </w:r>
          </w:p>
          <w:p w14:paraId="69A297FB">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bookmarkStart w:id="22" w:name="_Toc15193"/>
            <w:r>
              <w:rPr>
                <w:rFonts w:hint="eastAsia" w:ascii="宋体" w:hAnsi="宋体" w:eastAsia="宋体" w:cs="宋体"/>
                <w:b/>
                <w:bCs/>
                <w:color w:val="auto"/>
                <w:sz w:val="24"/>
                <w:szCs w:val="24"/>
                <w:lang w:val="en-US" w:eastAsia="zh-CN"/>
              </w:rPr>
              <w:t xml:space="preserve">2.5 </w:t>
            </w:r>
            <w:bookmarkStart w:id="23" w:name="_Toc26537"/>
            <w:r>
              <w:rPr>
                <w:rFonts w:hint="eastAsia" w:ascii="宋体" w:hAnsi="宋体" w:eastAsia="宋体" w:cs="宋体"/>
                <w:b/>
                <w:bCs/>
                <w:color w:val="auto"/>
                <w:sz w:val="24"/>
                <w:szCs w:val="24"/>
                <w:lang w:val="en-US" w:eastAsia="zh-CN"/>
              </w:rPr>
              <w:t>伺服电机</w:t>
            </w:r>
            <w:bookmarkEnd w:id="22"/>
          </w:p>
          <w:p w14:paraId="4050CC20">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bookmarkStart w:id="24" w:name="_Toc32492"/>
            <w:r>
              <w:rPr>
                <w:rFonts w:hint="eastAsia" w:ascii="宋体" w:hAnsi="宋体" w:eastAsia="宋体" w:cs="宋体"/>
                <w:color w:val="auto"/>
                <w:sz w:val="24"/>
                <w:szCs w:val="24"/>
                <w:lang w:val="en-US" w:eastAsia="zh-CN"/>
              </w:rPr>
              <w:t>1）工作电压：230V</w:t>
            </w:r>
          </w:p>
          <w:p w14:paraId="30F9F313">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2）三相交流：PN≥0.1 kW；</w:t>
            </w:r>
          </w:p>
          <w:p w14:paraId="11DF5BF1">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3）NN≥3000 U/min, M0≥0.37 Nm;</w:t>
            </w:r>
          </w:p>
          <w:p w14:paraId="34F7644A">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4）MN≥0.37 Nm，轴高度≥20 mm；</w:t>
            </w:r>
          </w:p>
          <w:p w14:paraId="419E04B4">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5）增量编码器TTL 2500增量/转；光滑的轴公差，无驻车制动器；</w:t>
            </w:r>
          </w:p>
          <w:p w14:paraId="0996649D">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lang w:val="en-US" w:eastAsia="zh-CN"/>
              </w:rPr>
              <w:t>6）防护等级</w:t>
            </w:r>
            <w:r>
              <w:rPr>
                <w:rFonts w:hint="eastAsia" w:ascii="宋体" w:hAnsi="宋体" w:eastAsia="宋体" w:cs="宋体"/>
                <w:color w:val="auto"/>
                <w:sz w:val="24"/>
                <w:szCs w:val="24"/>
                <w:highlight w:val="none"/>
                <w:lang w:val="en-US" w:eastAsia="zh-CN"/>
              </w:rPr>
              <w:t>不低于IP65带密封圈与变频器兼容</w:t>
            </w:r>
          </w:p>
          <w:bookmarkEnd w:id="23"/>
          <w:p w14:paraId="30C58E31">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highlight w:val="none"/>
                <w:lang w:val="en-US" w:eastAsia="zh-CN"/>
              </w:rPr>
            </w:pPr>
            <w:bookmarkStart w:id="25" w:name="_Toc2417"/>
            <w:r>
              <w:rPr>
                <w:rFonts w:hint="eastAsia" w:ascii="宋体" w:hAnsi="宋体" w:eastAsia="宋体" w:cs="宋体"/>
                <w:b/>
                <w:bCs/>
                <w:color w:val="auto"/>
                <w:sz w:val="24"/>
                <w:szCs w:val="24"/>
                <w:highlight w:val="none"/>
                <w:lang w:val="en-US" w:eastAsia="zh-CN"/>
              </w:rPr>
              <w:t xml:space="preserve">2.6 </w:t>
            </w:r>
            <w:bookmarkEnd w:id="24"/>
            <w:r>
              <w:rPr>
                <w:rFonts w:hint="eastAsia" w:ascii="宋体" w:hAnsi="宋体" w:eastAsia="宋体" w:cs="宋体"/>
                <w:b/>
                <w:bCs/>
                <w:color w:val="auto"/>
                <w:sz w:val="24"/>
                <w:szCs w:val="24"/>
                <w:highlight w:val="none"/>
                <w:lang w:val="en-US" w:eastAsia="zh-CN"/>
              </w:rPr>
              <w:t>伺服电机驱动器</w:t>
            </w:r>
            <w:bookmarkEnd w:id="25"/>
          </w:p>
          <w:p w14:paraId="393A090C">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PROFINET 输入电压：200 -240 V，1 相/三相交流 - 15 %/+ 10 %，2.5 A/1.5 A 45-66 输出电压：0 – 输出 1.2 A 0-330 Hz 电机：0.1 kW 防护方式：≥IP20 尺寸 A， ≥45x170x170（宽x高x深）；</w:t>
            </w:r>
          </w:p>
          <w:p w14:paraId="37C4CB0F">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1）控制模式：外部脉冲位置控制、内部设定值位置控制、速度控制、扭矩控制</w:t>
            </w:r>
          </w:p>
          <w:p w14:paraId="6B86BA1F">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sz w:val="24"/>
                <w:szCs w:val="24"/>
                <w:lang w:val="en-US" w:eastAsia="zh-CN"/>
              </w:rPr>
            </w:pPr>
            <w:r>
              <w:rPr>
                <w:rFonts w:hint="eastAsia" w:ascii="宋体" w:hAnsi="宋体" w:eastAsia="宋体" w:cs="宋体"/>
                <w:color w:val="auto"/>
                <w:sz w:val="24"/>
                <w:szCs w:val="24"/>
                <w:lang w:val="en-US" w:eastAsia="zh-CN"/>
              </w:rPr>
              <w:t>2）防护等级：不低于IP20</w:t>
            </w:r>
          </w:p>
          <w:p w14:paraId="283B59CD">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bookmarkStart w:id="26" w:name="_Toc28942"/>
            <w:r>
              <w:rPr>
                <w:rFonts w:hint="eastAsia" w:ascii="宋体" w:hAnsi="宋体" w:eastAsia="宋体" w:cs="宋体"/>
                <w:b/>
                <w:bCs/>
                <w:color w:val="auto"/>
                <w:sz w:val="24"/>
                <w:szCs w:val="24"/>
                <w:lang w:val="en-US" w:eastAsia="zh-CN"/>
              </w:rPr>
              <w:t>2.7 三相异步电机</w:t>
            </w:r>
            <w:bookmarkEnd w:id="26"/>
          </w:p>
          <w:p w14:paraId="13E3BA88">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1）额定功率：</w:t>
            </w:r>
            <w:r>
              <w:rPr>
                <w:rFonts w:hint="eastAsia" w:ascii="宋体" w:hAnsi="宋体" w:eastAsia="宋体" w:cs="宋体"/>
                <w:color w:val="000000"/>
                <w:spacing w:val="-1"/>
                <w:sz w:val="24"/>
                <w:szCs w:val="24"/>
              </w:rPr>
              <w:t>≤</w:t>
            </w:r>
            <w:r>
              <w:rPr>
                <w:rFonts w:hint="eastAsia" w:ascii="宋体" w:hAnsi="宋体" w:eastAsia="宋体" w:cs="宋体"/>
                <w:color w:val="auto"/>
                <w:sz w:val="24"/>
                <w:szCs w:val="24"/>
                <w:lang w:val="en-US" w:eastAsia="zh-CN"/>
              </w:rPr>
              <w:t>100W</w:t>
            </w:r>
          </w:p>
          <w:p w14:paraId="2118F270">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2）额定电压：220V</w:t>
            </w:r>
          </w:p>
          <w:p w14:paraId="65AC3277">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3）额定转速：≥1500转/分钟</w:t>
            </w:r>
          </w:p>
          <w:p w14:paraId="0E7543F4">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bookmarkStart w:id="27" w:name="_Toc4602"/>
            <w:r>
              <w:rPr>
                <w:rFonts w:hint="eastAsia" w:ascii="宋体" w:hAnsi="宋体" w:eastAsia="宋体" w:cs="宋体"/>
                <w:b/>
                <w:bCs/>
                <w:color w:val="auto"/>
                <w:sz w:val="24"/>
                <w:szCs w:val="24"/>
                <w:lang w:val="en-US" w:eastAsia="zh-CN"/>
              </w:rPr>
              <w:t>2.8 槽型光电传感器</w:t>
            </w:r>
            <w:bookmarkEnd w:id="27"/>
          </w:p>
          <w:p w14:paraId="6440A3B1">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1）槽型光电感应器：检测距离≥5mm</w:t>
            </w:r>
          </w:p>
          <w:p w14:paraId="1DAD55F7">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2）重复精度：</w:t>
            </w:r>
            <w:r>
              <w:rPr>
                <w:rFonts w:hint="eastAsia" w:ascii="宋体" w:hAnsi="宋体" w:eastAsia="宋体" w:cs="宋体"/>
                <w:color w:val="000000"/>
                <w:spacing w:val="-1"/>
                <w:sz w:val="24"/>
                <w:szCs w:val="24"/>
              </w:rPr>
              <w:t>≤</w:t>
            </w:r>
            <w:r>
              <w:rPr>
                <w:rFonts w:hint="eastAsia" w:ascii="宋体" w:hAnsi="宋体" w:eastAsia="宋体" w:cs="宋体"/>
                <w:color w:val="auto"/>
                <w:sz w:val="24"/>
                <w:szCs w:val="24"/>
                <w:lang w:val="en-US" w:eastAsia="zh-CN"/>
              </w:rPr>
              <w:t>0.03mm，PNP型</w:t>
            </w:r>
          </w:p>
          <w:p w14:paraId="3B0BADE8">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3）响应频率：≥3KHz</w:t>
            </w:r>
          </w:p>
          <w:p w14:paraId="695C59AE">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4）工作电压：5—24V DC</w:t>
            </w:r>
          </w:p>
          <w:p w14:paraId="69CED04F">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5）防护等级：不低于IP50</w:t>
            </w:r>
          </w:p>
          <w:p w14:paraId="30AAD4E1">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bookmarkStart w:id="28" w:name="_Toc15394"/>
            <w:r>
              <w:rPr>
                <w:rFonts w:hint="eastAsia" w:ascii="宋体" w:hAnsi="宋体" w:eastAsia="宋体" w:cs="宋体"/>
                <w:b/>
                <w:bCs/>
                <w:color w:val="auto"/>
                <w:sz w:val="24"/>
                <w:szCs w:val="24"/>
                <w:lang w:val="en-US" w:eastAsia="zh-CN"/>
              </w:rPr>
              <w:t>2.9 光电传感器</w:t>
            </w:r>
            <w:bookmarkEnd w:id="28"/>
          </w:p>
          <w:p w14:paraId="370B756B">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1）检测距离：最大检测距离≥30mm</w:t>
            </w:r>
          </w:p>
          <w:p w14:paraId="0A86FFB8">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2）工作电压：DC12 - 24V</w:t>
            </w:r>
          </w:p>
          <w:p w14:paraId="12881A1F">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 响应时间：响应速度快，动作和复位响应时间</w:t>
            </w:r>
            <w:r>
              <w:rPr>
                <w:rFonts w:hint="eastAsia" w:ascii="宋体" w:hAnsi="宋体" w:eastAsia="宋体" w:cs="宋体"/>
                <w:color w:val="000000"/>
                <w:spacing w:val="-1"/>
                <w:sz w:val="24"/>
                <w:szCs w:val="24"/>
              </w:rPr>
              <w:t>≤</w:t>
            </w:r>
            <w:r>
              <w:rPr>
                <w:rFonts w:hint="eastAsia" w:ascii="宋体" w:hAnsi="宋体" w:eastAsia="宋体" w:cs="宋体"/>
                <w:color w:val="auto"/>
                <w:sz w:val="24"/>
                <w:szCs w:val="24"/>
                <w:lang w:val="en-US" w:eastAsia="zh-CN"/>
              </w:rPr>
              <w:t>3ms</w:t>
            </w:r>
          </w:p>
          <w:p w14:paraId="76221875">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4）输出类型：NPN型</w:t>
            </w:r>
          </w:p>
          <w:p w14:paraId="1F26AD69">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5）防护等级：不低于IP65</w:t>
            </w:r>
          </w:p>
          <w:p w14:paraId="3251C635">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bookmarkStart w:id="29" w:name="_Toc14161"/>
            <w:r>
              <w:rPr>
                <w:rFonts w:hint="eastAsia" w:ascii="宋体" w:hAnsi="宋体" w:eastAsia="宋体" w:cs="宋体"/>
                <w:b/>
                <w:bCs/>
                <w:color w:val="auto"/>
                <w:sz w:val="24"/>
                <w:szCs w:val="24"/>
                <w:lang w:val="en-US" w:eastAsia="zh-CN"/>
              </w:rPr>
              <w:t>2.10 激光传感器</w:t>
            </w:r>
            <w:bookmarkEnd w:id="29"/>
          </w:p>
          <w:p w14:paraId="0C1CEC87">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1）设定与检测距离：设定距离涵盖20—100mm 范围，检测距离5—100mm</w:t>
            </w:r>
          </w:p>
          <w:p w14:paraId="513E0629">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2）工作电压：支持10—30V DC 供电；</w:t>
            </w:r>
          </w:p>
          <w:p w14:paraId="21BB92FD">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3）响应时间：具备高速响应性能，</w:t>
            </w:r>
            <w:r>
              <w:rPr>
                <w:rFonts w:hint="eastAsia" w:ascii="宋体" w:hAnsi="宋体" w:eastAsia="宋体" w:cs="宋体"/>
                <w:color w:val="000000"/>
                <w:spacing w:val="-1"/>
                <w:sz w:val="24"/>
                <w:szCs w:val="24"/>
              </w:rPr>
              <w:t>≤</w:t>
            </w:r>
            <w:r>
              <w:rPr>
                <w:rFonts w:hint="eastAsia" w:ascii="宋体" w:hAnsi="宋体" w:eastAsia="宋体" w:cs="宋体"/>
                <w:color w:val="auto"/>
                <w:sz w:val="24"/>
                <w:szCs w:val="24"/>
                <w:lang w:val="en-US" w:eastAsia="zh-CN"/>
              </w:rPr>
              <w:t>0.3ms；</w:t>
            </w:r>
          </w:p>
          <w:p w14:paraId="6EC40C2F">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4）输出类型：有NPN型输出可选，适配电路设计；</w:t>
            </w:r>
          </w:p>
          <w:p w14:paraId="63F2529C">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5）防护等级：防护等级不低于IP67；</w:t>
            </w:r>
          </w:p>
          <w:p w14:paraId="5EC670B5">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bookmarkStart w:id="30" w:name="_Toc14206"/>
            <w:r>
              <w:rPr>
                <w:rFonts w:hint="eastAsia" w:ascii="宋体" w:hAnsi="宋体" w:eastAsia="宋体" w:cs="宋体"/>
                <w:b/>
                <w:bCs/>
                <w:color w:val="auto"/>
                <w:sz w:val="24"/>
                <w:szCs w:val="24"/>
                <w:lang w:val="en-US" w:eastAsia="zh-CN"/>
              </w:rPr>
              <w:t>2.11 步进电机</w:t>
            </w:r>
            <w:bookmarkEnd w:id="30"/>
          </w:p>
          <w:p w14:paraId="537E55AF">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要求选用的步进电机具有控制精度高、动力性能好、运行平稳低噪、结构简单可靠、控制方便及适用性广等特点。</w:t>
            </w:r>
          </w:p>
          <w:p w14:paraId="60CC74A2">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主要技术参数要求：</w:t>
            </w:r>
          </w:p>
          <w:p w14:paraId="0A599E04">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1）保持转矩：≥0.7Nm</w:t>
            </w:r>
          </w:p>
          <w:p w14:paraId="16C10BC8">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2）出轴直径：≥8MM</w:t>
            </w:r>
          </w:p>
          <w:p w14:paraId="6B2E4149">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3）机身长：≥42MM</w:t>
            </w:r>
          </w:p>
          <w:p w14:paraId="57BDC15B">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4）重量：</w:t>
            </w:r>
            <w:r>
              <w:rPr>
                <w:rFonts w:hint="eastAsia" w:ascii="宋体" w:hAnsi="宋体" w:eastAsia="宋体" w:cs="宋体"/>
                <w:color w:val="000000"/>
                <w:spacing w:val="-1"/>
                <w:sz w:val="24"/>
                <w:szCs w:val="24"/>
              </w:rPr>
              <w:t>≤</w:t>
            </w:r>
            <w:r>
              <w:rPr>
                <w:rFonts w:hint="eastAsia" w:ascii="宋体" w:hAnsi="宋体" w:eastAsia="宋体" w:cs="宋体"/>
                <w:color w:val="auto"/>
                <w:sz w:val="24"/>
                <w:szCs w:val="24"/>
                <w:lang w:val="en-US" w:eastAsia="zh-CN"/>
              </w:rPr>
              <w:t>0.45KG</w:t>
            </w:r>
          </w:p>
          <w:p w14:paraId="29B315E6">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5）出轴方式：单出轴</w:t>
            </w:r>
          </w:p>
          <w:p w14:paraId="4D5DB8AA">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bookmarkStart w:id="31" w:name="_Toc1469"/>
            <w:r>
              <w:rPr>
                <w:rFonts w:hint="eastAsia" w:ascii="宋体" w:hAnsi="宋体" w:eastAsia="宋体" w:cs="宋体"/>
                <w:b/>
                <w:bCs/>
                <w:color w:val="auto"/>
                <w:sz w:val="24"/>
                <w:szCs w:val="24"/>
                <w:lang w:val="en-US" w:eastAsia="zh-CN"/>
              </w:rPr>
              <w:t>2.12 步进电机驱动器</w:t>
            </w:r>
            <w:bookmarkEnd w:id="31"/>
            <w:bookmarkStart w:id="32" w:name="_Toc15761"/>
          </w:p>
          <w:p w14:paraId="435BCD6A">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主要选用的步进电机驱动器，它具有低噪音、低发热、运行平稳且抗干扰能力强等特点。</w:t>
            </w:r>
          </w:p>
          <w:p w14:paraId="141072CB">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1）重量：</w:t>
            </w:r>
            <w:r>
              <w:rPr>
                <w:rFonts w:hint="eastAsia" w:ascii="宋体" w:hAnsi="宋体" w:eastAsia="宋体" w:cs="宋体"/>
                <w:color w:val="000000"/>
                <w:spacing w:val="-1"/>
                <w:sz w:val="24"/>
                <w:szCs w:val="24"/>
              </w:rPr>
              <w:t>≤</w:t>
            </w:r>
            <w:r>
              <w:rPr>
                <w:rFonts w:hint="eastAsia" w:ascii="宋体" w:hAnsi="宋体" w:eastAsia="宋体" w:cs="宋体"/>
                <w:color w:val="auto"/>
                <w:sz w:val="24"/>
                <w:szCs w:val="24"/>
                <w:lang w:val="en-US" w:eastAsia="zh-CN"/>
              </w:rPr>
              <w:t>0.25KG</w:t>
            </w:r>
          </w:p>
          <w:p w14:paraId="1EB393DE">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2）电流：1.0A—4.2A</w:t>
            </w:r>
          </w:p>
          <w:p w14:paraId="246D920F">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sz w:val="24"/>
                <w:szCs w:val="24"/>
                <w:lang w:val="en-US" w:eastAsia="zh-CN"/>
              </w:rPr>
            </w:pPr>
            <w:r>
              <w:rPr>
                <w:rFonts w:hint="eastAsia" w:ascii="宋体" w:hAnsi="宋体" w:eastAsia="宋体" w:cs="宋体"/>
                <w:color w:val="auto"/>
                <w:sz w:val="24"/>
                <w:szCs w:val="24"/>
                <w:lang w:val="en-US" w:eastAsia="zh-CN"/>
              </w:rPr>
              <w:t>3）分辨率：</w:t>
            </w:r>
            <w:r>
              <w:rPr>
                <w:rFonts w:hint="eastAsia" w:ascii="宋体" w:hAnsi="宋体" w:eastAsia="宋体" w:cs="宋体"/>
                <w:color w:val="000000"/>
                <w:spacing w:val="-1"/>
                <w:sz w:val="24"/>
                <w:szCs w:val="24"/>
              </w:rPr>
              <w:t>≤</w:t>
            </w:r>
            <w:r>
              <w:rPr>
                <w:rFonts w:hint="eastAsia" w:ascii="宋体" w:hAnsi="宋体" w:eastAsia="宋体" w:cs="宋体"/>
                <w:color w:val="auto"/>
                <w:sz w:val="24"/>
                <w:szCs w:val="24"/>
                <w:lang w:val="en-US" w:eastAsia="zh-CN"/>
              </w:rPr>
              <w:t>0.1A</w:t>
            </w:r>
          </w:p>
          <w:bookmarkEnd w:id="32"/>
          <w:p w14:paraId="472A3E2E">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highlight w:val="none"/>
                <w:lang w:val="en-US" w:eastAsia="zh-CN"/>
              </w:rPr>
            </w:pPr>
            <w:bookmarkStart w:id="33" w:name="_Toc5986"/>
            <w:r>
              <w:rPr>
                <w:rFonts w:hint="eastAsia" w:ascii="宋体" w:hAnsi="宋体" w:eastAsia="宋体" w:cs="宋体"/>
                <w:b/>
                <w:bCs/>
                <w:color w:val="auto"/>
                <w:sz w:val="24"/>
                <w:szCs w:val="24"/>
                <w:lang w:val="en-US" w:eastAsia="zh-CN"/>
              </w:rPr>
              <w:t>3. 数字孪生仿真软件</w:t>
            </w:r>
            <w:bookmarkEnd w:id="33"/>
          </w:p>
          <w:p w14:paraId="7A21996D">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highlight w:val="none"/>
                <w:lang w:val="en-US" w:eastAsia="zh-CN"/>
              </w:rPr>
            </w:pPr>
            <w:bookmarkStart w:id="34" w:name="_Toc19861"/>
            <w:r>
              <w:rPr>
                <w:rFonts w:hint="eastAsia" w:ascii="宋体" w:hAnsi="宋体" w:eastAsia="宋体" w:cs="宋体"/>
                <w:color w:val="auto"/>
                <w:sz w:val="24"/>
                <w:szCs w:val="24"/>
                <w:highlight w:val="none"/>
                <w:lang w:val="en-US" w:eastAsia="zh-CN"/>
              </w:rPr>
              <w:t>1）教学资源及数字孪生软件为国产自主研发软件，具备著作权证书等权属文件</w:t>
            </w:r>
            <w:r>
              <w:rPr>
                <w:rFonts w:hint="eastAsia" w:ascii="宋体" w:hAnsi="宋体" w:eastAsia="宋体" w:cs="宋体"/>
                <w:b/>
                <w:bCs/>
                <w:color w:val="auto"/>
                <w:sz w:val="24"/>
                <w:szCs w:val="24"/>
                <w:highlight w:val="none"/>
                <w:lang w:val="en-US" w:eastAsia="zh-CN"/>
              </w:rPr>
              <w:t>（响应文件中须提供软件著作权证书复印件加盖供应商公章）</w:t>
            </w:r>
            <w:r>
              <w:rPr>
                <w:rFonts w:hint="eastAsia" w:ascii="宋体" w:hAnsi="宋体" w:eastAsia="宋体" w:cs="宋体"/>
                <w:color w:val="auto"/>
                <w:sz w:val="24"/>
                <w:szCs w:val="24"/>
                <w:highlight w:val="none"/>
                <w:lang w:val="en-US" w:eastAsia="zh-CN"/>
              </w:rPr>
              <w:t>；</w:t>
            </w:r>
          </w:p>
          <w:p w14:paraId="6022C945">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2）提供≥200种智能制造工作单元和设备资源，支持PLC、机器人等主流设备仿真与虚拟调试，可规划设计车间布局并自由调整；</w:t>
            </w:r>
          </w:p>
          <w:p w14:paraId="31F2341B">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highlight w:val="none"/>
                <w:lang w:val="en-US" w:eastAsia="zh-CN"/>
              </w:rPr>
              <w:t>3）可从云端设备库选择机器人、物流等模块进行仿真调试，支持搜</w:t>
            </w:r>
            <w:r>
              <w:rPr>
                <w:rFonts w:hint="eastAsia" w:ascii="宋体" w:hAnsi="宋体" w:eastAsia="宋体" w:cs="宋体"/>
                <w:color w:val="auto"/>
                <w:sz w:val="24"/>
                <w:szCs w:val="24"/>
                <w:lang w:val="en-US" w:eastAsia="zh-CN"/>
              </w:rPr>
              <w:t>索筛选排序及相似参数推荐，可自定义属性并生成与实际一致的3D模型和业务路径；</w:t>
            </w:r>
          </w:p>
          <w:p w14:paraId="62678133">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4）支持定义自动上料点，通过时间和信号控制模拟物料重复生成与消失；</w:t>
            </w:r>
          </w:p>
          <w:p w14:paraId="1C3B507E">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lang w:val="en-US" w:eastAsia="zh-CN"/>
              </w:rPr>
              <w:t>5）提供100台以上不同品牌、型号工业机器人，可进行场景搭建、轨迹规划、运动仿真及程序代码</w:t>
            </w:r>
            <w:r>
              <w:rPr>
                <w:rFonts w:hint="eastAsia" w:ascii="宋体" w:hAnsi="宋体" w:eastAsia="宋体" w:cs="宋体"/>
                <w:color w:val="auto"/>
                <w:sz w:val="24"/>
                <w:szCs w:val="24"/>
                <w:highlight w:val="none"/>
                <w:lang w:val="en-US" w:eastAsia="zh-CN"/>
              </w:rPr>
              <w:t>生成</w:t>
            </w:r>
            <w:r>
              <w:rPr>
                <w:rFonts w:hint="eastAsia" w:ascii="宋体" w:hAnsi="宋体" w:eastAsia="宋体" w:cs="宋体"/>
                <w:b/>
                <w:bCs/>
                <w:color w:val="auto"/>
                <w:sz w:val="24"/>
                <w:szCs w:val="24"/>
                <w:highlight w:val="none"/>
                <w:lang w:val="en-US" w:eastAsia="zh-CN"/>
              </w:rPr>
              <w:t>（响应文件中须提供产品功能截图并加盖供应商公章）</w:t>
            </w:r>
            <w:r>
              <w:rPr>
                <w:rFonts w:hint="eastAsia" w:ascii="宋体" w:hAnsi="宋体" w:eastAsia="宋体" w:cs="宋体"/>
                <w:b w:val="0"/>
                <w:bCs w:val="0"/>
                <w:color w:val="auto"/>
                <w:sz w:val="24"/>
                <w:szCs w:val="24"/>
                <w:highlight w:val="none"/>
                <w:lang w:val="en-US" w:eastAsia="zh-CN"/>
              </w:rPr>
              <w:t>；</w:t>
            </w:r>
          </w:p>
          <w:p w14:paraId="73F4960C">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6）支持模型参数化功能，包含100个以上参数化模型，可调节长宽高、型号等多项参数；</w:t>
            </w:r>
          </w:p>
          <w:p w14:paraId="66FDB396">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highlight w:val="none"/>
                <w:lang w:val="en-US" w:eastAsia="zh-CN"/>
              </w:rPr>
              <w:t>7）支持机器视觉仿真，虚拟相机与实际同步，可引导机器人识别抓取工件，实现数字孪生</w:t>
            </w:r>
            <w:r>
              <w:rPr>
                <w:rFonts w:hint="eastAsia" w:ascii="宋体" w:hAnsi="宋体" w:eastAsia="宋体" w:cs="宋体"/>
                <w:b/>
                <w:bCs/>
                <w:color w:val="auto"/>
                <w:sz w:val="24"/>
                <w:szCs w:val="24"/>
                <w:highlight w:val="none"/>
                <w:lang w:val="en-US" w:eastAsia="zh-CN"/>
              </w:rPr>
              <w:t>（响应文件中须提供产品功能截图并加盖供</w:t>
            </w:r>
            <w:r>
              <w:rPr>
                <w:rFonts w:hint="eastAsia" w:ascii="宋体" w:hAnsi="宋体" w:eastAsia="宋体" w:cs="宋体"/>
                <w:b/>
                <w:bCs/>
                <w:color w:val="auto"/>
                <w:sz w:val="24"/>
                <w:szCs w:val="24"/>
                <w:lang w:val="en-US" w:eastAsia="zh-CN"/>
              </w:rPr>
              <w:t>应商公章）</w:t>
            </w:r>
            <w:r>
              <w:rPr>
                <w:rFonts w:hint="eastAsia" w:ascii="宋体" w:hAnsi="宋体" w:eastAsia="宋体" w:cs="宋体"/>
                <w:color w:val="auto"/>
                <w:sz w:val="24"/>
                <w:szCs w:val="24"/>
                <w:lang w:val="en-US" w:eastAsia="zh-CN"/>
              </w:rPr>
              <w:t>；</w:t>
            </w:r>
          </w:p>
          <w:p w14:paraId="4DBD492A">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8）支持RFID仿真，具备虚拟及实物读卡器和标签，PLC可读取读卡器信息；</w:t>
            </w:r>
          </w:p>
          <w:p w14:paraId="3136F270">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9）支持机器人管线包软管仿真；</w:t>
            </w:r>
          </w:p>
          <w:p w14:paraId="78E0B468">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10）包含气动机械手、传送带等执行机构，动作与真实一致且可编程定义，支持手动操作；</w:t>
            </w:r>
          </w:p>
          <w:p w14:paraId="6D53AD82">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11）支持自由定义场景设备，可通过三维模型及技术参数自定义机器人、工具等；</w:t>
            </w:r>
          </w:p>
          <w:p w14:paraId="13061FFA">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12）支持模型自动轻量化，轻量化程度20%—80%可调，文件大小可降至原1/30；</w:t>
            </w:r>
          </w:p>
          <w:p w14:paraId="022D8EA2">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13）可创建保存组件库，支持10几种标准CAD文件导入及stl格式导出，可建立独有模型库；</w:t>
            </w:r>
          </w:p>
          <w:p w14:paraId="26E46218">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14）至少可实现主流机器人3个以上型号机器人的模型导入、轨迹规划及离线编程；</w:t>
            </w:r>
          </w:p>
          <w:p w14:paraId="067D6359">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15）具备贴图功能，可简化模型搭建、减小模型大小，提升绘图区响应速度；</w:t>
            </w:r>
          </w:p>
          <w:p w14:paraId="39CFE68E">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lang w:val="en-US" w:eastAsia="zh-CN"/>
              </w:rPr>
              <w:t>16）具备AI自动识别机器人型号功能，上传模型可自动匹配推荐，推荐模型可直接示教编程</w:t>
            </w:r>
            <w:r>
              <w:rPr>
                <w:rFonts w:hint="eastAsia" w:ascii="宋体" w:hAnsi="宋体" w:eastAsia="宋体" w:cs="宋体"/>
                <w:b/>
                <w:bCs/>
                <w:color w:val="auto"/>
                <w:sz w:val="24"/>
                <w:szCs w:val="24"/>
                <w:highlight w:val="none"/>
                <w:lang w:val="en-US" w:eastAsia="zh-CN"/>
              </w:rPr>
              <w:t>（响应文件中须提供产品功能截图并加盖供应商公章）</w:t>
            </w:r>
            <w:r>
              <w:rPr>
                <w:rFonts w:hint="eastAsia" w:ascii="宋体" w:hAnsi="宋体" w:eastAsia="宋体" w:cs="宋体"/>
                <w:color w:val="auto"/>
                <w:sz w:val="24"/>
                <w:szCs w:val="24"/>
                <w:highlight w:val="none"/>
                <w:lang w:val="en-US" w:eastAsia="zh-CN"/>
              </w:rPr>
              <w:t>；</w:t>
            </w:r>
          </w:p>
          <w:p w14:paraId="472748AC">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17）含考题教学库，设备装配、产线搭建等不同类型考题不低于10套；</w:t>
            </w:r>
          </w:p>
          <w:p w14:paraId="6DED6197">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18）内置5种以上典型实训场景，包括轨迹、搬运、焊接等练习场景；</w:t>
            </w:r>
          </w:p>
          <w:p w14:paraId="629C713C">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19）内置行业教学库，含锂电、光伏、汽车等行业产线资源</w:t>
            </w:r>
            <w:r>
              <w:rPr>
                <w:rFonts w:hint="eastAsia" w:ascii="宋体" w:hAnsi="宋体" w:eastAsia="宋体" w:cs="宋体"/>
                <w:b/>
                <w:bCs/>
                <w:color w:val="auto"/>
                <w:sz w:val="24"/>
                <w:szCs w:val="24"/>
                <w:highlight w:val="none"/>
                <w:lang w:val="en-US" w:eastAsia="zh-CN"/>
              </w:rPr>
              <w:t>（响应文件中须提供产品功能截图并加盖供应商公章）</w:t>
            </w:r>
            <w:r>
              <w:rPr>
                <w:rFonts w:hint="eastAsia" w:ascii="宋体" w:hAnsi="宋体" w:eastAsia="宋体" w:cs="宋体"/>
                <w:color w:val="auto"/>
                <w:sz w:val="24"/>
                <w:szCs w:val="24"/>
                <w:highlight w:val="none"/>
                <w:lang w:val="en-US" w:eastAsia="zh-CN"/>
              </w:rPr>
              <w:t>；</w:t>
            </w:r>
          </w:p>
          <w:p w14:paraId="23B05B26">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20）具备利用云服务平台实时把控考试进度，考试结果自动打分，全程远程自动化运行；</w:t>
            </w:r>
          </w:p>
          <w:p w14:paraId="6A859B8C">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21）提供参数化建模配置工具，可视化建模无需编写代码，可通过参数调节模型数量和大小；</w:t>
            </w:r>
          </w:p>
          <w:p w14:paraId="06BDA8E0">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22）支持系统二次开发，可对设备进行运动控制和状态监控，支持多语言开发</w:t>
            </w:r>
            <w:r>
              <w:rPr>
                <w:rFonts w:hint="eastAsia" w:ascii="宋体" w:hAnsi="宋体" w:eastAsia="宋体" w:cs="宋体"/>
                <w:b/>
                <w:bCs/>
                <w:color w:val="auto"/>
                <w:sz w:val="24"/>
                <w:szCs w:val="24"/>
                <w:highlight w:val="none"/>
                <w:lang w:val="en-US" w:eastAsia="zh-CN"/>
              </w:rPr>
              <w:t>（响应文件中须提供产品功能截图并加盖供应商公章）</w:t>
            </w:r>
            <w:r>
              <w:rPr>
                <w:rFonts w:hint="eastAsia" w:ascii="宋体" w:hAnsi="宋体" w:eastAsia="宋体" w:cs="宋体"/>
                <w:color w:val="auto"/>
                <w:sz w:val="24"/>
                <w:szCs w:val="24"/>
                <w:highlight w:val="none"/>
                <w:lang w:val="en-US" w:eastAsia="zh-CN"/>
              </w:rPr>
              <w:t>；</w:t>
            </w:r>
          </w:p>
          <w:p w14:paraId="7E25F270">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23）支持结合零件特征自动规划工作路径，自动生成多品牌机器人程序并进行仿真验证；</w:t>
            </w:r>
          </w:p>
          <w:p w14:paraId="2F0CF37C">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24）支持智能制造数字孪生及虚拟调试，可实现全虚拟或半实物调试；</w:t>
            </w:r>
          </w:p>
          <w:p w14:paraId="2EEDDB2A">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25）可仿真机器人运动状态，支持多种运动指令及逻辑控制指令；</w:t>
            </w:r>
          </w:p>
          <w:p w14:paraId="7DC537F1">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26）支持与主流品牌PLC设备联调，可连接真实PLC及多种网关，支持多种协议；</w:t>
            </w:r>
          </w:p>
          <w:p w14:paraId="25127EA3">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27）可基于CAD数据生成机器人加工轨迹，支持轨迹编辑及光滑过渡调整；</w:t>
            </w:r>
          </w:p>
          <w:p w14:paraId="473A7FCC">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28）支持整体场景、轨迹组等多种仿真模式，可与软件进行命令交互；</w:t>
            </w:r>
          </w:p>
          <w:p w14:paraId="6A4B4A36">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29）可对机器人进行离线编程并输出对应品牌程序；</w:t>
            </w:r>
          </w:p>
          <w:p w14:paraId="318EBA5A">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30）可与多品牌工业机器人手持示教器通讯，支持现场示教编程训练；</w:t>
            </w:r>
          </w:p>
          <w:p w14:paraId="1078D696">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31）支持多种数据类型读写操作；</w:t>
            </w:r>
          </w:p>
          <w:p w14:paraId="0E1C0640">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32）可通过装配仿真检查合理性，生成爆炸图及运动序列动画，提供人体姿态库</w:t>
            </w:r>
            <w:r>
              <w:rPr>
                <w:rFonts w:hint="eastAsia" w:ascii="宋体" w:hAnsi="宋体" w:eastAsia="宋体" w:cs="宋体"/>
                <w:b/>
                <w:bCs/>
                <w:color w:val="auto"/>
                <w:sz w:val="24"/>
                <w:szCs w:val="24"/>
                <w:highlight w:val="none"/>
                <w:lang w:val="en-US" w:eastAsia="zh-CN"/>
              </w:rPr>
              <w:t>（响应文件中须提供产品功能截图并加盖供应商公章）</w:t>
            </w:r>
            <w:r>
              <w:rPr>
                <w:rFonts w:hint="eastAsia" w:ascii="宋体" w:hAnsi="宋体" w:eastAsia="宋体" w:cs="宋体"/>
                <w:color w:val="auto"/>
                <w:sz w:val="24"/>
                <w:szCs w:val="24"/>
                <w:highlight w:val="none"/>
                <w:lang w:val="en-US" w:eastAsia="zh-CN"/>
              </w:rPr>
              <w:t>；</w:t>
            </w:r>
          </w:p>
          <w:p w14:paraId="641D8150">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33）可实现机器人工位工艺规划及整条生产线规划仿真；</w:t>
            </w:r>
          </w:p>
          <w:p w14:paraId="4F41DAE0">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34）支持生产系统3D及2D建模和动态仿真分析，可计算生产效率并输出瓶颈优化方案</w:t>
            </w:r>
            <w:r>
              <w:rPr>
                <w:rFonts w:hint="eastAsia" w:ascii="宋体" w:hAnsi="宋体" w:eastAsia="宋体" w:cs="宋体"/>
                <w:b/>
                <w:bCs/>
                <w:color w:val="auto"/>
                <w:sz w:val="24"/>
                <w:szCs w:val="24"/>
                <w:highlight w:val="none"/>
                <w:lang w:val="en-US" w:eastAsia="zh-CN"/>
              </w:rPr>
              <w:t>（响应文件中须提供产品功能截图并加盖供应商公章）</w:t>
            </w:r>
            <w:r>
              <w:rPr>
                <w:rFonts w:hint="eastAsia" w:ascii="宋体" w:hAnsi="宋体" w:eastAsia="宋体" w:cs="宋体"/>
                <w:color w:val="auto"/>
                <w:sz w:val="24"/>
                <w:szCs w:val="24"/>
                <w:highlight w:val="none"/>
                <w:lang w:val="en-US" w:eastAsia="zh-CN"/>
              </w:rPr>
              <w:t>；</w:t>
            </w:r>
          </w:p>
          <w:p w14:paraId="222CBEB2">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35）支持机器人IO读写、远程状态及关节数据监控，可自动切换加工工件和抓手工具；</w:t>
            </w:r>
          </w:p>
          <w:p w14:paraId="1EC79835">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36）支持真实及虚拟示教器编程，实现虚拟三维本体运行；</w:t>
            </w:r>
          </w:p>
          <w:p w14:paraId="55A7C229">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37）支持机器人碰撞检测及虚拟边界保护，碰撞或越界时高亮警示并保护；</w:t>
            </w:r>
          </w:p>
          <w:p w14:paraId="64CB0CBD">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38）支持运动轨迹实时记录、生成及复位，便于直观查看分析；</w:t>
            </w:r>
          </w:p>
          <w:p w14:paraId="6090669E">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39）具备智能制造产线快速搭建仿真功能；</w:t>
            </w:r>
          </w:p>
          <w:p w14:paraId="589B26D1">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40）可将仿真效果输出为MP4、avi等格式视频并保存本地</w:t>
            </w:r>
            <w:r>
              <w:rPr>
                <w:rFonts w:hint="eastAsia" w:ascii="宋体" w:hAnsi="宋体" w:eastAsia="宋体" w:cs="宋体"/>
                <w:b/>
                <w:bCs/>
                <w:color w:val="auto"/>
                <w:sz w:val="24"/>
                <w:szCs w:val="24"/>
                <w:highlight w:val="none"/>
                <w:lang w:val="en-US" w:eastAsia="zh-CN"/>
              </w:rPr>
              <w:t>（响应文件中须提供产品功能截图并加盖供应商公章）</w:t>
            </w:r>
            <w:r>
              <w:rPr>
                <w:rFonts w:hint="eastAsia" w:ascii="宋体" w:hAnsi="宋体" w:eastAsia="宋体" w:cs="宋体"/>
                <w:color w:val="auto"/>
                <w:sz w:val="24"/>
                <w:szCs w:val="24"/>
                <w:highlight w:val="none"/>
                <w:lang w:val="en-US" w:eastAsia="zh-CN"/>
              </w:rPr>
              <w:t>；</w:t>
            </w:r>
          </w:p>
          <w:p w14:paraId="5D1A7A13">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41）支持视向动画，可在仿真过程中自定义切换视角；</w:t>
            </w:r>
          </w:p>
          <w:p w14:paraId="761BC20B">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42）支持产线快速布局和场景搭建，模型可平移旋转，支持多种视图模式及模型对齐方式；</w:t>
            </w:r>
          </w:p>
          <w:p w14:paraId="19714B17">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43）支持模型按功能安装定位，实现动作关联；</w:t>
            </w:r>
          </w:p>
          <w:p w14:paraId="4A82F323">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44）具备虚拟设备测距功能，支持产线规划布局；</w:t>
            </w:r>
          </w:p>
          <w:p w14:paraId="229CEE3D">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45）支持多种实训项目，可提供完整实训指导手册；</w:t>
            </w:r>
          </w:p>
          <w:p w14:paraId="5A4C8450">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46）支持运动仿真加速功能，实现切削、机器人运动等装备加速仿真；</w:t>
            </w:r>
          </w:p>
          <w:p w14:paraId="69995C70">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47）可进行虚拟机器人模拟仿真，避免实际操作损伤设备；</w:t>
            </w:r>
          </w:p>
          <w:p w14:paraId="34A8A692">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48）支持伺服系统、I/O接口等组件的灵活混合配置；</w:t>
            </w:r>
          </w:p>
          <w:p w14:paraId="00FCBA7F">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49）支持主从机器人控制，可通过主控机器人协调控制多个从属机器人；</w:t>
            </w:r>
          </w:p>
          <w:p w14:paraId="6CD63B0F">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50）具备强大的点线轨迹编辑功能，支持焊点投影、公共边提取及曲线点平滑等操作。</w:t>
            </w:r>
          </w:p>
          <w:p w14:paraId="74486DDF">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4.实训项目</w:t>
            </w:r>
            <w:bookmarkEnd w:id="34"/>
          </w:p>
          <w:p w14:paraId="46D006D6">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highlight w:val="none"/>
                <w:lang w:val="en-US" w:eastAsia="zh-CN"/>
              </w:rPr>
            </w:pPr>
            <w:bookmarkStart w:id="35" w:name="_Toc16380"/>
            <w:r>
              <w:rPr>
                <w:rFonts w:hint="eastAsia" w:ascii="宋体" w:hAnsi="宋体" w:eastAsia="宋体" w:cs="宋体"/>
                <w:color w:val="auto"/>
                <w:sz w:val="24"/>
                <w:szCs w:val="24"/>
                <w:highlight w:val="none"/>
                <w:lang w:val="en-US" w:eastAsia="zh-CN"/>
              </w:rPr>
              <w:t>（一）基础实验</w:t>
            </w:r>
            <w:bookmarkEnd w:id="35"/>
          </w:p>
          <w:p w14:paraId="5096B78D">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1.PLC认识和操作实验</w:t>
            </w:r>
            <w:r>
              <w:rPr>
                <w:rFonts w:hint="eastAsia" w:ascii="宋体" w:hAnsi="宋体" w:eastAsia="宋体" w:cs="宋体"/>
                <w:color w:val="auto"/>
                <w:sz w:val="24"/>
                <w:szCs w:val="24"/>
                <w:highlight w:val="none"/>
                <w:lang w:val="en-US" w:eastAsia="zh-CN"/>
              </w:rPr>
              <w:br w:type="textWrapping"/>
            </w:r>
            <w:r>
              <w:rPr>
                <w:rFonts w:hint="eastAsia" w:ascii="宋体" w:hAnsi="宋体" w:eastAsia="宋体" w:cs="宋体"/>
                <w:color w:val="auto"/>
                <w:sz w:val="24"/>
                <w:szCs w:val="24"/>
                <w:highlight w:val="none"/>
                <w:lang w:val="en-US" w:eastAsia="zh-CN"/>
              </w:rPr>
              <w:t>2.PLC编程练习实验</w:t>
            </w:r>
          </w:p>
          <w:p w14:paraId="63FD0D14">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highlight w:val="none"/>
                <w:lang w:val="en-US" w:eastAsia="zh-CN"/>
              </w:rPr>
              <w:t>3.组态认识实验</w:t>
            </w:r>
            <w:r>
              <w:rPr>
                <w:rFonts w:hint="eastAsia" w:ascii="宋体" w:hAnsi="宋体" w:eastAsia="宋体" w:cs="宋体"/>
                <w:color w:val="auto"/>
                <w:sz w:val="24"/>
                <w:szCs w:val="24"/>
                <w:highlight w:val="none"/>
                <w:lang w:val="en-US" w:eastAsia="zh-CN"/>
              </w:rPr>
              <w:br w:type="textWrapping"/>
            </w:r>
            <w:r>
              <w:rPr>
                <w:rFonts w:hint="eastAsia" w:ascii="宋体" w:hAnsi="宋体" w:eastAsia="宋体" w:cs="宋体"/>
                <w:color w:val="auto"/>
                <w:sz w:val="24"/>
                <w:szCs w:val="24"/>
                <w:lang w:val="en-US" w:eastAsia="zh-CN"/>
              </w:rPr>
              <w:t>4.组态编程练习实验</w:t>
            </w:r>
            <w:r>
              <w:rPr>
                <w:rFonts w:hint="eastAsia" w:ascii="宋体" w:hAnsi="宋体" w:eastAsia="宋体" w:cs="宋体"/>
                <w:color w:val="auto"/>
                <w:sz w:val="24"/>
                <w:szCs w:val="24"/>
                <w:lang w:val="en-US" w:eastAsia="zh-CN"/>
              </w:rPr>
              <w:br w:type="textWrapping"/>
            </w:r>
            <w:r>
              <w:rPr>
                <w:rFonts w:hint="eastAsia" w:ascii="宋体" w:hAnsi="宋体" w:eastAsia="宋体" w:cs="宋体"/>
                <w:color w:val="auto"/>
                <w:sz w:val="24"/>
                <w:szCs w:val="24"/>
                <w:lang w:val="en-US" w:eastAsia="zh-CN"/>
              </w:rPr>
              <w:t>5.基于PLC控制的单轴实验</w:t>
            </w:r>
          </w:p>
          <w:p w14:paraId="79DF4A4A">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6.触摸屏的安装</w:t>
            </w:r>
            <w:r>
              <w:rPr>
                <w:rFonts w:hint="eastAsia" w:ascii="宋体" w:hAnsi="宋体" w:eastAsia="宋体" w:cs="宋体"/>
                <w:color w:val="auto"/>
                <w:sz w:val="24"/>
                <w:szCs w:val="24"/>
                <w:lang w:val="en-US" w:eastAsia="zh-CN"/>
              </w:rPr>
              <w:br w:type="textWrapping"/>
            </w:r>
            <w:r>
              <w:rPr>
                <w:rFonts w:hint="eastAsia" w:ascii="宋体" w:hAnsi="宋体" w:eastAsia="宋体" w:cs="宋体"/>
                <w:color w:val="auto"/>
                <w:sz w:val="24"/>
                <w:szCs w:val="24"/>
                <w:lang w:val="en-US" w:eastAsia="zh-CN"/>
              </w:rPr>
              <w:t>7.触摸屏供电电路连接</w:t>
            </w:r>
            <w:r>
              <w:rPr>
                <w:rFonts w:hint="eastAsia" w:ascii="宋体" w:hAnsi="宋体" w:eastAsia="宋体" w:cs="宋体"/>
                <w:color w:val="auto"/>
                <w:sz w:val="24"/>
                <w:szCs w:val="24"/>
                <w:lang w:val="en-US" w:eastAsia="zh-CN"/>
              </w:rPr>
              <w:br w:type="textWrapping"/>
            </w:r>
            <w:r>
              <w:rPr>
                <w:rFonts w:hint="eastAsia" w:ascii="宋体" w:hAnsi="宋体" w:eastAsia="宋体" w:cs="宋体"/>
                <w:color w:val="auto"/>
                <w:sz w:val="24"/>
                <w:szCs w:val="24"/>
                <w:lang w:val="en-US" w:eastAsia="zh-CN"/>
              </w:rPr>
              <w:t>8.触摸屏组态界面制作</w:t>
            </w:r>
            <w:r>
              <w:rPr>
                <w:rFonts w:hint="eastAsia" w:ascii="宋体" w:hAnsi="宋体" w:eastAsia="宋体" w:cs="宋体"/>
                <w:color w:val="auto"/>
                <w:sz w:val="24"/>
                <w:szCs w:val="24"/>
                <w:lang w:val="en-US" w:eastAsia="zh-CN"/>
              </w:rPr>
              <w:br w:type="textWrapping"/>
            </w:r>
            <w:r>
              <w:rPr>
                <w:rFonts w:hint="eastAsia" w:ascii="宋体" w:hAnsi="宋体" w:eastAsia="宋体" w:cs="宋体"/>
                <w:color w:val="auto"/>
                <w:sz w:val="24"/>
                <w:szCs w:val="24"/>
                <w:lang w:val="en-US" w:eastAsia="zh-CN"/>
              </w:rPr>
              <w:t>9.触摸屏与 PLC 通信参数设置</w:t>
            </w:r>
          </w:p>
          <w:p w14:paraId="45632B16">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10.供料系统与流水线输送</w:t>
            </w:r>
          </w:p>
          <w:p w14:paraId="442A1739">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bookmarkStart w:id="36" w:name="_Toc23631"/>
            <w:r>
              <w:rPr>
                <w:rFonts w:hint="eastAsia" w:ascii="宋体" w:hAnsi="宋体" w:eastAsia="宋体" w:cs="宋体"/>
                <w:color w:val="auto"/>
                <w:sz w:val="24"/>
                <w:szCs w:val="24"/>
                <w:lang w:val="en-US" w:eastAsia="zh-CN"/>
              </w:rPr>
              <w:t>（二）三相异步电机</w:t>
            </w:r>
            <w:bookmarkEnd w:id="36"/>
          </w:p>
          <w:p w14:paraId="35B9864F">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1.异步电机驱动原理及驱动器接口认知</w:t>
            </w:r>
          </w:p>
          <w:p w14:paraId="56DC5FC8">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2.异步电机的接线实验</w:t>
            </w:r>
          </w:p>
          <w:p w14:paraId="7A29A090">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3.异步电机的调速实验</w:t>
            </w:r>
          </w:p>
          <w:p w14:paraId="40DD41E6">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bookmarkStart w:id="37" w:name="_Toc31022"/>
            <w:r>
              <w:rPr>
                <w:rFonts w:hint="eastAsia" w:ascii="宋体" w:hAnsi="宋体" w:eastAsia="宋体" w:cs="宋体"/>
                <w:color w:val="auto"/>
                <w:sz w:val="24"/>
                <w:szCs w:val="24"/>
                <w:lang w:val="en-US" w:eastAsia="zh-CN"/>
              </w:rPr>
              <w:t>（三）伺服电机</w:t>
            </w:r>
            <w:bookmarkEnd w:id="37"/>
          </w:p>
          <w:p w14:paraId="576839DC">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1.伺服电机的驱动原理和驱动器接口认知</w:t>
            </w:r>
          </w:p>
          <w:p w14:paraId="2A90E6FC">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2.伺服电机的接线实验</w:t>
            </w:r>
          </w:p>
          <w:p w14:paraId="0D9FCDB3">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3.伺服电机驱动器的调试实验</w:t>
            </w:r>
          </w:p>
          <w:p w14:paraId="72051792">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4.伺服电机的点位运动控制实验</w:t>
            </w:r>
          </w:p>
          <w:p w14:paraId="2E55800B">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（四）步进电机</w:t>
            </w:r>
          </w:p>
          <w:p w14:paraId="7DF2D948">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1.步进电机的驱动原理和驱动器接口认知</w:t>
            </w:r>
          </w:p>
          <w:p w14:paraId="468FCDD4">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2.步进电机的接线实验</w:t>
            </w:r>
          </w:p>
          <w:p w14:paraId="0F6BFC41">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3.步进电机驱动器的调试实验</w:t>
            </w:r>
          </w:p>
          <w:p w14:paraId="2E98DB1B">
            <w:pPr>
              <w:keepNext w:val="0"/>
              <w:keepLines w:val="0"/>
              <w:pageBreakBefore w:val="0"/>
              <w:widowControl w:val="0"/>
              <w:kinsoku/>
              <w:wordWrap/>
              <w:overflowPunct/>
              <w:topLinePunct w:val="0"/>
              <w:bidi w:val="0"/>
              <w:adjustRightInd/>
              <w:snapToGrid/>
              <w:spacing w:line="480" w:lineRule="exact"/>
              <w:jc w:val="both"/>
              <w:textAlignment w:val="auto"/>
              <w:rPr>
                <w:rFonts w:hint="eastAsia" w:ascii="宋体" w:hAnsi="宋体" w:eastAsia="宋体" w:cs="宋体"/>
                <w:sz w:val="24"/>
                <w:szCs w:val="24"/>
                <w:lang w:val="en-US" w:eastAsia="zh-CN"/>
              </w:rPr>
            </w:pPr>
            <w:r>
              <w:rPr>
                <w:rFonts w:hint="eastAsia" w:ascii="宋体" w:hAnsi="宋体" w:eastAsia="宋体" w:cs="宋体"/>
                <w:color w:val="auto"/>
                <w:sz w:val="24"/>
                <w:szCs w:val="24"/>
                <w:lang w:val="en-US" w:eastAsia="zh-CN"/>
              </w:rPr>
              <w:t>4.步进电机的点位运动控制实验</w:t>
            </w:r>
          </w:p>
        </w:tc>
      </w:tr>
    </w:tbl>
    <w:p w14:paraId="09B4D190">
      <w:bookmarkStart w:id="38" w:name="_GoBack"/>
      <w:bookmarkEnd w:id="38"/>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moder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CFF6F1E"/>
    <w:rsid w:val="6CFF6F1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5">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toa heading"/>
    <w:basedOn w:val="1"/>
    <w:next w:val="1"/>
    <w:qFormat/>
    <w:uiPriority w:val="0"/>
    <w:pPr>
      <w:spacing w:before="120"/>
    </w:pPr>
    <w:rPr>
      <w:rFonts w:ascii="Arial" w:hAnsi="Arial" w:eastAsia="宋体" w:cs="Times New Roman"/>
      <w:sz w:val="24"/>
    </w:r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12</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2026-07-03T07:01:00Z</dcterms:created>
  <dc:creator>PC</dc:creator>
  <cp:lastModifiedBy>PC</cp:lastModifiedBy>
  <dcterms:modified xsi:type="dcterms:W3CDTF">2026-07-03T07:02:15Z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8CDF0125C1CF4202B0D2ED94F4466AA4_11</vt:lpwstr>
  </property>
  <property fmtid="{D5CDD505-2E9C-101B-9397-08002B2CF9AE}" pid="4" name="KSOTemplateDocerSaveRecord">
    <vt:lpwstr>eyJoZGlkIjoiMjgyNmZkZDZiZmQ2NDRhMDE2ZjliYmNhYThjZDkwMDMiLCJ1c2VySWQiOiIxMDUxMDY1MDM1In0=</vt:lpwstr>
  </property>
</Properties>
</file>