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C37386">
      <w:pPr>
        <w:pStyle w:val="2"/>
        <w:keepNext/>
        <w:keepLines/>
        <w:pageBreakBefore w:val="0"/>
        <w:widowControl w:val="0"/>
        <w:kinsoku w:val="0"/>
        <w:wordWrap/>
        <w:overflowPunct/>
        <w:topLinePunct w:val="0"/>
        <w:autoSpaceDE w:val="0"/>
        <w:autoSpaceDN w:val="0"/>
        <w:bidi w:val="0"/>
        <w:adjustRightInd w:val="0"/>
        <w:snapToGrid w:val="0"/>
        <w:spacing w:line="400" w:lineRule="exact"/>
        <w:jc w:val="center"/>
        <w:textAlignment w:val="baseline"/>
        <w:rPr>
          <w:rFonts w:hint="default"/>
          <w:b/>
          <w:bCs/>
          <w:color w:val="auto"/>
          <w:lang w:val="en-US" w:eastAsia="zh-CN"/>
        </w:rPr>
      </w:pPr>
      <w:bookmarkStart w:id="0" w:name="_Toc1110"/>
      <w:bookmarkStart w:id="16" w:name="_GoBack"/>
      <w:bookmarkEnd w:id="16"/>
      <w:r>
        <w:rPr>
          <w:b/>
          <w:bCs/>
          <w:color w:val="auto"/>
          <w:lang w:eastAsia="zh-CN"/>
        </w:rPr>
        <w:t>采购需求</w:t>
      </w:r>
      <w:r>
        <w:rPr>
          <w:rFonts w:hint="eastAsia"/>
          <w:b/>
          <w:bCs/>
          <w:color w:val="auto"/>
          <w:lang w:val="en-US" w:eastAsia="zh-CN"/>
        </w:rPr>
        <w:t>表及采购要求</w:t>
      </w:r>
      <w:bookmarkEnd w:id="0"/>
    </w:p>
    <w:p w14:paraId="28F5D079">
      <w:pPr>
        <w:pageBreakBefore w:val="0"/>
        <w:widowControl w:val="0"/>
        <w:wordWrap/>
        <w:overflowPunct/>
        <w:topLinePunct w:val="0"/>
        <w:bidi w:val="0"/>
        <w:spacing w:before="78" w:line="220" w:lineRule="auto"/>
        <w:outlineLvl w:val="1"/>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pPr>
    </w:p>
    <w:p w14:paraId="29CB0C85">
      <w:pPr>
        <w:pStyle w:val="3"/>
        <w:keepNext/>
        <w:keepLines/>
        <w:pageBreakBefore w:val="0"/>
        <w:widowControl/>
        <w:kinsoku w:val="0"/>
        <w:wordWrap/>
        <w:overflowPunct/>
        <w:topLinePunct w:val="0"/>
        <w:autoSpaceDE w:val="0"/>
        <w:autoSpaceDN w:val="0"/>
        <w:bidi w:val="0"/>
        <w:adjustRightInd w:val="0"/>
        <w:snapToGrid w:val="0"/>
        <w:spacing w:line="400" w:lineRule="exact"/>
        <w:textAlignment w:val="baseline"/>
        <w:rPr>
          <w:sz w:val="28"/>
          <w:szCs w:val="28"/>
        </w:rPr>
      </w:pPr>
      <w:bookmarkStart w:id="1" w:name="_Toc31064"/>
      <w:r>
        <w:rPr>
          <w:sz w:val="28"/>
          <w:szCs w:val="28"/>
        </w:rPr>
        <w:t>一、</w:t>
      </w:r>
      <w:r>
        <w:rPr>
          <w:rFonts w:hint="eastAsia"/>
          <w:sz w:val="28"/>
          <w:szCs w:val="28"/>
        </w:rPr>
        <w:t>采购需求表</w:t>
      </w:r>
      <w:bookmarkEnd w:id="1"/>
    </w:p>
    <w:tbl>
      <w:tblPr>
        <w:tblStyle w:val="7"/>
        <w:tblpPr w:leftFromText="180" w:rightFromText="180" w:vertAnchor="text" w:tblpY="1"/>
        <w:tblOverlap w:val="never"/>
        <w:tblW w:w="97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887"/>
      </w:tblGrid>
      <w:tr w14:paraId="7D43D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trPr>
        <w:tc>
          <w:tcPr>
            <w:tcW w:w="2835" w:type="dxa"/>
            <w:tcBorders>
              <w:top w:val="single" w:color="auto" w:sz="12" w:space="0"/>
              <w:left w:val="single" w:color="auto" w:sz="12" w:space="0"/>
              <w:tl2br w:val="single" w:color="auto" w:sz="4" w:space="0"/>
            </w:tcBorders>
          </w:tcPr>
          <w:p w14:paraId="372B59E8">
            <w:pPr>
              <w:spacing w:line="360" w:lineRule="auto"/>
              <w:ind w:firstLine="465"/>
              <w:rPr>
                <w:rFonts w:asciiTheme="minorEastAsia" w:hAnsiTheme="minorEastAsia" w:eastAsiaTheme="minorEastAsia" w:cstheme="minorEastAsia"/>
                <w:color w:val="auto"/>
                <w:sz w:val="24"/>
                <w:highlight w:val="none"/>
              </w:rPr>
            </w:pPr>
          </w:p>
          <w:p w14:paraId="5270D971">
            <w:pPr>
              <w:spacing w:line="360" w:lineRule="auto"/>
              <w:ind w:firstLine="1300" w:firstLineChars="542"/>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采购名称</w:t>
            </w:r>
          </w:p>
          <w:p w14:paraId="43326AA4">
            <w:pPr>
              <w:spacing w:line="360" w:lineRule="auto"/>
              <w:ind w:firstLine="465"/>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内容</w:t>
            </w:r>
          </w:p>
        </w:tc>
        <w:tc>
          <w:tcPr>
            <w:tcW w:w="6887" w:type="dxa"/>
            <w:tcBorders>
              <w:top w:val="single" w:color="auto" w:sz="12" w:space="0"/>
              <w:right w:val="single" w:color="auto" w:sz="12" w:space="0"/>
            </w:tcBorders>
            <w:vAlign w:val="center"/>
          </w:tcPr>
          <w:p w14:paraId="53B3BD31">
            <w:pPr>
              <w:bidi w:val="0"/>
              <w:jc w:val="center"/>
              <w:rPr>
                <w:rFonts w:asciiTheme="minorEastAsia" w:hAnsiTheme="minorEastAsia" w:eastAsiaTheme="minorEastAsia" w:cstheme="minorEastAsia"/>
                <w:color w:val="auto"/>
                <w:highlight w:val="none"/>
              </w:rPr>
            </w:pPr>
            <w:r>
              <w:rPr>
                <w:rFonts w:hint="eastAsia" w:asciiTheme="minorEastAsia" w:hAnsiTheme="minorEastAsia" w:eastAsiaTheme="minorEastAsia" w:cstheme="minorEastAsia"/>
                <w:color w:val="auto"/>
                <w:spacing w:val="0"/>
                <w:position w:val="0"/>
                <w:sz w:val="24"/>
                <w:szCs w:val="24"/>
                <w:highlight w:val="none"/>
                <w:lang w:eastAsia="zh-CN"/>
              </w:rPr>
              <w:t>上高县生活垃圾焚烧发电厂第三方监管服务项目</w:t>
            </w:r>
          </w:p>
        </w:tc>
      </w:tr>
      <w:tr w14:paraId="2BF47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2EBA36EE">
            <w:pPr>
              <w:spacing w:line="440" w:lineRule="exact"/>
              <w:jc w:val="center"/>
              <w:rPr>
                <w:rFonts w:hint="eastAsia" w:asciiTheme="minorEastAsia" w:hAnsiTheme="minorEastAsia" w:eastAsiaTheme="minorEastAsia" w:cstheme="minorEastAsia"/>
                <w:color w:val="auto"/>
                <w:spacing w:val="0"/>
                <w:position w:val="0"/>
                <w:sz w:val="24"/>
                <w:szCs w:val="24"/>
                <w:highlight w:val="none"/>
                <w:lang w:eastAsia="zh-CN"/>
              </w:rPr>
            </w:pPr>
            <w:r>
              <w:rPr>
                <w:rFonts w:hint="eastAsia" w:asciiTheme="minorEastAsia" w:hAnsiTheme="minorEastAsia" w:eastAsiaTheme="minorEastAsia" w:cstheme="minorEastAsia"/>
                <w:color w:val="auto"/>
                <w:spacing w:val="0"/>
                <w:position w:val="0"/>
                <w:sz w:val="24"/>
                <w:szCs w:val="24"/>
                <w:highlight w:val="none"/>
                <w:lang w:eastAsia="zh-CN"/>
              </w:rPr>
              <w:t>数量</w:t>
            </w:r>
          </w:p>
        </w:tc>
        <w:tc>
          <w:tcPr>
            <w:tcW w:w="6887" w:type="dxa"/>
            <w:tcBorders>
              <w:right w:val="single" w:color="auto" w:sz="12" w:space="0"/>
            </w:tcBorders>
            <w:vAlign w:val="center"/>
          </w:tcPr>
          <w:p w14:paraId="50958F28">
            <w:pPr>
              <w:spacing w:line="440" w:lineRule="exact"/>
              <w:jc w:val="center"/>
              <w:rPr>
                <w:rFonts w:hint="default" w:asciiTheme="minorEastAsia" w:hAnsiTheme="minorEastAsia" w:eastAsiaTheme="minorEastAsia" w:cstheme="minorEastAsia"/>
                <w:color w:val="auto"/>
                <w:spacing w:val="0"/>
                <w:position w:val="0"/>
                <w:sz w:val="24"/>
                <w:szCs w:val="24"/>
                <w:highlight w:val="none"/>
                <w:lang w:val="en-US" w:eastAsia="zh-CN"/>
              </w:rPr>
            </w:pPr>
            <w:r>
              <w:rPr>
                <w:rFonts w:hint="eastAsia" w:asciiTheme="minorEastAsia" w:hAnsiTheme="minorEastAsia" w:eastAsiaTheme="minorEastAsia" w:cstheme="minorEastAsia"/>
                <w:color w:val="auto"/>
                <w:spacing w:val="0"/>
                <w:position w:val="0"/>
                <w:sz w:val="24"/>
                <w:szCs w:val="24"/>
                <w:highlight w:val="none"/>
                <w:lang w:val="en-US" w:eastAsia="zh-CN"/>
              </w:rPr>
              <w:t>1项</w:t>
            </w:r>
          </w:p>
        </w:tc>
      </w:tr>
      <w:tr w14:paraId="5E726F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14:paraId="3DF8AD30">
            <w:pPr>
              <w:spacing w:line="440" w:lineRule="exact"/>
              <w:jc w:val="center"/>
              <w:rPr>
                <w:rFonts w:hint="eastAsia" w:asciiTheme="minorEastAsia" w:hAnsiTheme="minorEastAsia" w:eastAsiaTheme="minorEastAsia" w:cstheme="minorEastAsia"/>
                <w:color w:val="auto"/>
                <w:spacing w:val="0"/>
                <w:position w:val="0"/>
                <w:sz w:val="24"/>
                <w:szCs w:val="24"/>
                <w:highlight w:val="none"/>
                <w:lang w:eastAsia="zh-CN"/>
              </w:rPr>
            </w:pPr>
            <w:r>
              <w:rPr>
                <w:rFonts w:hint="eastAsia" w:asciiTheme="minorEastAsia" w:hAnsiTheme="minorEastAsia" w:eastAsiaTheme="minorEastAsia" w:cstheme="minorEastAsia"/>
                <w:color w:val="auto"/>
                <w:spacing w:val="0"/>
                <w:position w:val="0"/>
                <w:sz w:val="24"/>
                <w:szCs w:val="24"/>
                <w:highlight w:val="none"/>
                <w:lang w:val="en-US" w:eastAsia="zh-CN"/>
              </w:rPr>
              <w:t>服务</w:t>
            </w:r>
            <w:r>
              <w:rPr>
                <w:rFonts w:hint="eastAsia" w:asciiTheme="minorEastAsia" w:hAnsiTheme="minorEastAsia" w:eastAsiaTheme="minorEastAsia" w:cstheme="minorEastAsia"/>
                <w:color w:val="auto"/>
                <w:spacing w:val="0"/>
                <w:position w:val="0"/>
                <w:sz w:val="24"/>
                <w:szCs w:val="24"/>
                <w:highlight w:val="none"/>
                <w:lang w:eastAsia="zh-CN"/>
              </w:rPr>
              <w:t>期</w:t>
            </w:r>
          </w:p>
        </w:tc>
        <w:tc>
          <w:tcPr>
            <w:tcW w:w="6887" w:type="dxa"/>
            <w:tcBorders>
              <w:right w:val="single" w:color="auto" w:sz="12" w:space="0"/>
            </w:tcBorders>
            <w:vAlign w:val="center"/>
          </w:tcPr>
          <w:p w14:paraId="47A23B7B">
            <w:pPr>
              <w:spacing w:line="440" w:lineRule="exact"/>
              <w:jc w:val="center"/>
              <w:rPr>
                <w:rFonts w:hint="default" w:asciiTheme="minorEastAsia" w:hAnsiTheme="minorEastAsia" w:eastAsiaTheme="minorEastAsia" w:cstheme="minorEastAsia"/>
                <w:color w:val="auto"/>
                <w:spacing w:val="0"/>
                <w:position w:val="0"/>
                <w:sz w:val="24"/>
                <w:szCs w:val="24"/>
                <w:highlight w:val="none"/>
                <w:lang w:val="en-US" w:eastAsia="zh-CN"/>
              </w:rPr>
            </w:pPr>
            <w:r>
              <w:rPr>
                <w:rFonts w:hint="eastAsia" w:asciiTheme="minorEastAsia" w:hAnsiTheme="minorEastAsia" w:eastAsiaTheme="minorEastAsia" w:cstheme="minorEastAsia"/>
                <w:color w:val="auto"/>
                <w:spacing w:val="0"/>
                <w:position w:val="0"/>
                <w:sz w:val="24"/>
                <w:szCs w:val="24"/>
                <w:highlight w:val="none"/>
                <w:lang w:val="en-US" w:eastAsia="zh-CN"/>
              </w:rPr>
              <w:t>叁年</w:t>
            </w:r>
            <w:r>
              <w:rPr>
                <w:rFonts w:hint="eastAsia" w:ascii="宋体" w:hAnsi="宋体" w:eastAsia="宋体" w:cs="宋体"/>
                <w:color w:val="auto"/>
                <w:spacing w:val="0"/>
                <w:position w:val="0"/>
                <w:sz w:val="24"/>
                <w:szCs w:val="24"/>
                <w:highlight w:val="none"/>
                <w:u w:val="none"/>
                <w:lang w:val="en-US" w:eastAsia="zh-CN"/>
              </w:rPr>
              <w:t>（根据考核结果，合同一年一签）</w:t>
            </w:r>
          </w:p>
        </w:tc>
      </w:tr>
      <w:tr w14:paraId="43CCF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900" w:hRule="atLeast"/>
        </w:trPr>
        <w:tc>
          <w:tcPr>
            <w:tcW w:w="2835" w:type="dxa"/>
            <w:tcBorders>
              <w:left w:val="single" w:color="auto" w:sz="12" w:space="0"/>
            </w:tcBorders>
            <w:vAlign w:val="center"/>
          </w:tcPr>
          <w:p w14:paraId="750BFD27">
            <w:pPr>
              <w:spacing w:line="440" w:lineRule="exact"/>
              <w:jc w:val="center"/>
              <w:rPr>
                <w:rFonts w:hint="eastAsia" w:asciiTheme="minorEastAsia" w:hAnsiTheme="minorEastAsia" w:eastAsiaTheme="minorEastAsia" w:cstheme="minorEastAsia"/>
                <w:color w:val="auto"/>
                <w:spacing w:val="0"/>
                <w:position w:val="0"/>
                <w:sz w:val="24"/>
                <w:szCs w:val="24"/>
                <w:highlight w:val="none"/>
                <w:lang w:eastAsia="zh-CN"/>
              </w:rPr>
            </w:pPr>
            <w:r>
              <w:rPr>
                <w:rFonts w:hint="eastAsia" w:asciiTheme="minorEastAsia" w:hAnsiTheme="minorEastAsia" w:eastAsiaTheme="minorEastAsia" w:cstheme="minorEastAsia"/>
                <w:color w:val="auto"/>
                <w:spacing w:val="0"/>
                <w:position w:val="0"/>
                <w:sz w:val="24"/>
                <w:szCs w:val="24"/>
                <w:highlight w:val="none"/>
                <w:lang w:val="en-US" w:eastAsia="zh-CN"/>
              </w:rPr>
              <w:t>服务</w:t>
            </w:r>
            <w:r>
              <w:rPr>
                <w:rFonts w:hint="eastAsia" w:asciiTheme="minorEastAsia" w:hAnsiTheme="minorEastAsia" w:eastAsiaTheme="minorEastAsia" w:cstheme="minorEastAsia"/>
                <w:color w:val="auto"/>
                <w:spacing w:val="0"/>
                <w:position w:val="0"/>
                <w:sz w:val="24"/>
                <w:szCs w:val="24"/>
                <w:highlight w:val="none"/>
                <w:lang w:eastAsia="zh-CN"/>
              </w:rPr>
              <w:t>地点</w:t>
            </w:r>
          </w:p>
        </w:tc>
        <w:tc>
          <w:tcPr>
            <w:tcW w:w="6887" w:type="dxa"/>
            <w:tcBorders>
              <w:right w:val="single" w:color="auto" w:sz="12" w:space="0"/>
            </w:tcBorders>
            <w:vAlign w:val="center"/>
          </w:tcPr>
          <w:p w14:paraId="7D82661C">
            <w:pPr>
              <w:spacing w:line="440" w:lineRule="exact"/>
              <w:jc w:val="center"/>
              <w:rPr>
                <w:rFonts w:hint="default" w:asciiTheme="minorEastAsia" w:hAnsiTheme="minorEastAsia" w:eastAsiaTheme="minorEastAsia" w:cstheme="minorEastAsia"/>
                <w:color w:val="auto"/>
                <w:spacing w:val="0"/>
                <w:position w:val="0"/>
                <w:sz w:val="24"/>
                <w:szCs w:val="24"/>
                <w:highlight w:val="none"/>
                <w:lang w:val="en-US" w:eastAsia="zh-CN"/>
              </w:rPr>
            </w:pPr>
            <w:r>
              <w:rPr>
                <w:rFonts w:hint="eastAsia" w:asciiTheme="minorEastAsia" w:hAnsiTheme="minorEastAsia" w:eastAsiaTheme="minorEastAsia" w:cstheme="minorEastAsia"/>
                <w:color w:val="auto"/>
                <w:spacing w:val="0"/>
                <w:position w:val="0"/>
                <w:sz w:val="24"/>
                <w:szCs w:val="24"/>
                <w:highlight w:val="none"/>
                <w:lang w:val="en-US" w:eastAsia="zh-CN"/>
              </w:rPr>
              <w:t>采购方指定地点</w:t>
            </w:r>
          </w:p>
        </w:tc>
      </w:tr>
      <w:tr w14:paraId="34BF9D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62" w:hRule="atLeast"/>
        </w:trPr>
        <w:tc>
          <w:tcPr>
            <w:tcW w:w="2835" w:type="dxa"/>
            <w:tcBorders>
              <w:left w:val="single" w:color="auto" w:sz="12" w:space="0"/>
            </w:tcBorders>
            <w:vAlign w:val="center"/>
          </w:tcPr>
          <w:p w14:paraId="55873389">
            <w:pPr>
              <w:spacing w:line="900" w:lineRule="exact"/>
              <w:jc w:val="center"/>
              <w:rPr>
                <w:rFonts w:hint="eastAsia" w:asciiTheme="minorEastAsia" w:hAnsiTheme="minorEastAsia" w:eastAsiaTheme="minorEastAsia" w:cstheme="minorEastAsia"/>
                <w:color w:val="auto"/>
                <w:sz w:val="24"/>
                <w:highlight w:val="none"/>
                <w:lang w:eastAsia="zh-CN"/>
              </w:rPr>
            </w:pPr>
            <w:r>
              <w:rPr>
                <w:rFonts w:hint="eastAsia" w:asciiTheme="minorEastAsia" w:hAnsiTheme="minorEastAsia" w:eastAsiaTheme="minorEastAsia" w:cstheme="minorEastAsia"/>
                <w:color w:val="auto"/>
                <w:sz w:val="24"/>
                <w:highlight w:val="none"/>
                <w:lang w:eastAsia="zh-CN"/>
              </w:rPr>
              <w:t>备注</w:t>
            </w:r>
          </w:p>
        </w:tc>
        <w:tc>
          <w:tcPr>
            <w:tcW w:w="6887" w:type="dxa"/>
            <w:tcBorders>
              <w:right w:val="single" w:color="auto" w:sz="12" w:space="0"/>
            </w:tcBorders>
            <w:vAlign w:val="center"/>
          </w:tcPr>
          <w:p w14:paraId="58DAB737">
            <w:pPr>
              <w:spacing w:line="440" w:lineRule="exact"/>
              <w:jc w:val="both"/>
              <w:rPr>
                <w:rFonts w:hint="eastAsia" w:asciiTheme="minorEastAsia" w:hAnsiTheme="minorEastAsia" w:eastAsiaTheme="minorEastAsia" w:cstheme="minorEastAsia"/>
                <w:b/>
                <w:bCs/>
                <w:color w:val="auto"/>
                <w:sz w:val="24"/>
                <w:szCs w:val="24"/>
                <w:highlight w:val="none"/>
                <w:lang w:eastAsia="zh-CN"/>
              </w:rPr>
            </w:pPr>
          </w:p>
        </w:tc>
      </w:tr>
    </w:tbl>
    <w:p w14:paraId="06BA3C79">
      <w:pPr>
        <w:jc w:val="center"/>
        <w:rPr>
          <w:rFonts w:hint="eastAsia" w:asciiTheme="minorEastAsia" w:hAnsiTheme="minorEastAsia" w:eastAsiaTheme="minorEastAsia" w:cstheme="minorEastAsia"/>
          <w:color w:val="auto"/>
          <w:spacing w:val="-6"/>
          <w:sz w:val="52"/>
          <w:highlight w:val="none"/>
          <w:lang w:eastAsia="zh-CN"/>
        </w:rPr>
      </w:pPr>
    </w:p>
    <w:p w14:paraId="025E030F">
      <w:pPr>
        <w:bidi w:val="0"/>
        <w:rPr>
          <w:rFonts w:hint="eastAsia"/>
        </w:rPr>
      </w:pPr>
    </w:p>
    <w:p w14:paraId="702F4E44">
      <w:pPr>
        <w:pStyle w:val="3"/>
        <w:keepNext/>
        <w:keepLines/>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sz w:val="28"/>
          <w:szCs w:val="28"/>
        </w:rPr>
      </w:pPr>
    </w:p>
    <w:p w14:paraId="0170F000">
      <w:pPr>
        <w:rPr>
          <w:rFonts w:hint="eastAsia"/>
          <w:sz w:val="28"/>
          <w:szCs w:val="28"/>
        </w:rPr>
      </w:pPr>
    </w:p>
    <w:p w14:paraId="75D65D47">
      <w:pPr>
        <w:pStyle w:val="4"/>
        <w:rPr>
          <w:rFonts w:hint="eastAsia"/>
          <w:sz w:val="28"/>
          <w:szCs w:val="28"/>
        </w:rPr>
      </w:pPr>
    </w:p>
    <w:p w14:paraId="5EE456BF">
      <w:pPr>
        <w:pStyle w:val="6"/>
        <w:rPr>
          <w:rFonts w:hint="eastAsia"/>
          <w:sz w:val="28"/>
          <w:szCs w:val="28"/>
        </w:rPr>
      </w:pPr>
    </w:p>
    <w:p w14:paraId="46C4D2E3">
      <w:pPr>
        <w:pStyle w:val="6"/>
        <w:rPr>
          <w:rFonts w:hint="eastAsia"/>
          <w:sz w:val="28"/>
          <w:szCs w:val="28"/>
        </w:rPr>
      </w:pPr>
    </w:p>
    <w:p w14:paraId="0D94DE3E">
      <w:pPr>
        <w:pStyle w:val="6"/>
        <w:rPr>
          <w:rFonts w:hint="eastAsia"/>
          <w:sz w:val="28"/>
          <w:szCs w:val="28"/>
        </w:rPr>
      </w:pPr>
    </w:p>
    <w:p w14:paraId="4B1DFA8C">
      <w:pPr>
        <w:pStyle w:val="6"/>
        <w:rPr>
          <w:rFonts w:hint="eastAsia"/>
          <w:sz w:val="28"/>
          <w:szCs w:val="28"/>
        </w:rPr>
      </w:pPr>
    </w:p>
    <w:p w14:paraId="6926C3BC">
      <w:pPr>
        <w:pStyle w:val="6"/>
        <w:rPr>
          <w:rFonts w:hint="eastAsia"/>
          <w:sz w:val="28"/>
          <w:szCs w:val="28"/>
        </w:rPr>
      </w:pPr>
    </w:p>
    <w:p w14:paraId="478E6197">
      <w:pPr>
        <w:rPr>
          <w:rFonts w:hint="eastAsia"/>
        </w:rPr>
      </w:pPr>
    </w:p>
    <w:p w14:paraId="42125C30">
      <w:pPr>
        <w:bidi w:val="0"/>
        <w:rPr>
          <w:rFonts w:hint="eastAsia"/>
        </w:rPr>
      </w:pPr>
    </w:p>
    <w:p w14:paraId="37886542">
      <w:pPr>
        <w:pStyle w:val="9"/>
        <w:rPr>
          <w:rFonts w:hint="eastAsia"/>
        </w:rPr>
      </w:pPr>
    </w:p>
    <w:p w14:paraId="519A2606">
      <w:pPr>
        <w:pStyle w:val="3"/>
        <w:keepNext/>
        <w:keepLines/>
        <w:pageBreakBefore w:val="0"/>
        <w:widowControl/>
        <w:numPr>
          <w:ilvl w:val="0"/>
          <w:numId w:val="1"/>
        </w:numPr>
        <w:kinsoku w:val="0"/>
        <w:wordWrap/>
        <w:overflowPunct/>
        <w:topLinePunct w:val="0"/>
        <w:autoSpaceDE w:val="0"/>
        <w:autoSpaceDN w:val="0"/>
        <w:bidi w:val="0"/>
        <w:adjustRightInd w:val="0"/>
        <w:snapToGrid w:val="0"/>
        <w:spacing w:line="400" w:lineRule="exact"/>
        <w:ind w:left="0" w:leftChars="0" w:firstLine="0" w:firstLineChars="0"/>
        <w:jc w:val="center"/>
        <w:textAlignment w:val="baseline"/>
        <w:rPr>
          <w:rFonts w:hint="eastAsia"/>
          <w:sz w:val="28"/>
          <w:szCs w:val="28"/>
        </w:rPr>
      </w:pPr>
      <w:bookmarkStart w:id="2" w:name="_Toc32048"/>
      <w:r>
        <w:rPr>
          <w:rFonts w:hint="eastAsia"/>
          <w:sz w:val="28"/>
          <w:szCs w:val="28"/>
        </w:rPr>
        <w:t>采购要求</w:t>
      </w:r>
      <w:bookmarkEnd w:id="2"/>
    </w:p>
    <w:p w14:paraId="0BB1243D">
      <w:pPr>
        <w:keepNext w:val="0"/>
        <w:keepLines w:val="0"/>
        <w:pageBreakBefore w:val="0"/>
        <w:widowControl/>
        <w:kinsoku w:val="0"/>
        <w:wordWrap/>
        <w:overflowPunct/>
        <w:topLinePunct w:val="0"/>
        <w:autoSpaceDE w:val="0"/>
        <w:autoSpaceDN w:val="0"/>
        <w:bidi w:val="0"/>
        <w:adjustRightInd w:val="0"/>
        <w:snapToGrid w:val="0"/>
        <w:spacing w:line="480" w:lineRule="exact"/>
        <w:jc w:val="center"/>
        <w:textAlignment w:val="baseline"/>
        <w:rPr>
          <w:rFonts w:hint="eastAsia"/>
          <w:b/>
          <w:bCs/>
          <w:sz w:val="28"/>
          <w:szCs w:val="28"/>
          <w:lang w:val="en-US" w:eastAsia="zh-CN"/>
        </w:rPr>
      </w:pPr>
      <w:bookmarkStart w:id="3" w:name="_Toc24963"/>
      <w:bookmarkStart w:id="4" w:name="_Toc15881"/>
      <w:r>
        <w:rPr>
          <w:b/>
          <w:bCs/>
          <w:sz w:val="28"/>
          <w:szCs w:val="28"/>
        </w:rPr>
        <w:t xml:space="preserve">（一） </w:t>
      </w:r>
      <w:r>
        <w:rPr>
          <w:rFonts w:hint="eastAsia"/>
          <w:b/>
          <w:bCs/>
          <w:sz w:val="28"/>
          <w:szCs w:val="28"/>
          <w:lang w:eastAsia="zh-CN"/>
        </w:rPr>
        <w:t>服务</w:t>
      </w:r>
      <w:r>
        <w:rPr>
          <w:b/>
          <w:bCs/>
          <w:sz w:val="28"/>
          <w:szCs w:val="28"/>
        </w:rPr>
        <w:t>需求</w:t>
      </w:r>
      <w:bookmarkEnd w:id="3"/>
      <w:bookmarkEnd w:id="4"/>
    </w:p>
    <w:p w14:paraId="14A55359">
      <w:pPr>
        <w:bidi w:val="0"/>
        <w:rPr>
          <w:b/>
          <w:bCs/>
          <w:sz w:val="27"/>
          <w:szCs w:val="27"/>
        </w:rPr>
      </w:pPr>
      <w:bookmarkStart w:id="5" w:name="_Toc249514882"/>
      <w:bookmarkStart w:id="6" w:name="_Toc31972"/>
      <w:r>
        <w:rPr>
          <w:rFonts w:hint="eastAsia"/>
          <w:b/>
          <w:bCs/>
          <w:sz w:val="27"/>
          <w:szCs w:val="27"/>
        </w:rPr>
        <w:t>一、项目基本情况</w:t>
      </w:r>
    </w:p>
    <w:p w14:paraId="257B4C62">
      <w:pPr>
        <w:spacing w:line="440" w:lineRule="exact"/>
        <w:ind w:firstLine="159" w:firstLineChars="59"/>
        <w:jc w:val="left"/>
        <w:rPr>
          <w:rFonts w:hint="eastAsia" w:ascii="仿宋" w:hAnsi="仿宋" w:eastAsia="仿宋" w:cs="仿宋"/>
          <w:sz w:val="27"/>
          <w:szCs w:val="27"/>
        </w:rPr>
      </w:pPr>
      <w:bookmarkStart w:id="7" w:name="_Hlk108882104"/>
      <w:r>
        <w:rPr>
          <w:rFonts w:hint="eastAsia" w:ascii="仿宋" w:hAnsi="仿宋" w:eastAsia="仿宋" w:cs="仿宋"/>
          <w:sz w:val="27"/>
          <w:szCs w:val="27"/>
        </w:rPr>
        <w:t>上高县生活垃圾焚烧发电厂第三方运营监管服务采购项目</w:t>
      </w:r>
      <w:bookmarkEnd w:id="7"/>
    </w:p>
    <w:p w14:paraId="062E1748">
      <w:pPr>
        <w:bidi w:val="0"/>
        <w:rPr>
          <w:rFonts w:hint="eastAsia"/>
          <w:b/>
          <w:bCs/>
          <w:sz w:val="27"/>
          <w:szCs w:val="27"/>
        </w:rPr>
      </w:pPr>
      <w:r>
        <w:rPr>
          <w:rFonts w:hint="eastAsia"/>
          <w:b/>
          <w:bCs/>
          <w:sz w:val="27"/>
          <w:szCs w:val="27"/>
        </w:rPr>
        <w:t>二、依据和标准</w:t>
      </w:r>
    </w:p>
    <w:p w14:paraId="313FEA2B">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《生活垃圾焚烧污染控制标准》（GB18485-2014）；</w:t>
      </w:r>
    </w:p>
    <w:p w14:paraId="7C073242">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《生活垃圾焚烧厂运行维护与安全技术标准》（CJJ128-2017）；</w:t>
      </w:r>
    </w:p>
    <w:p w14:paraId="3B20087C">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《生活垃圾焚烧厂运行监管标准》（CJJ/T 212-2015）；</w:t>
      </w:r>
    </w:p>
    <w:p w14:paraId="56F25649">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《生活垃圾焚烧厂评价标准》（CJJT-137-2019）；</w:t>
      </w:r>
    </w:p>
    <w:p w14:paraId="29E5152C">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《垃圾发电厂危险源辨识和评价规范》（DLT 1843-2018）；</w:t>
      </w:r>
    </w:p>
    <w:p w14:paraId="546A0CFA">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《垃圾发电厂运行指标评价规范》（DLT 1842-2018）；</w:t>
      </w:r>
    </w:p>
    <w:p w14:paraId="0380C46A">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《地下水质量标准》（GB/T14848-2017）；</w:t>
      </w:r>
    </w:p>
    <w:p w14:paraId="7DFBD811">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《地表水环境质量标准》（GB3838-2002）；</w:t>
      </w:r>
    </w:p>
    <w:p w14:paraId="419D01E8">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《环境空气质量标准》（GB3095-2012）；</w:t>
      </w:r>
    </w:p>
    <w:p w14:paraId="3F5EF354">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《大气环境质量标准》(GB3095-2012)；</w:t>
      </w:r>
    </w:p>
    <w:p w14:paraId="38A9B362">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《声环境质量标准》（GB3096-2008）；</w:t>
      </w:r>
    </w:p>
    <w:p w14:paraId="61539695">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《污水综合排放标准》(DB12356-2018)；</w:t>
      </w:r>
    </w:p>
    <w:p w14:paraId="5EC4C61E">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《生活垃圾焚烧处理工程项目建设标准》（建标142-2010）；</w:t>
      </w:r>
    </w:p>
    <w:p w14:paraId="3DF14DA2">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《一般工业固体废物贮存、处置场污染控制标准》（GB18599-2001）；</w:t>
      </w:r>
    </w:p>
    <w:p w14:paraId="6D3C066E">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《恶臭污染物排放标准》（GB14554-93）；</w:t>
      </w:r>
    </w:p>
    <w:p w14:paraId="32CFAE36">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w:t>
      </w:r>
      <w:r>
        <w:fldChar w:fldCharType="begin"/>
      </w:r>
      <w:r>
        <w:instrText xml:space="preserve"> HYPERLINK "http://www.sepa.gov.cn/info/bgw/bgg/200809/W020081017399508921576.pdf" \t "_self" </w:instrText>
      </w:r>
      <w:r>
        <w:fldChar w:fldCharType="separate"/>
      </w:r>
      <w:r>
        <w:rPr>
          <w:rFonts w:hint="eastAsia" w:ascii="仿宋" w:hAnsi="仿宋" w:eastAsia="仿宋" w:cs="仿宋"/>
          <w:sz w:val="27"/>
          <w:szCs w:val="27"/>
        </w:rPr>
        <w:t>工业企业厂界环境噪声排放标准》（GB12348-2008）</w:t>
      </w:r>
      <w:r>
        <w:rPr>
          <w:rFonts w:hint="eastAsia" w:ascii="仿宋" w:hAnsi="仿宋" w:eastAsia="仿宋" w:cs="仿宋"/>
          <w:sz w:val="27"/>
          <w:szCs w:val="27"/>
        </w:rPr>
        <w:fldChar w:fldCharType="end"/>
      </w:r>
      <w:r>
        <w:rPr>
          <w:rFonts w:hint="eastAsia" w:ascii="仿宋" w:hAnsi="仿宋" w:eastAsia="仿宋" w:cs="仿宋"/>
          <w:sz w:val="27"/>
          <w:szCs w:val="27"/>
        </w:rPr>
        <w:t>；</w:t>
      </w:r>
    </w:p>
    <w:p w14:paraId="645B1805">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《生活垃圾填埋污染控制标准》（GB16889-2008）；</w:t>
      </w:r>
    </w:p>
    <w:p w14:paraId="15B55FD2">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《生活垃圾焚烧处理工程技术规范》（CJJ90-2009）；</w:t>
      </w:r>
    </w:p>
    <w:p w14:paraId="6A29B342">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《生活垃圾焚烧灰渣取样制样与检测》（CJT531-2018）；</w:t>
      </w:r>
    </w:p>
    <w:p w14:paraId="5CCEDF1D">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《室外给水设计标准》（GB50013-2019）；</w:t>
      </w:r>
    </w:p>
    <w:p w14:paraId="07524A35">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《室外排水设计规范》（GB50014-2006）（2016年版）；</w:t>
      </w:r>
    </w:p>
    <w:p w14:paraId="7AF59197">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《生活垃圾焚烧炉及余热锅炉》（GB/T18750-2008）；</w:t>
      </w:r>
    </w:p>
    <w:p w14:paraId="39DF52DB">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《生活垃圾焚烧厂检修规程》（CJJ 231-2015）；</w:t>
      </w:r>
    </w:p>
    <w:p w14:paraId="477A5EEB">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《固定污染源烟气排放连续监测技术规范（试行）》（HJ/T 75-2017）；</w:t>
      </w:r>
    </w:p>
    <w:p w14:paraId="3C984286">
      <w:pPr>
        <w:spacing w:line="440" w:lineRule="exact"/>
        <w:ind w:firstLine="159" w:firstLineChars="59"/>
        <w:jc w:val="left"/>
        <w:rPr>
          <w:rFonts w:ascii="仿宋" w:hAnsi="仿宋" w:eastAsia="仿宋" w:cs="仿宋"/>
          <w:sz w:val="27"/>
          <w:szCs w:val="27"/>
        </w:rPr>
      </w:pPr>
      <w:r>
        <w:rPr>
          <w:rFonts w:hint="eastAsia" w:ascii="仿宋" w:hAnsi="仿宋" w:eastAsia="仿宋" w:cs="仿宋"/>
          <w:sz w:val="27"/>
          <w:szCs w:val="27"/>
        </w:rPr>
        <w:t>《生活垃圾焚烧发电厂自动监测数据应用管理规定》</w:t>
      </w:r>
    </w:p>
    <w:p w14:paraId="383CF0C3">
      <w:pPr>
        <w:spacing w:line="440" w:lineRule="exact"/>
        <w:ind w:firstLine="294" w:firstLineChars="109"/>
        <w:jc w:val="left"/>
        <w:rPr>
          <w:rFonts w:ascii="仿宋" w:hAnsi="仿宋" w:eastAsia="仿宋" w:cs="仿宋"/>
          <w:sz w:val="27"/>
          <w:szCs w:val="27"/>
        </w:rPr>
      </w:pPr>
      <w:r>
        <w:rPr>
          <w:rFonts w:hint="eastAsia" w:ascii="仿宋" w:hAnsi="仿宋" w:eastAsia="仿宋" w:cs="仿宋"/>
          <w:sz w:val="27"/>
          <w:szCs w:val="27"/>
        </w:rPr>
        <w:t>《水污染源在线监测系统运行与考核技术规范（试行）》（HJ /T 355-2007）；</w:t>
      </w:r>
    </w:p>
    <w:p w14:paraId="14ED39C4">
      <w:pPr>
        <w:spacing w:line="440" w:lineRule="exact"/>
        <w:ind w:firstLine="294" w:firstLineChars="109"/>
        <w:jc w:val="left"/>
        <w:rPr>
          <w:rFonts w:ascii="仿宋" w:hAnsi="仿宋" w:eastAsia="仿宋" w:cs="仿宋"/>
          <w:sz w:val="27"/>
          <w:szCs w:val="27"/>
        </w:rPr>
      </w:pPr>
      <w:r>
        <w:rPr>
          <w:rFonts w:hint="eastAsia" w:ascii="仿宋" w:hAnsi="仿宋" w:eastAsia="仿宋" w:cs="仿宋"/>
          <w:sz w:val="27"/>
          <w:szCs w:val="27"/>
        </w:rPr>
        <w:t>《特许经营权协议》。</w:t>
      </w:r>
    </w:p>
    <w:p w14:paraId="6BCDCE45">
      <w:pPr>
        <w:bidi w:val="0"/>
        <w:rPr>
          <w:rFonts w:hint="eastAsia"/>
          <w:b/>
          <w:bCs/>
          <w:sz w:val="27"/>
          <w:szCs w:val="27"/>
        </w:rPr>
      </w:pPr>
      <w:r>
        <w:rPr>
          <w:rFonts w:hint="eastAsia"/>
          <w:b/>
          <w:bCs/>
          <w:sz w:val="27"/>
          <w:szCs w:val="27"/>
        </w:rPr>
        <w:t>三、</w:t>
      </w:r>
      <w:bookmarkEnd w:id="5"/>
      <w:r>
        <w:rPr>
          <w:rFonts w:hint="eastAsia"/>
          <w:b/>
          <w:bCs/>
          <w:sz w:val="27"/>
          <w:szCs w:val="27"/>
        </w:rPr>
        <w:t>服务监管范围</w:t>
      </w:r>
    </w:p>
    <w:p w14:paraId="2FF32D4A">
      <w:pPr>
        <w:spacing w:line="440" w:lineRule="exact"/>
        <w:ind w:firstLine="540" w:firstLineChars="200"/>
        <w:rPr>
          <w:rFonts w:hint="eastAsia" w:ascii="仿宋" w:hAnsi="仿宋" w:eastAsia="仿宋" w:cs="仿宋"/>
          <w:sz w:val="27"/>
          <w:szCs w:val="27"/>
          <w:lang w:val="en-US" w:eastAsia="zh-CN"/>
        </w:rPr>
      </w:pPr>
      <w:bookmarkStart w:id="8" w:name="_Hlk108882442"/>
      <w:r>
        <w:rPr>
          <w:rFonts w:hint="eastAsia" w:ascii="仿宋" w:hAnsi="仿宋" w:eastAsia="仿宋" w:cs="仿宋"/>
          <w:sz w:val="27"/>
          <w:szCs w:val="27"/>
        </w:rPr>
        <w:t>3.</w:t>
      </w:r>
      <w:r>
        <w:rPr>
          <w:rFonts w:hint="eastAsia" w:ascii="仿宋" w:hAnsi="仿宋" w:eastAsia="仿宋" w:cs="仿宋"/>
          <w:sz w:val="27"/>
          <w:szCs w:val="27"/>
          <w:lang w:val="en-US" w:eastAsia="zh-CN"/>
        </w:rPr>
        <w:t>1监管考核体系优化</w:t>
      </w:r>
    </w:p>
    <w:p w14:paraId="708E5EBC">
      <w:pPr>
        <w:pStyle w:val="9"/>
        <w:ind w:firstLine="420" w:firstLineChars="0"/>
        <w:rPr>
          <w:rFonts w:hint="default" w:ascii="仿宋" w:hAnsi="仿宋" w:eastAsia="仿宋" w:cs="仿宋"/>
          <w:sz w:val="27"/>
          <w:szCs w:val="27"/>
          <w:lang w:val="en-US" w:eastAsia="zh-CN"/>
        </w:rPr>
      </w:pPr>
      <w:r>
        <w:rPr>
          <w:rFonts w:hint="eastAsia" w:ascii="仿宋" w:hAnsi="仿宋" w:eastAsia="仿宋" w:cs="仿宋"/>
          <w:sz w:val="27"/>
          <w:szCs w:val="27"/>
        </w:rPr>
        <w:t>由</w:t>
      </w:r>
      <w:r>
        <w:rPr>
          <w:rFonts w:hint="eastAsia" w:ascii="仿宋" w:hAnsi="仿宋" w:eastAsia="仿宋" w:cs="仿宋"/>
          <w:sz w:val="27"/>
          <w:szCs w:val="27"/>
          <w:lang w:val="en-US" w:eastAsia="zh-CN"/>
        </w:rPr>
        <w:t>成交供应商</w:t>
      </w:r>
      <w:r>
        <w:rPr>
          <w:rFonts w:hint="eastAsia" w:ascii="仿宋" w:hAnsi="仿宋" w:eastAsia="仿宋" w:cs="仿宋"/>
          <w:sz w:val="27"/>
          <w:szCs w:val="27"/>
        </w:rPr>
        <w:t>负责编制《运营监管手册》、《监管考核办法》</w:t>
      </w:r>
      <w:r>
        <w:rPr>
          <w:rFonts w:hint="eastAsia" w:ascii="仿宋" w:hAnsi="仿宋" w:eastAsia="仿宋" w:cs="仿宋"/>
          <w:sz w:val="27"/>
          <w:szCs w:val="27"/>
          <w:lang w:val="en-US" w:eastAsia="zh-CN"/>
        </w:rPr>
        <w:t>等制度文件，进一步完善垃圾焚烧厂的监管考核体系，作为</w:t>
      </w:r>
      <w:r>
        <w:rPr>
          <w:rFonts w:hint="eastAsia" w:ascii="仿宋" w:hAnsi="仿宋" w:eastAsia="仿宋" w:cs="仿宋"/>
          <w:sz w:val="27"/>
          <w:szCs w:val="27"/>
        </w:rPr>
        <w:t>对焚烧厂月度考核评价</w:t>
      </w:r>
      <w:r>
        <w:rPr>
          <w:rFonts w:hint="eastAsia" w:ascii="仿宋" w:hAnsi="仿宋" w:eastAsia="仿宋" w:cs="仿宋"/>
          <w:sz w:val="27"/>
          <w:szCs w:val="27"/>
          <w:lang w:eastAsia="zh-CN"/>
        </w:rPr>
        <w:t>、</w:t>
      </w:r>
      <w:r>
        <w:rPr>
          <w:rFonts w:hint="eastAsia" w:ascii="仿宋" w:hAnsi="仿宋" w:eastAsia="仿宋" w:cs="仿宋"/>
          <w:sz w:val="27"/>
          <w:szCs w:val="27"/>
          <w:lang w:val="en-US" w:eastAsia="zh-CN"/>
        </w:rPr>
        <w:t>年度评估的依据。</w:t>
      </w:r>
    </w:p>
    <w:p w14:paraId="0B3CC7D0">
      <w:pPr>
        <w:pStyle w:val="9"/>
        <w:ind w:firstLine="420" w:firstLineChars="0"/>
        <w:rPr>
          <w:rFonts w:hint="default"/>
          <w:lang w:val="en-US" w:eastAsia="zh-CN"/>
        </w:rPr>
      </w:pPr>
      <w:r>
        <w:rPr>
          <w:rFonts w:hint="eastAsia" w:ascii="仿宋" w:hAnsi="仿宋" w:eastAsia="仿宋" w:cs="仿宋"/>
          <w:sz w:val="27"/>
          <w:szCs w:val="27"/>
          <w:lang w:eastAsia="zh-CN"/>
        </w:rPr>
        <w:t>成交供应商</w:t>
      </w:r>
      <w:r>
        <w:rPr>
          <w:rFonts w:hint="eastAsia" w:ascii="仿宋" w:hAnsi="仿宋" w:eastAsia="仿宋" w:cs="仿宋"/>
          <w:sz w:val="27"/>
          <w:szCs w:val="27"/>
        </w:rPr>
        <w:t>每月汇总专业监管</w:t>
      </w:r>
      <w:r>
        <w:rPr>
          <w:rFonts w:hint="eastAsia" w:ascii="仿宋" w:hAnsi="仿宋" w:eastAsia="仿宋" w:cs="仿宋"/>
          <w:sz w:val="27"/>
          <w:szCs w:val="27"/>
          <w:lang w:val="en-US" w:eastAsia="zh-CN"/>
        </w:rPr>
        <w:t>成果</w:t>
      </w:r>
      <w:r>
        <w:rPr>
          <w:rFonts w:hint="eastAsia" w:ascii="仿宋" w:hAnsi="仿宋" w:eastAsia="仿宋" w:cs="仿宋"/>
          <w:sz w:val="27"/>
          <w:szCs w:val="27"/>
        </w:rPr>
        <w:t>，根据《监管考核办法》对焚烧厂进行月度考核评价，报请项目主管单位审批，评价结果作为项目主管单位对焚烧厂考核的依据，也可作为</w:t>
      </w:r>
      <w:r>
        <w:rPr>
          <w:rFonts w:hint="eastAsia" w:ascii="仿宋" w:hAnsi="仿宋" w:eastAsia="仿宋" w:cs="仿宋"/>
          <w:sz w:val="27"/>
          <w:szCs w:val="27"/>
          <w:lang w:eastAsia="zh-CN"/>
        </w:rPr>
        <w:t>采购人</w:t>
      </w:r>
      <w:r>
        <w:rPr>
          <w:rFonts w:hint="eastAsia" w:ascii="仿宋" w:hAnsi="仿宋" w:eastAsia="仿宋" w:cs="仿宋"/>
          <w:sz w:val="27"/>
          <w:szCs w:val="27"/>
        </w:rPr>
        <w:t>对生活垃圾处理服务费拨付的依据。</w:t>
      </w:r>
    </w:p>
    <w:p w14:paraId="13DD6396">
      <w:pPr>
        <w:spacing w:line="440" w:lineRule="exact"/>
        <w:ind w:firstLine="540" w:firstLineChars="200"/>
        <w:rPr>
          <w:rFonts w:ascii="仿宋" w:hAnsi="仿宋" w:eastAsia="仿宋" w:cs="仿宋"/>
          <w:sz w:val="27"/>
          <w:szCs w:val="27"/>
        </w:rPr>
      </w:pPr>
      <w:r>
        <w:rPr>
          <w:rFonts w:hint="eastAsia" w:ascii="仿宋" w:hAnsi="仿宋" w:eastAsia="仿宋" w:cs="仿宋"/>
          <w:sz w:val="27"/>
          <w:szCs w:val="27"/>
          <w:lang w:val="en-US" w:eastAsia="zh-CN"/>
        </w:rPr>
        <w:t>3.2</w:t>
      </w:r>
      <w:r>
        <w:rPr>
          <w:rFonts w:hint="eastAsia" w:ascii="仿宋" w:hAnsi="仿宋" w:eastAsia="仿宋" w:cs="仿宋"/>
          <w:sz w:val="27"/>
          <w:szCs w:val="27"/>
        </w:rPr>
        <w:t>专业驻场监管</w:t>
      </w:r>
    </w:p>
    <w:p w14:paraId="72293C96">
      <w:pPr>
        <w:spacing w:line="440" w:lineRule="exact"/>
        <w:ind w:firstLine="540" w:firstLineChars="200"/>
        <w:rPr>
          <w:rFonts w:hint="eastAsia" w:ascii="仿宋" w:hAnsi="仿宋" w:eastAsia="仿宋" w:cs="仿宋"/>
          <w:sz w:val="27"/>
          <w:szCs w:val="27"/>
        </w:rPr>
      </w:pPr>
      <w:r>
        <w:rPr>
          <w:rFonts w:hint="eastAsia" w:ascii="仿宋" w:hAnsi="仿宋" w:eastAsia="仿宋" w:cs="仿宋"/>
          <w:sz w:val="27"/>
          <w:szCs w:val="27"/>
          <w:lang w:eastAsia="zh-CN"/>
        </w:rPr>
        <w:t>成交供应商</w:t>
      </w:r>
      <w:r>
        <w:rPr>
          <w:rFonts w:hint="eastAsia" w:ascii="仿宋" w:hAnsi="仿宋" w:eastAsia="仿宋" w:cs="仿宋"/>
          <w:sz w:val="27"/>
          <w:szCs w:val="27"/>
        </w:rPr>
        <w:t>应配备驻厂专业监管人员不少于2人(</w:t>
      </w:r>
      <w:r>
        <w:rPr>
          <w:rFonts w:hint="eastAsia" w:ascii="仿宋" w:hAnsi="仿宋" w:eastAsia="仿宋" w:cs="仿宋"/>
          <w:sz w:val="27"/>
          <w:szCs w:val="27"/>
          <w:lang w:val="en-US" w:eastAsia="zh-CN"/>
        </w:rPr>
        <w:t>常驻现场</w:t>
      </w:r>
      <w:r>
        <w:rPr>
          <w:rFonts w:hint="eastAsia" w:ascii="仿宋" w:hAnsi="仿宋" w:eastAsia="仿宋" w:cs="仿宋"/>
          <w:sz w:val="27"/>
          <w:szCs w:val="27"/>
        </w:rPr>
        <w:t>)，项目经理1人（</w:t>
      </w:r>
      <w:r>
        <w:rPr>
          <w:rFonts w:hint="eastAsia" w:ascii="仿宋" w:hAnsi="仿宋" w:eastAsia="仿宋" w:cs="仿宋"/>
          <w:sz w:val="27"/>
          <w:szCs w:val="27"/>
          <w:lang w:val="en-US" w:eastAsia="zh-CN"/>
        </w:rPr>
        <w:t>无需常驻现场，</w:t>
      </w:r>
      <w:r>
        <w:rPr>
          <w:rFonts w:hint="eastAsia" w:ascii="仿宋" w:hAnsi="仿宋" w:eastAsia="仿宋" w:cs="仿宋"/>
          <w:color w:val="auto"/>
          <w:sz w:val="27"/>
          <w:szCs w:val="27"/>
          <w:lang w:val="en-US" w:eastAsia="zh-CN"/>
        </w:rPr>
        <w:t>每月至少到现场为现场团队提供技术支撑不少于一周</w:t>
      </w:r>
      <w:r>
        <w:rPr>
          <w:rFonts w:hint="eastAsia" w:ascii="仿宋" w:hAnsi="仿宋" w:eastAsia="仿宋" w:cs="仿宋"/>
          <w:sz w:val="27"/>
          <w:szCs w:val="27"/>
        </w:rPr>
        <w:t>）</w:t>
      </w:r>
      <w:r>
        <w:rPr>
          <w:rFonts w:hint="eastAsia" w:ascii="仿宋" w:hAnsi="仿宋" w:eastAsia="仿宋" w:cs="仿宋"/>
          <w:sz w:val="27"/>
          <w:szCs w:val="27"/>
          <w:lang w:eastAsia="zh-CN"/>
        </w:rPr>
        <w:t>，</w:t>
      </w:r>
      <w:r>
        <w:rPr>
          <w:rFonts w:hint="eastAsia" w:ascii="仿宋" w:hAnsi="仿宋" w:eastAsia="仿宋" w:cs="仿宋"/>
          <w:sz w:val="27"/>
          <w:szCs w:val="27"/>
          <w:lang w:val="en-US" w:eastAsia="zh-CN"/>
        </w:rPr>
        <w:t>确保365天现场有人</w:t>
      </w:r>
      <w:r>
        <w:rPr>
          <w:rFonts w:hint="eastAsia" w:ascii="仿宋" w:hAnsi="仿宋" w:eastAsia="仿宋" w:cs="仿宋"/>
          <w:sz w:val="27"/>
          <w:szCs w:val="27"/>
        </w:rPr>
        <w:t>。</w:t>
      </w:r>
    </w:p>
    <w:p w14:paraId="11556998">
      <w:pPr>
        <w:pStyle w:val="9"/>
        <w:keepNext w:val="0"/>
        <w:keepLines w:val="0"/>
        <w:pageBreakBefore w:val="0"/>
        <w:widowControl/>
        <w:kinsoku/>
        <w:wordWrap/>
        <w:overflowPunct/>
        <w:topLinePunct w:val="0"/>
        <w:autoSpaceDE/>
        <w:autoSpaceDN/>
        <w:bidi w:val="0"/>
        <w:adjustRightInd/>
        <w:snapToGrid/>
        <w:ind w:firstLine="540" w:firstLineChars="200"/>
        <w:textAlignment w:val="baseline"/>
        <w:rPr>
          <w:rFonts w:hint="default" w:eastAsia="仿宋"/>
          <w:lang w:val="en-US" w:eastAsia="zh-CN"/>
        </w:rPr>
      </w:pPr>
      <w:r>
        <w:rPr>
          <w:rFonts w:hint="eastAsia" w:ascii="仿宋" w:hAnsi="仿宋" w:eastAsia="仿宋" w:cs="仿宋"/>
          <w:sz w:val="27"/>
          <w:szCs w:val="27"/>
          <w:lang w:val="en-US" w:eastAsia="zh-CN"/>
        </w:rPr>
        <w:t>3.2.1监管内容</w:t>
      </w:r>
    </w:p>
    <w:p w14:paraId="2BB5BC16">
      <w:pPr>
        <w:spacing w:line="440" w:lineRule="exact"/>
        <w:ind w:firstLine="540" w:firstLineChars="200"/>
        <w:rPr>
          <w:rFonts w:hint="eastAsia" w:ascii="仿宋" w:hAnsi="仿宋" w:eastAsia="仿宋" w:cs="仿宋"/>
          <w:sz w:val="27"/>
          <w:szCs w:val="27"/>
        </w:rPr>
      </w:pPr>
      <w:r>
        <w:rPr>
          <w:rFonts w:hint="eastAsia" w:ascii="仿宋" w:hAnsi="仿宋" w:eastAsia="仿宋" w:cs="仿宋"/>
          <w:sz w:val="27"/>
          <w:szCs w:val="27"/>
        </w:rPr>
        <w:t>参照《生活垃圾焚烧污染控制标准》 (GB18485-2014) 、《生活垃圾焚烧厂运行监管标准》 (CJJ/T212-2015) 、《特许经营协议》等相关标准中关于监管、监测内容的规定</w:t>
      </w:r>
      <w:r>
        <w:rPr>
          <w:rFonts w:hint="eastAsia" w:ascii="仿宋" w:hAnsi="仿宋" w:eastAsia="仿宋" w:cs="仿宋"/>
          <w:sz w:val="27"/>
          <w:szCs w:val="27"/>
          <w:lang w:eastAsia="zh-CN"/>
        </w:rPr>
        <w:t>，</w:t>
      </w:r>
      <w:r>
        <w:rPr>
          <w:rFonts w:hint="eastAsia" w:ascii="仿宋" w:hAnsi="仿宋" w:eastAsia="仿宋" w:cs="仿宋"/>
          <w:sz w:val="27"/>
          <w:szCs w:val="27"/>
          <w:lang w:val="en-US" w:eastAsia="zh-CN"/>
        </w:rPr>
        <w:t>日常</w:t>
      </w:r>
      <w:r>
        <w:rPr>
          <w:rFonts w:hint="eastAsia" w:ascii="仿宋" w:hAnsi="仿宋" w:eastAsia="仿宋" w:cs="仿宋"/>
          <w:sz w:val="27"/>
          <w:szCs w:val="27"/>
        </w:rPr>
        <w:t>监管范围主要为生活垃圾焚烧发电厂的运行工况、环保排放和安全生产指标，包括但不限于主要设备设施、厂内环境、卸料平台、运行工况、停产检修及起停炉、环保耗材、环保排放及在线监测监控、渗滤液处理、飞灰炉渣的稳定化处理和无害化处置等。</w:t>
      </w:r>
      <w:bookmarkStart w:id="9" w:name="_Toc17207"/>
    </w:p>
    <w:p w14:paraId="26F2A492">
      <w:pPr>
        <w:spacing w:line="440" w:lineRule="exact"/>
        <w:ind w:firstLine="540" w:firstLineChars="200"/>
        <w:rPr>
          <w:rFonts w:hint="eastAsia" w:ascii="仿宋" w:hAnsi="仿宋" w:eastAsia="仿宋" w:cs="仿宋"/>
          <w:sz w:val="27"/>
          <w:szCs w:val="27"/>
        </w:rPr>
      </w:pPr>
      <w:r>
        <w:rPr>
          <w:rFonts w:hint="eastAsia" w:ascii="仿宋" w:hAnsi="仿宋" w:eastAsia="仿宋" w:cs="仿宋"/>
          <w:sz w:val="27"/>
          <w:szCs w:val="27"/>
          <w:lang w:val="en-US" w:eastAsia="zh-CN"/>
        </w:rPr>
        <w:t>成交供应商应</w:t>
      </w:r>
      <w:r>
        <w:rPr>
          <w:rFonts w:hint="eastAsia" w:ascii="仿宋" w:hAnsi="仿宋" w:eastAsia="仿宋" w:cs="仿宋"/>
          <w:sz w:val="27"/>
          <w:szCs w:val="27"/>
        </w:rPr>
        <w:t>参照《生活垃圾焚烧厂运行监管标准》（CJJ/T212-2015）等国家相关法律、法规、标准要求和项目特许经营权协议的约定对运营方实行重点性和一般性监管。</w:t>
      </w:r>
      <w:bookmarkEnd w:id="9"/>
    </w:p>
    <w:p w14:paraId="0E9366BE">
      <w:pPr>
        <w:adjustRightInd w:val="0"/>
        <w:snapToGrid w:val="0"/>
        <w:spacing w:line="440" w:lineRule="exact"/>
        <w:ind w:firstLine="540" w:firstLineChars="200"/>
        <w:rPr>
          <w:rFonts w:ascii="仿宋" w:hAnsi="仿宋" w:eastAsia="仿宋" w:cs="仿宋"/>
          <w:sz w:val="27"/>
          <w:szCs w:val="27"/>
        </w:rPr>
      </w:pPr>
      <w:r>
        <w:rPr>
          <w:rFonts w:hint="eastAsia" w:ascii="仿宋" w:hAnsi="仿宋" w:eastAsia="仿宋" w:cs="仿宋"/>
          <w:sz w:val="27"/>
          <w:szCs w:val="27"/>
        </w:rPr>
        <w:t>（一）重点性监管内容</w:t>
      </w:r>
    </w:p>
    <w:p w14:paraId="1A3184D9">
      <w:pPr>
        <w:adjustRightInd w:val="0"/>
        <w:snapToGrid w:val="0"/>
        <w:spacing w:line="440" w:lineRule="exact"/>
        <w:ind w:firstLine="540" w:firstLineChars="200"/>
        <w:rPr>
          <w:rFonts w:ascii="仿宋" w:hAnsi="仿宋" w:eastAsia="仿宋" w:cs="仿宋"/>
          <w:sz w:val="27"/>
          <w:szCs w:val="27"/>
        </w:rPr>
      </w:pPr>
      <w:r>
        <w:rPr>
          <w:rFonts w:hint="eastAsia" w:ascii="仿宋" w:hAnsi="仿宋" w:eastAsia="仿宋" w:cs="仿宋"/>
          <w:sz w:val="27"/>
          <w:szCs w:val="27"/>
        </w:rPr>
        <w:t>垃圾进厂和飞灰、炉渣与渗滤液出厂的计量系统，计量仪器的校验和标定；垃圾焚烧炉燃烧工况、炉膛温度、垃圾焚烧炉的起炉和停炉、炉渣的取样和热灼减率检测；烟气净化系统运行工况、烟气净化中和剂、吸收剂和吸附剂消耗量、烟气在线监测系统运行、校验和标定状况；渗滤液处理过程控制；渗滤液在线监测系统运行、校验和标定状况、厂区臭味控制；各项无害化排放指标监测（烟气、环境空气、污水处理）；全厂安全管理制度执行状况、工作票与操作票执行状况、重点安全设施的有效性、突发事件处置等，排查安全隐患并督促整改。</w:t>
      </w:r>
    </w:p>
    <w:p w14:paraId="494266B6">
      <w:pPr>
        <w:adjustRightInd w:val="0"/>
        <w:snapToGrid w:val="0"/>
        <w:spacing w:line="440" w:lineRule="exact"/>
        <w:ind w:firstLine="540" w:firstLineChars="200"/>
        <w:rPr>
          <w:rFonts w:ascii="仿宋" w:hAnsi="仿宋" w:eastAsia="仿宋" w:cs="仿宋"/>
          <w:sz w:val="27"/>
          <w:szCs w:val="27"/>
        </w:rPr>
      </w:pPr>
      <w:r>
        <w:rPr>
          <w:rFonts w:hint="eastAsia" w:ascii="仿宋" w:hAnsi="仿宋" w:eastAsia="仿宋" w:cs="仿宋"/>
          <w:sz w:val="27"/>
          <w:szCs w:val="27"/>
        </w:rPr>
        <w:t>（二）一般性监管内容</w:t>
      </w:r>
    </w:p>
    <w:p w14:paraId="5DE8C363">
      <w:pPr>
        <w:adjustRightInd w:val="0"/>
        <w:snapToGrid w:val="0"/>
        <w:spacing w:line="440" w:lineRule="exact"/>
        <w:ind w:firstLine="540" w:firstLineChars="200"/>
        <w:rPr>
          <w:rFonts w:ascii="仿宋" w:hAnsi="仿宋" w:eastAsia="仿宋" w:cs="仿宋"/>
          <w:color w:val="auto"/>
          <w:sz w:val="27"/>
          <w:szCs w:val="27"/>
        </w:rPr>
      </w:pPr>
      <w:r>
        <w:rPr>
          <w:rFonts w:hint="eastAsia" w:ascii="仿宋" w:hAnsi="仿宋" w:eastAsia="仿宋" w:cs="仿宋"/>
          <w:sz w:val="27"/>
          <w:szCs w:val="27"/>
        </w:rPr>
        <w:t>厂区总体环境状况、进</w:t>
      </w:r>
      <w:r>
        <w:rPr>
          <w:rFonts w:hint="eastAsia" w:ascii="仿宋" w:hAnsi="仿宋" w:eastAsia="仿宋" w:cs="仿宋"/>
          <w:color w:val="auto"/>
          <w:sz w:val="27"/>
          <w:szCs w:val="27"/>
        </w:rPr>
        <w:t>厂</w:t>
      </w:r>
      <w:r>
        <w:rPr>
          <w:rFonts w:hint="eastAsia" w:ascii="仿宋" w:hAnsi="仿宋" w:eastAsia="仿宋" w:cs="仿宋"/>
          <w:color w:val="auto"/>
          <w:sz w:val="27"/>
          <w:szCs w:val="27"/>
          <w:lang w:eastAsia="zh-CN"/>
        </w:rPr>
        <w:t>垃圾运输</w:t>
      </w:r>
      <w:r>
        <w:rPr>
          <w:rFonts w:hint="eastAsia" w:ascii="仿宋" w:hAnsi="仿宋" w:eastAsia="仿宋" w:cs="仿宋"/>
          <w:color w:val="auto"/>
          <w:sz w:val="27"/>
          <w:szCs w:val="27"/>
        </w:rPr>
        <w:t>车辆运输作业工况及车容车貌检查、</w:t>
      </w:r>
      <w:r>
        <w:rPr>
          <w:rFonts w:hint="eastAsia" w:ascii="仿宋" w:hAnsi="仿宋" w:eastAsia="仿宋" w:cs="仿宋"/>
          <w:color w:val="auto"/>
          <w:sz w:val="27"/>
          <w:szCs w:val="27"/>
          <w:lang w:eastAsia="zh-CN"/>
        </w:rPr>
        <w:t>进场垃圾情况、</w:t>
      </w:r>
      <w:r>
        <w:rPr>
          <w:rFonts w:hint="eastAsia" w:ascii="仿宋" w:hAnsi="仿宋" w:eastAsia="仿宋" w:cs="仿宋"/>
          <w:color w:val="auto"/>
          <w:sz w:val="27"/>
          <w:szCs w:val="27"/>
        </w:rPr>
        <w:t>焚烧生产线停产检修情况、锅炉受热面清灰情况、锅炉受热面管壁腐蚀程度检查情况、汽轮发电机维护检修状况、焚烧厂发电上网电量、汛期防台防汛准备工作、协助运营方响应政府部门信息公开要求。</w:t>
      </w:r>
    </w:p>
    <w:p w14:paraId="394C41AD">
      <w:pPr>
        <w:spacing w:line="440" w:lineRule="exact"/>
        <w:ind w:firstLine="405" w:firstLineChars="150"/>
        <w:rPr>
          <w:rFonts w:hint="default" w:ascii="仿宋" w:hAnsi="仿宋" w:eastAsia="仿宋" w:cs="仿宋"/>
          <w:b w:val="0"/>
          <w:bCs w:val="0"/>
          <w:color w:val="auto"/>
          <w:sz w:val="27"/>
          <w:szCs w:val="27"/>
          <w:lang w:val="en-US" w:eastAsia="zh-CN"/>
        </w:rPr>
      </w:pPr>
      <w:r>
        <w:rPr>
          <w:rFonts w:hint="eastAsia" w:ascii="仿宋" w:hAnsi="仿宋" w:eastAsia="仿宋" w:cs="仿宋"/>
          <w:b w:val="0"/>
          <w:bCs w:val="0"/>
          <w:color w:val="auto"/>
          <w:sz w:val="27"/>
          <w:szCs w:val="27"/>
          <w:lang w:val="en-US" w:eastAsia="zh-CN"/>
        </w:rPr>
        <w:t>3.2.2监管工作内容</w:t>
      </w:r>
    </w:p>
    <w:p w14:paraId="59287E74">
      <w:pPr>
        <w:spacing w:line="440" w:lineRule="exact"/>
        <w:ind w:firstLine="405" w:firstLineChars="150"/>
        <w:rPr>
          <w:rFonts w:hint="eastAsia" w:ascii="仿宋" w:hAnsi="仿宋" w:eastAsia="仿宋" w:cs="仿宋"/>
          <w:b w:val="0"/>
          <w:bCs w:val="0"/>
          <w:color w:val="auto"/>
          <w:sz w:val="27"/>
          <w:szCs w:val="27"/>
          <w:lang w:val="en-US" w:eastAsia="zh-CN"/>
        </w:rPr>
      </w:pPr>
      <w:r>
        <w:rPr>
          <w:rFonts w:hint="eastAsia" w:ascii="仿宋" w:hAnsi="仿宋" w:eastAsia="仿宋" w:cs="仿宋"/>
          <w:b w:val="0"/>
          <w:bCs w:val="0"/>
          <w:color w:val="auto"/>
          <w:sz w:val="27"/>
          <w:szCs w:val="27"/>
          <w:lang w:val="en-US" w:eastAsia="zh-CN"/>
        </w:rPr>
        <w:t>驻场监管</w:t>
      </w:r>
      <w:r>
        <w:rPr>
          <w:rFonts w:hint="eastAsia" w:ascii="仿宋" w:hAnsi="仿宋" w:eastAsia="仿宋" w:cs="仿宋"/>
          <w:b w:val="0"/>
          <w:bCs w:val="0"/>
          <w:color w:val="auto"/>
          <w:sz w:val="27"/>
          <w:szCs w:val="27"/>
        </w:rPr>
        <w:t>服务</w:t>
      </w:r>
      <w:r>
        <w:rPr>
          <w:rFonts w:hint="eastAsia" w:ascii="仿宋" w:hAnsi="仿宋" w:eastAsia="仿宋" w:cs="仿宋"/>
          <w:b w:val="0"/>
          <w:bCs w:val="0"/>
          <w:color w:val="auto"/>
          <w:sz w:val="27"/>
          <w:szCs w:val="27"/>
          <w:lang w:val="en-US" w:eastAsia="zh-CN"/>
        </w:rPr>
        <w:t>工作内容如下：</w:t>
      </w:r>
    </w:p>
    <w:p w14:paraId="35448BAB">
      <w:pPr>
        <w:spacing w:line="440" w:lineRule="exact"/>
        <w:ind w:firstLine="540" w:firstLineChars="200"/>
        <w:rPr>
          <w:rFonts w:ascii="仿宋" w:hAnsi="仿宋" w:eastAsia="仿宋" w:cs="仿宋"/>
          <w:sz w:val="27"/>
          <w:szCs w:val="27"/>
        </w:rPr>
      </w:pPr>
      <w:r>
        <w:rPr>
          <w:rFonts w:hint="eastAsia" w:ascii="仿宋" w:hAnsi="仿宋" w:eastAsia="仿宋" w:cs="仿宋"/>
          <w:color w:val="auto"/>
          <w:sz w:val="27"/>
          <w:szCs w:val="27"/>
        </w:rPr>
        <w:t>1.实时掌握焚烧厂运行状况、安全生产、环保排放等情况，发现问题以联系单形式</w:t>
      </w:r>
      <w:r>
        <w:rPr>
          <w:rFonts w:hint="eastAsia" w:ascii="仿宋" w:hAnsi="仿宋" w:eastAsia="仿宋" w:cs="仿宋"/>
          <w:color w:val="auto"/>
          <w:sz w:val="27"/>
          <w:szCs w:val="27"/>
          <w:lang w:eastAsia="zh-CN"/>
        </w:rPr>
        <w:t>反馈运营方或</w:t>
      </w:r>
      <w:r>
        <w:rPr>
          <w:rFonts w:hint="eastAsia" w:ascii="仿宋" w:hAnsi="仿宋" w:eastAsia="仿宋" w:cs="仿宋"/>
          <w:color w:val="auto"/>
          <w:sz w:val="27"/>
          <w:szCs w:val="27"/>
        </w:rPr>
        <w:t>上报</w:t>
      </w:r>
      <w:r>
        <w:rPr>
          <w:rFonts w:hint="eastAsia" w:ascii="仿宋" w:hAnsi="仿宋" w:eastAsia="仿宋" w:cs="仿宋"/>
          <w:color w:val="auto"/>
          <w:sz w:val="27"/>
          <w:szCs w:val="27"/>
          <w:lang w:eastAsia="zh-CN"/>
        </w:rPr>
        <w:t>采购人</w:t>
      </w:r>
      <w:r>
        <w:rPr>
          <w:rFonts w:hint="eastAsia" w:ascii="仿宋" w:hAnsi="仿宋" w:eastAsia="仿宋" w:cs="仿宋"/>
          <w:color w:val="auto"/>
          <w:sz w:val="27"/>
          <w:szCs w:val="27"/>
        </w:rPr>
        <w:t>，并追踪</w:t>
      </w:r>
      <w:r>
        <w:rPr>
          <w:rFonts w:hint="eastAsia" w:ascii="仿宋" w:hAnsi="仿宋" w:eastAsia="仿宋" w:cs="仿宋"/>
          <w:sz w:val="27"/>
          <w:szCs w:val="27"/>
        </w:rPr>
        <w:t>落实相关问题整改工作，形成闭环；特别紧急、重大的先短信、电话报送后于24小时内补联系单。</w:t>
      </w:r>
    </w:p>
    <w:p w14:paraId="0F65A1D4">
      <w:pPr>
        <w:spacing w:line="440" w:lineRule="exact"/>
        <w:ind w:firstLine="540" w:firstLineChars="200"/>
        <w:rPr>
          <w:rFonts w:ascii="仿宋" w:hAnsi="仿宋" w:eastAsia="仿宋" w:cs="仿宋"/>
          <w:sz w:val="27"/>
          <w:szCs w:val="27"/>
        </w:rPr>
      </w:pPr>
      <w:r>
        <w:rPr>
          <w:rFonts w:hint="eastAsia" w:ascii="仿宋" w:hAnsi="仿宋" w:eastAsia="仿宋" w:cs="仿宋"/>
          <w:sz w:val="27"/>
          <w:szCs w:val="27"/>
        </w:rPr>
        <w:t>2.定时巡查厂区内各生产运行区域，纠正违法、违规行为，做好相关记录，并进行量化考核。</w:t>
      </w:r>
    </w:p>
    <w:p w14:paraId="5C7D313C">
      <w:pPr>
        <w:spacing w:line="440" w:lineRule="exact"/>
        <w:ind w:firstLine="540" w:firstLineChars="200"/>
        <w:rPr>
          <w:rFonts w:ascii="仿宋" w:hAnsi="仿宋" w:eastAsia="仿宋" w:cs="仿宋"/>
          <w:sz w:val="27"/>
          <w:szCs w:val="27"/>
        </w:rPr>
      </w:pPr>
      <w:r>
        <w:rPr>
          <w:rFonts w:hint="eastAsia" w:ascii="仿宋" w:hAnsi="仿宋" w:eastAsia="仿宋" w:cs="仿宋"/>
          <w:sz w:val="27"/>
          <w:szCs w:val="27"/>
        </w:rPr>
        <w:t>3.定期参加</w:t>
      </w:r>
      <w:r>
        <w:rPr>
          <w:rFonts w:hint="eastAsia" w:ascii="仿宋" w:hAnsi="仿宋" w:eastAsia="仿宋" w:cs="仿宋"/>
          <w:sz w:val="27"/>
          <w:szCs w:val="27"/>
          <w:lang w:eastAsia="zh-CN"/>
        </w:rPr>
        <w:t>采购人</w:t>
      </w:r>
      <w:r>
        <w:rPr>
          <w:rFonts w:hint="eastAsia" w:ascii="仿宋" w:hAnsi="仿宋" w:eastAsia="仿宋" w:cs="仿宋"/>
          <w:sz w:val="27"/>
          <w:szCs w:val="27"/>
        </w:rPr>
        <w:t>、</w:t>
      </w:r>
      <w:r>
        <w:rPr>
          <w:rFonts w:hint="eastAsia" w:ascii="仿宋" w:hAnsi="仿宋" w:eastAsia="仿宋" w:cs="仿宋"/>
          <w:sz w:val="27"/>
          <w:szCs w:val="27"/>
          <w:lang w:eastAsia="zh-CN"/>
        </w:rPr>
        <w:t>成交供应商</w:t>
      </w:r>
      <w:r>
        <w:rPr>
          <w:rFonts w:hint="eastAsia" w:ascii="仿宋" w:hAnsi="仿宋" w:eastAsia="仿宋" w:cs="仿宋"/>
          <w:sz w:val="27"/>
          <w:szCs w:val="27"/>
        </w:rPr>
        <w:t>、运营方联席会议，根据日常监管工作提出合理化建议供多方协商，并跟踪落实情况。</w:t>
      </w:r>
    </w:p>
    <w:p w14:paraId="79EF159C">
      <w:pPr>
        <w:spacing w:line="440" w:lineRule="exact"/>
        <w:ind w:firstLine="540" w:firstLineChars="200"/>
        <w:rPr>
          <w:rFonts w:ascii="仿宋" w:hAnsi="仿宋" w:eastAsia="仿宋" w:cs="仿宋"/>
          <w:sz w:val="27"/>
          <w:szCs w:val="27"/>
        </w:rPr>
      </w:pPr>
      <w:r>
        <w:rPr>
          <w:rFonts w:hint="eastAsia" w:ascii="仿宋" w:hAnsi="仿宋" w:eastAsia="仿宋" w:cs="仿宋"/>
          <w:sz w:val="27"/>
          <w:szCs w:val="27"/>
        </w:rPr>
        <w:t>4.做好政府方委托监测工作，配合环保部门做好环境指标抽检工作。</w:t>
      </w:r>
    </w:p>
    <w:p w14:paraId="51F7DED8">
      <w:pPr>
        <w:spacing w:line="440" w:lineRule="exact"/>
        <w:ind w:firstLine="540" w:firstLineChars="200"/>
        <w:rPr>
          <w:rFonts w:ascii="仿宋" w:hAnsi="仿宋" w:eastAsia="仿宋" w:cs="仿宋"/>
          <w:sz w:val="27"/>
          <w:szCs w:val="27"/>
        </w:rPr>
      </w:pPr>
      <w:r>
        <w:rPr>
          <w:rFonts w:hint="eastAsia" w:ascii="仿宋" w:hAnsi="仿宋" w:eastAsia="仿宋" w:cs="仿宋"/>
          <w:sz w:val="27"/>
          <w:szCs w:val="27"/>
        </w:rPr>
        <w:t>5.做好日常运行监管信息的采集、记录、确认工作，建立健全各项监管监测台账。</w:t>
      </w:r>
    </w:p>
    <w:p w14:paraId="1C7F7469">
      <w:pPr>
        <w:spacing w:line="440" w:lineRule="exact"/>
        <w:ind w:firstLine="540" w:firstLineChars="200"/>
        <w:rPr>
          <w:rFonts w:ascii="仿宋" w:hAnsi="仿宋" w:eastAsia="仿宋" w:cs="仿宋"/>
          <w:sz w:val="27"/>
          <w:szCs w:val="27"/>
        </w:rPr>
      </w:pPr>
      <w:r>
        <w:rPr>
          <w:rFonts w:hint="eastAsia" w:ascii="仿宋" w:hAnsi="仿宋" w:eastAsia="仿宋" w:cs="仿宋"/>
          <w:sz w:val="27"/>
          <w:szCs w:val="27"/>
        </w:rPr>
        <w:t>6.发生针对焚烧厂的投诉或媒体曝光等，应及时了解相关情况，并在规定期限内将原因分析报送甲方。</w:t>
      </w:r>
    </w:p>
    <w:p w14:paraId="1F548202">
      <w:pPr>
        <w:spacing w:line="440" w:lineRule="exact"/>
        <w:ind w:firstLine="540" w:firstLineChars="200"/>
        <w:rPr>
          <w:rFonts w:ascii="仿宋" w:hAnsi="仿宋" w:eastAsia="仿宋" w:cs="仿宋"/>
          <w:sz w:val="27"/>
          <w:szCs w:val="27"/>
        </w:rPr>
      </w:pPr>
      <w:r>
        <w:rPr>
          <w:rFonts w:hint="eastAsia" w:ascii="仿宋" w:hAnsi="仿宋" w:eastAsia="仿宋" w:cs="仿宋"/>
          <w:sz w:val="27"/>
          <w:szCs w:val="27"/>
        </w:rPr>
        <w:t>7.工作人员定期参加培训，不断提升生活垃圾焚烧监管业务技术水平。</w:t>
      </w:r>
    </w:p>
    <w:p w14:paraId="441D108C">
      <w:pPr>
        <w:spacing w:line="440" w:lineRule="exact"/>
        <w:ind w:firstLine="540" w:firstLineChars="200"/>
        <w:rPr>
          <w:rFonts w:ascii="仿宋" w:hAnsi="仿宋" w:eastAsia="仿宋" w:cs="仿宋"/>
          <w:sz w:val="27"/>
          <w:szCs w:val="27"/>
          <w:highlight w:val="none"/>
        </w:rPr>
      </w:pPr>
      <w:r>
        <w:rPr>
          <w:rFonts w:hint="eastAsia" w:ascii="仿宋" w:hAnsi="仿宋" w:eastAsia="仿宋" w:cs="仿宋"/>
          <w:sz w:val="27"/>
          <w:szCs w:val="27"/>
        </w:rPr>
        <w:t>8.配合做好</w:t>
      </w:r>
      <w:r>
        <w:rPr>
          <w:rFonts w:hint="eastAsia" w:ascii="仿宋" w:hAnsi="仿宋" w:eastAsia="仿宋" w:cs="仿宋"/>
          <w:sz w:val="27"/>
          <w:szCs w:val="27"/>
          <w:highlight w:val="none"/>
        </w:rPr>
        <w:t>市民体验活动及各类参观、交流、接待、成果展示等工作。</w:t>
      </w:r>
    </w:p>
    <w:p w14:paraId="34D1E50A">
      <w:pPr>
        <w:pStyle w:val="9"/>
        <w:ind w:firstLine="540" w:firstLineChars="200"/>
        <w:rPr>
          <w:rFonts w:hint="eastAsia" w:ascii="仿宋" w:hAnsi="仿宋" w:eastAsia="仿宋" w:cs="仿宋"/>
          <w:sz w:val="27"/>
          <w:szCs w:val="27"/>
          <w:highlight w:val="none"/>
        </w:rPr>
      </w:pPr>
      <w:r>
        <w:rPr>
          <w:rFonts w:hint="eastAsia" w:ascii="仿宋" w:hAnsi="仿宋" w:eastAsia="仿宋" w:cs="仿宋"/>
          <w:sz w:val="27"/>
          <w:szCs w:val="27"/>
          <w:highlight w:val="none"/>
        </w:rPr>
        <w:t>9.其他</w:t>
      </w:r>
      <w:r>
        <w:rPr>
          <w:rFonts w:hint="eastAsia" w:ascii="仿宋" w:hAnsi="仿宋" w:eastAsia="仿宋" w:cs="仿宋"/>
          <w:sz w:val="27"/>
          <w:szCs w:val="27"/>
          <w:highlight w:val="none"/>
          <w:lang w:eastAsia="zh-CN"/>
        </w:rPr>
        <w:t>采购人</w:t>
      </w:r>
      <w:r>
        <w:rPr>
          <w:rFonts w:hint="eastAsia" w:ascii="仿宋" w:hAnsi="仿宋" w:eastAsia="仿宋" w:cs="仿宋"/>
          <w:sz w:val="27"/>
          <w:szCs w:val="27"/>
          <w:highlight w:val="none"/>
        </w:rPr>
        <w:t>交办的任务。</w:t>
      </w:r>
    </w:p>
    <w:p w14:paraId="72C7F97A">
      <w:pPr>
        <w:pStyle w:val="9"/>
        <w:keepNext w:val="0"/>
        <w:keepLines w:val="0"/>
        <w:pageBreakBefore w:val="0"/>
        <w:widowControl/>
        <w:kinsoku/>
        <w:wordWrap/>
        <w:overflowPunct/>
        <w:topLinePunct w:val="0"/>
        <w:autoSpaceDE/>
        <w:autoSpaceDN/>
        <w:bidi w:val="0"/>
        <w:adjustRightInd/>
        <w:snapToGrid/>
        <w:ind w:firstLine="540" w:firstLineChars="200"/>
        <w:textAlignment w:val="baseline"/>
        <w:rPr>
          <w:rFonts w:hint="eastAsia" w:ascii="仿宋" w:hAnsi="仿宋" w:eastAsia="仿宋" w:cs="仿宋"/>
          <w:sz w:val="27"/>
          <w:szCs w:val="27"/>
          <w:highlight w:val="none"/>
        </w:rPr>
      </w:pPr>
      <w:r>
        <w:rPr>
          <w:rFonts w:hint="eastAsia" w:ascii="仿宋" w:hAnsi="仿宋" w:eastAsia="仿宋" w:cs="仿宋"/>
          <w:sz w:val="27"/>
          <w:szCs w:val="27"/>
          <w:highlight w:val="none"/>
          <w:lang w:val="en-US" w:eastAsia="zh-CN"/>
        </w:rPr>
        <w:t>3.2.3</w:t>
      </w:r>
      <w:r>
        <w:rPr>
          <w:rFonts w:hint="eastAsia" w:ascii="仿宋" w:hAnsi="仿宋" w:eastAsia="仿宋" w:cs="仿宋"/>
          <w:sz w:val="27"/>
          <w:szCs w:val="27"/>
          <w:highlight w:val="none"/>
        </w:rPr>
        <w:t xml:space="preserve"> 厂区安全生产强化监管服务</w:t>
      </w:r>
    </w:p>
    <w:p w14:paraId="5268474D">
      <w:pPr>
        <w:pStyle w:val="9"/>
        <w:keepNext w:val="0"/>
        <w:keepLines w:val="0"/>
        <w:pageBreakBefore w:val="0"/>
        <w:widowControl/>
        <w:kinsoku/>
        <w:wordWrap/>
        <w:overflowPunct/>
        <w:topLinePunct w:val="0"/>
        <w:autoSpaceDE/>
        <w:autoSpaceDN/>
        <w:bidi w:val="0"/>
        <w:adjustRightInd/>
        <w:snapToGrid/>
        <w:ind w:firstLine="540" w:firstLineChars="200"/>
        <w:textAlignment w:val="baseline"/>
        <w:rPr>
          <w:rFonts w:hint="eastAsia" w:ascii="仿宋" w:hAnsi="仿宋" w:eastAsia="仿宋" w:cs="仿宋"/>
          <w:sz w:val="27"/>
          <w:szCs w:val="27"/>
          <w:highlight w:val="none"/>
        </w:rPr>
      </w:pPr>
      <w:r>
        <w:rPr>
          <w:rFonts w:hint="eastAsia" w:ascii="仿宋" w:hAnsi="仿宋" w:eastAsia="仿宋" w:cs="仿宋"/>
          <w:sz w:val="27"/>
          <w:szCs w:val="27"/>
          <w:highlight w:val="none"/>
        </w:rPr>
        <w:t>常态化开展厂区全域安全生产巡查排查工作，重点围绕焚烧作业流程、特种设备运行、危废储存处置、消防设施配置、现场作业规范、环保治理设施运维及人员作业操作等关键环节实施全方位安全管控。及时排查梳理各类安全隐患并督促完成闭环整改，健全完善安全监管台账，同步协助采购人落实安全生产管理制度、开展安全风险研判、组织安全管理指导，全面筑牢厂区生产运营安全防线，保障垃圾焚烧厂区各项生产工作平稳合规有序开展。</w:t>
      </w:r>
    </w:p>
    <w:p w14:paraId="5387FCC5">
      <w:pPr>
        <w:pStyle w:val="9"/>
        <w:keepNext w:val="0"/>
        <w:keepLines w:val="0"/>
        <w:pageBreakBefore w:val="0"/>
        <w:widowControl/>
        <w:kinsoku/>
        <w:wordWrap/>
        <w:overflowPunct/>
        <w:topLinePunct w:val="0"/>
        <w:autoSpaceDE/>
        <w:autoSpaceDN/>
        <w:bidi w:val="0"/>
        <w:adjustRightInd/>
        <w:snapToGrid/>
        <w:ind w:firstLine="540" w:firstLineChars="200"/>
        <w:textAlignment w:val="baseline"/>
        <w:rPr>
          <w:rFonts w:hint="default" w:ascii="仿宋" w:hAnsi="仿宋" w:eastAsia="仿宋" w:cs="仿宋"/>
          <w:sz w:val="27"/>
          <w:szCs w:val="27"/>
          <w:highlight w:val="none"/>
          <w:lang w:val="en-US" w:eastAsia="zh-CN"/>
        </w:rPr>
      </w:pPr>
      <w:r>
        <w:rPr>
          <w:rFonts w:hint="eastAsia" w:ascii="仿宋" w:hAnsi="仿宋" w:eastAsia="仿宋" w:cs="仿宋"/>
          <w:sz w:val="27"/>
          <w:szCs w:val="27"/>
          <w:highlight w:val="none"/>
          <w:lang w:val="en-US" w:eastAsia="zh-CN"/>
        </w:rPr>
        <w:t>定期使用无人机进行厂区周边及高空区域的安全检查，记录安全问题与评估安全风险，并将安全检查成果与厂区全域常态化巡查排查成果整合形成厂区安全生产监管成果。</w:t>
      </w:r>
    </w:p>
    <w:p w14:paraId="7ECFC851">
      <w:pPr>
        <w:spacing w:line="440" w:lineRule="exact"/>
        <w:ind w:firstLine="540" w:firstLineChars="200"/>
        <w:rPr>
          <w:rFonts w:ascii="仿宋" w:hAnsi="仿宋" w:eastAsia="仿宋" w:cs="仿宋"/>
          <w:sz w:val="27"/>
          <w:szCs w:val="27"/>
          <w:highlight w:val="none"/>
        </w:rPr>
      </w:pPr>
      <w:r>
        <w:rPr>
          <w:rFonts w:hint="eastAsia" w:ascii="仿宋" w:hAnsi="仿宋" w:eastAsia="仿宋" w:cs="仿宋"/>
          <w:sz w:val="27"/>
          <w:szCs w:val="27"/>
          <w:highlight w:val="none"/>
        </w:rPr>
        <w:t>3.</w:t>
      </w:r>
      <w:r>
        <w:rPr>
          <w:rFonts w:hint="eastAsia" w:ascii="仿宋" w:hAnsi="仿宋" w:eastAsia="仿宋" w:cs="仿宋"/>
          <w:sz w:val="27"/>
          <w:szCs w:val="27"/>
          <w:highlight w:val="none"/>
          <w:lang w:val="en-US" w:eastAsia="zh-CN"/>
        </w:rPr>
        <w:t>3</w:t>
      </w:r>
      <w:r>
        <w:rPr>
          <w:rFonts w:hint="eastAsia" w:ascii="仿宋" w:hAnsi="仿宋" w:eastAsia="仿宋" w:cs="仿宋"/>
          <w:sz w:val="27"/>
          <w:szCs w:val="27"/>
          <w:highlight w:val="none"/>
        </w:rPr>
        <w:t>专家</w:t>
      </w:r>
      <w:r>
        <w:rPr>
          <w:rFonts w:hint="eastAsia" w:ascii="仿宋" w:hAnsi="仿宋" w:eastAsia="仿宋" w:cs="仿宋"/>
          <w:sz w:val="27"/>
          <w:szCs w:val="27"/>
          <w:highlight w:val="none"/>
          <w:lang w:val="en-US" w:eastAsia="zh-CN"/>
        </w:rPr>
        <w:t>评估指导</w:t>
      </w:r>
      <w:r>
        <w:rPr>
          <w:rFonts w:hint="eastAsia" w:ascii="仿宋" w:hAnsi="仿宋" w:eastAsia="仿宋" w:cs="仿宋"/>
          <w:sz w:val="27"/>
          <w:szCs w:val="27"/>
          <w:highlight w:val="none"/>
        </w:rPr>
        <w:t>服务</w:t>
      </w:r>
    </w:p>
    <w:p w14:paraId="0444BF58">
      <w:pPr>
        <w:spacing w:line="440" w:lineRule="exact"/>
        <w:ind w:firstLine="540" w:firstLineChars="200"/>
        <w:rPr>
          <w:rFonts w:hint="eastAsia" w:ascii="仿宋" w:hAnsi="仿宋" w:eastAsia="仿宋" w:cs="仿宋"/>
          <w:color w:val="auto"/>
          <w:sz w:val="27"/>
          <w:szCs w:val="27"/>
        </w:rPr>
      </w:pPr>
      <w:r>
        <w:rPr>
          <w:rFonts w:hint="eastAsia" w:ascii="仿宋" w:hAnsi="仿宋" w:eastAsia="仿宋" w:cs="仿宋"/>
          <w:sz w:val="27"/>
          <w:szCs w:val="27"/>
          <w:highlight w:val="none"/>
          <w:lang w:eastAsia="zh-CN"/>
        </w:rPr>
        <w:t>成交供应商</w:t>
      </w:r>
      <w:r>
        <w:rPr>
          <w:rFonts w:hint="eastAsia" w:ascii="仿宋" w:hAnsi="仿宋" w:eastAsia="仿宋" w:cs="仿宋"/>
          <w:sz w:val="27"/>
          <w:szCs w:val="27"/>
          <w:highlight w:val="none"/>
          <w:lang w:val="en-US" w:eastAsia="zh-CN"/>
        </w:rPr>
        <w:t>每年</w:t>
      </w:r>
      <w:r>
        <w:rPr>
          <w:rFonts w:hint="eastAsia" w:ascii="仿宋" w:hAnsi="仿宋" w:eastAsia="仿宋" w:cs="仿宋"/>
          <w:sz w:val="27"/>
          <w:szCs w:val="27"/>
          <w:highlight w:val="none"/>
        </w:rPr>
        <w:t>组织</w:t>
      </w:r>
      <w:bookmarkStart w:id="10" w:name="_Hlk108883570"/>
      <w:r>
        <w:rPr>
          <w:rFonts w:hint="eastAsia" w:ascii="仿宋" w:hAnsi="仿宋" w:eastAsia="仿宋" w:cs="仿宋"/>
          <w:sz w:val="27"/>
          <w:szCs w:val="27"/>
          <w:highlight w:val="none"/>
        </w:rPr>
        <w:t>由机械、焚烧炉、汽机、化水、热控、电气、环保安全</w:t>
      </w:r>
      <w:r>
        <w:rPr>
          <w:rFonts w:hint="eastAsia" w:ascii="仿宋" w:hAnsi="仿宋" w:eastAsia="仿宋" w:cs="仿宋"/>
          <w:color w:val="auto"/>
          <w:sz w:val="27"/>
          <w:szCs w:val="27"/>
          <w:highlight w:val="none"/>
        </w:rPr>
        <w:t>等具有生活垃圾</w:t>
      </w:r>
      <w:r>
        <w:rPr>
          <w:rFonts w:hint="eastAsia" w:ascii="仿宋" w:hAnsi="仿宋" w:eastAsia="仿宋" w:cs="仿宋"/>
          <w:color w:val="auto"/>
          <w:sz w:val="27"/>
          <w:szCs w:val="27"/>
        </w:rPr>
        <w:t>清洁焚烧发电厂丰富经验的专业人员</w:t>
      </w:r>
      <w:bookmarkEnd w:id="10"/>
      <w:r>
        <w:rPr>
          <w:rFonts w:hint="eastAsia" w:ascii="仿宋" w:hAnsi="仿宋" w:eastAsia="仿宋" w:cs="仿宋"/>
          <w:color w:val="auto"/>
          <w:sz w:val="27"/>
          <w:szCs w:val="27"/>
        </w:rPr>
        <w:t>组成综合专家组，对焚烧厂进行全面评估，</w:t>
      </w:r>
      <w:r>
        <w:rPr>
          <w:rFonts w:hint="eastAsia" w:ascii="仿宋" w:hAnsi="仿宋" w:eastAsia="仿宋" w:cs="仿宋"/>
          <w:color w:val="auto"/>
          <w:sz w:val="27"/>
          <w:szCs w:val="27"/>
          <w:lang w:val="en-US" w:eastAsia="zh-CN"/>
        </w:rPr>
        <w:t>出具专业评估报告；并根据采购人需要提供</w:t>
      </w:r>
      <w:r>
        <w:rPr>
          <w:rFonts w:hint="eastAsia" w:ascii="仿宋" w:hAnsi="仿宋" w:eastAsia="仿宋" w:cs="仿宋"/>
          <w:color w:val="auto"/>
          <w:sz w:val="27"/>
          <w:szCs w:val="27"/>
        </w:rPr>
        <w:t>对焚烧厂生产运营、维护保养、污染控制、安全卫生、信息公开等</w:t>
      </w:r>
      <w:r>
        <w:rPr>
          <w:rFonts w:hint="eastAsia" w:ascii="仿宋" w:hAnsi="仿宋" w:eastAsia="仿宋" w:cs="仿宋"/>
          <w:color w:val="auto"/>
          <w:sz w:val="27"/>
          <w:szCs w:val="27"/>
          <w:lang w:val="en-US" w:eastAsia="zh-CN"/>
        </w:rPr>
        <w:t>的</w:t>
      </w:r>
      <w:r>
        <w:rPr>
          <w:rFonts w:hint="eastAsia" w:ascii="仿宋" w:hAnsi="仿宋" w:eastAsia="仿宋" w:cs="仿宋"/>
          <w:color w:val="auto"/>
          <w:sz w:val="27"/>
          <w:szCs w:val="27"/>
        </w:rPr>
        <w:t>咨询</w:t>
      </w:r>
      <w:r>
        <w:rPr>
          <w:rFonts w:hint="eastAsia" w:ascii="仿宋" w:hAnsi="仿宋" w:eastAsia="仿宋" w:cs="仿宋"/>
          <w:color w:val="auto"/>
          <w:sz w:val="27"/>
          <w:szCs w:val="27"/>
          <w:lang w:val="en-US" w:eastAsia="zh-CN"/>
        </w:rPr>
        <w:t>指导</w:t>
      </w:r>
      <w:r>
        <w:rPr>
          <w:rFonts w:hint="eastAsia" w:ascii="仿宋" w:hAnsi="仿宋" w:eastAsia="仿宋" w:cs="仿宋"/>
          <w:color w:val="auto"/>
          <w:sz w:val="27"/>
          <w:szCs w:val="27"/>
        </w:rPr>
        <w:t>服务。</w:t>
      </w:r>
    </w:p>
    <w:p w14:paraId="2AE30738">
      <w:pPr>
        <w:spacing w:line="440" w:lineRule="exact"/>
        <w:ind w:firstLine="540" w:firstLineChars="200"/>
        <w:rPr>
          <w:rFonts w:ascii="仿宋" w:hAnsi="仿宋" w:eastAsia="仿宋" w:cs="仿宋"/>
          <w:color w:val="auto"/>
          <w:sz w:val="27"/>
          <w:szCs w:val="27"/>
          <w:highlight w:val="none"/>
        </w:rPr>
      </w:pPr>
      <w:r>
        <w:rPr>
          <w:rFonts w:hint="eastAsia" w:ascii="仿宋" w:hAnsi="仿宋" w:eastAsia="仿宋" w:cs="仿宋"/>
          <w:color w:val="auto"/>
          <w:sz w:val="27"/>
          <w:szCs w:val="27"/>
          <w:highlight w:val="none"/>
        </w:rPr>
        <w:t>3.</w:t>
      </w:r>
      <w:r>
        <w:rPr>
          <w:rFonts w:hint="eastAsia" w:ascii="仿宋" w:hAnsi="仿宋" w:eastAsia="仿宋" w:cs="仿宋"/>
          <w:color w:val="auto"/>
          <w:sz w:val="27"/>
          <w:szCs w:val="27"/>
          <w:highlight w:val="none"/>
          <w:lang w:val="en-US" w:eastAsia="zh-CN"/>
        </w:rPr>
        <w:t>4垃圾计量实时监管</w:t>
      </w:r>
      <w:r>
        <w:rPr>
          <w:rFonts w:hint="eastAsia" w:ascii="仿宋" w:hAnsi="仿宋" w:eastAsia="仿宋" w:cs="仿宋"/>
          <w:color w:val="auto"/>
          <w:sz w:val="27"/>
          <w:szCs w:val="27"/>
          <w:highlight w:val="none"/>
        </w:rPr>
        <w:t>服务</w:t>
      </w:r>
    </w:p>
    <w:p w14:paraId="6B53D999">
      <w:pPr>
        <w:spacing w:line="440" w:lineRule="exact"/>
        <w:ind w:firstLine="540" w:firstLineChars="200"/>
        <w:rPr>
          <w:rFonts w:hint="eastAsia" w:ascii="仿宋" w:hAnsi="仿宋" w:eastAsia="仿宋" w:cs="仿宋"/>
          <w:color w:val="auto"/>
          <w:sz w:val="27"/>
          <w:szCs w:val="27"/>
          <w:highlight w:val="none"/>
        </w:rPr>
      </w:pPr>
      <w:r>
        <w:rPr>
          <w:rFonts w:hint="eastAsia" w:ascii="仿宋" w:hAnsi="仿宋" w:eastAsia="仿宋" w:cs="仿宋"/>
          <w:color w:val="auto"/>
          <w:sz w:val="27"/>
          <w:szCs w:val="27"/>
          <w:highlight w:val="none"/>
          <w:lang w:eastAsia="zh-CN"/>
        </w:rPr>
        <w:t>成交供应商</w:t>
      </w:r>
      <w:r>
        <w:rPr>
          <w:rFonts w:hint="eastAsia" w:ascii="仿宋" w:hAnsi="仿宋" w:eastAsia="仿宋" w:cs="仿宋"/>
          <w:color w:val="auto"/>
          <w:sz w:val="27"/>
          <w:szCs w:val="27"/>
          <w:highlight w:val="none"/>
        </w:rPr>
        <w:t>搭建完善的垃圾计量实时监管体系，依托厂区现有地磅称重设备、数据采集终端及信息化传输渠道，实现入厂生活垃圾车辆信息、称重数据、运输车次、垃圾来源等全维度数据实时采集、自动汇总与线上同步管控。同步做好计量数据台账建立、异常数据甄别核对、称重流程规范监管等工作，严格把控垃圾入厂计量全过程，确保计量数据真实准确、可查可溯，并按照采购人管理要求，定期推送计量统计报表，协助采购人完成垃圾量核算、成本管控、台账归档及日常计量监督管理相关工作。</w:t>
      </w:r>
    </w:p>
    <w:p w14:paraId="4EE7E935">
      <w:pPr>
        <w:spacing w:line="440" w:lineRule="exact"/>
        <w:ind w:firstLine="540" w:firstLineChars="200"/>
        <w:rPr>
          <w:rFonts w:hint="default" w:ascii="仿宋" w:hAnsi="仿宋" w:eastAsia="仿宋" w:cs="仿宋"/>
          <w:color w:val="auto"/>
          <w:sz w:val="27"/>
          <w:szCs w:val="27"/>
          <w:highlight w:val="none"/>
          <w:lang w:val="en-US" w:eastAsia="zh-CN"/>
        </w:rPr>
      </w:pPr>
      <w:r>
        <w:rPr>
          <w:rFonts w:hint="eastAsia" w:ascii="仿宋" w:hAnsi="仿宋" w:eastAsia="仿宋" w:cs="仿宋"/>
          <w:color w:val="auto"/>
          <w:sz w:val="27"/>
          <w:szCs w:val="27"/>
          <w:highlight w:val="none"/>
        </w:rPr>
        <w:t>3.</w:t>
      </w:r>
      <w:r>
        <w:rPr>
          <w:rFonts w:hint="eastAsia" w:ascii="仿宋" w:hAnsi="仿宋" w:eastAsia="仿宋" w:cs="仿宋"/>
          <w:color w:val="auto"/>
          <w:sz w:val="27"/>
          <w:szCs w:val="27"/>
          <w:highlight w:val="none"/>
          <w:lang w:val="en-US" w:eastAsia="zh-CN"/>
        </w:rPr>
        <w:t>5信息化监管服务</w:t>
      </w:r>
    </w:p>
    <w:p w14:paraId="5A3660B6">
      <w:pPr>
        <w:pStyle w:val="9"/>
        <w:keepNext w:val="0"/>
        <w:keepLines w:val="0"/>
        <w:pageBreakBefore w:val="0"/>
        <w:widowControl/>
        <w:kinsoku/>
        <w:wordWrap/>
        <w:overflowPunct/>
        <w:topLinePunct w:val="0"/>
        <w:autoSpaceDE/>
        <w:autoSpaceDN/>
        <w:bidi w:val="0"/>
        <w:adjustRightInd/>
        <w:snapToGrid/>
        <w:ind w:firstLine="540" w:firstLineChars="200"/>
        <w:textAlignment w:val="baseline"/>
        <w:rPr>
          <w:rFonts w:hint="eastAsia" w:ascii="仿宋" w:hAnsi="仿宋" w:eastAsia="仿宋" w:cs="仿宋"/>
          <w:color w:val="auto"/>
          <w:kern w:val="2"/>
          <w:sz w:val="27"/>
          <w:szCs w:val="27"/>
          <w:highlight w:val="none"/>
          <w:lang w:val="en-US" w:eastAsia="zh-CN" w:bidi="ar-SA"/>
        </w:rPr>
      </w:pPr>
      <w:r>
        <w:rPr>
          <w:rFonts w:hint="eastAsia" w:ascii="仿宋" w:hAnsi="仿宋" w:eastAsia="仿宋" w:cs="仿宋"/>
          <w:color w:val="auto"/>
          <w:kern w:val="2"/>
          <w:sz w:val="27"/>
          <w:szCs w:val="27"/>
          <w:highlight w:val="none"/>
          <w:lang w:val="en-US" w:eastAsia="zh-CN" w:bidi="ar-SA"/>
        </w:rPr>
        <w:t>成交供应商应应用信息化监管工具对监管服务过程数据进行采集、存储、统计、分析，保证全过程监管服务的流程规范、结论可靠、数据可溯源。信息化监管工具需包含监管考核标准配置、监管任务派发、监管数据记录、监管记录查询、数据统计分析等功能</w:t>
      </w:r>
    </w:p>
    <w:p w14:paraId="01F1E6A3">
      <w:pPr>
        <w:pStyle w:val="9"/>
        <w:keepNext w:val="0"/>
        <w:keepLines w:val="0"/>
        <w:pageBreakBefore w:val="0"/>
        <w:widowControl/>
        <w:kinsoku/>
        <w:wordWrap/>
        <w:overflowPunct/>
        <w:topLinePunct w:val="0"/>
        <w:autoSpaceDE/>
        <w:autoSpaceDN/>
        <w:bidi w:val="0"/>
        <w:adjustRightInd/>
        <w:snapToGrid/>
        <w:ind w:firstLine="540" w:firstLineChars="200"/>
        <w:textAlignment w:val="baseline"/>
        <w:rPr>
          <w:rFonts w:hint="eastAsia" w:ascii="仿宋" w:hAnsi="仿宋" w:eastAsia="仿宋" w:cs="仿宋"/>
          <w:color w:val="auto"/>
          <w:kern w:val="2"/>
          <w:sz w:val="27"/>
          <w:szCs w:val="27"/>
          <w:highlight w:val="none"/>
          <w:lang w:val="en-US" w:eastAsia="zh-CN" w:bidi="ar-SA"/>
        </w:rPr>
      </w:pPr>
      <w:r>
        <w:rPr>
          <w:rFonts w:hint="eastAsia" w:ascii="仿宋" w:hAnsi="仿宋" w:eastAsia="仿宋" w:cs="仿宋"/>
          <w:color w:val="auto"/>
          <w:kern w:val="2"/>
          <w:sz w:val="27"/>
          <w:szCs w:val="27"/>
          <w:highlight w:val="none"/>
          <w:lang w:val="en-US" w:eastAsia="zh-CN" w:bidi="ar-SA"/>
        </w:rPr>
        <w:t>供应商应应用AI技术创新监管模式，优先在地磅、卸料大厅、危废储存间等关键车间部署应用，需能够实现异常场景的实时监测、智能识别取证与报警提示，并保存报警记录实现过程留痕。</w:t>
      </w:r>
    </w:p>
    <w:p w14:paraId="2E87676E">
      <w:pPr>
        <w:numPr>
          <w:ilvl w:val="2"/>
          <w:numId w:val="0"/>
        </w:numPr>
        <w:tabs>
          <w:tab w:val="left" w:pos="0"/>
          <w:tab w:val="left" w:pos="142"/>
        </w:tabs>
        <w:spacing w:before="0" w:after="0" w:line="440" w:lineRule="exact"/>
        <w:ind w:firstLine="540" w:firstLineChars="200"/>
        <w:outlineLvl w:val="9"/>
        <w:rPr>
          <w:rFonts w:hint="default" w:ascii="仿宋" w:hAnsi="仿宋" w:eastAsia="仿宋" w:cs="仿宋"/>
          <w:b w:val="0"/>
          <w:bCs/>
          <w:color w:val="auto"/>
          <w:sz w:val="27"/>
          <w:szCs w:val="27"/>
          <w:u w:val="none"/>
          <w:lang w:val="en-US" w:eastAsia="zh-CN"/>
        </w:rPr>
      </w:pPr>
      <w:r>
        <w:rPr>
          <w:rFonts w:hint="eastAsia" w:ascii="仿宋" w:hAnsi="仿宋" w:eastAsia="仿宋" w:cs="仿宋"/>
          <w:b w:val="0"/>
          <w:bCs/>
          <w:color w:val="auto"/>
          <w:sz w:val="27"/>
          <w:szCs w:val="27"/>
          <w:u w:val="none"/>
        </w:rPr>
        <w:t>3.</w:t>
      </w:r>
      <w:r>
        <w:rPr>
          <w:rFonts w:hint="eastAsia" w:ascii="仿宋" w:hAnsi="仿宋" w:eastAsia="仿宋" w:cs="仿宋"/>
          <w:b w:val="0"/>
          <w:bCs/>
          <w:color w:val="auto"/>
          <w:sz w:val="27"/>
          <w:szCs w:val="27"/>
          <w:u w:val="none"/>
          <w:lang w:val="en-US" w:eastAsia="zh-CN"/>
        </w:rPr>
        <w:t>6监管工作成果</w:t>
      </w:r>
    </w:p>
    <w:p w14:paraId="470017D1">
      <w:pPr>
        <w:pStyle w:val="9"/>
        <w:keepNext w:val="0"/>
        <w:keepLines w:val="0"/>
        <w:pageBreakBefore w:val="0"/>
        <w:widowControl/>
        <w:kinsoku/>
        <w:wordWrap/>
        <w:overflowPunct/>
        <w:topLinePunct w:val="0"/>
        <w:autoSpaceDE/>
        <w:autoSpaceDN/>
        <w:bidi w:val="0"/>
        <w:adjustRightInd/>
        <w:snapToGrid/>
        <w:ind w:firstLine="540" w:firstLineChars="200"/>
        <w:textAlignment w:val="baseline"/>
      </w:pPr>
      <w:r>
        <w:rPr>
          <w:rFonts w:hint="eastAsia" w:ascii="仿宋" w:hAnsi="仿宋" w:eastAsia="仿宋" w:cs="仿宋"/>
          <w:sz w:val="27"/>
          <w:szCs w:val="27"/>
          <w:lang w:val="en-US" w:eastAsia="zh-CN"/>
        </w:rPr>
        <w:t>成交供应商</w:t>
      </w:r>
      <w:r>
        <w:rPr>
          <w:rFonts w:hint="eastAsia" w:ascii="仿宋" w:hAnsi="仿宋" w:eastAsia="仿宋" w:cs="仿宋"/>
          <w:sz w:val="27"/>
          <w:szCs w:val="27"/>
        </w:rPr>
        <w:t>根据监管工作开展情况，按时编制并报送监管周报、月报、年报，并配合行业主管部门对运营方进行月度、年度综合考核评价，为垃圾补贴费用结算提供依据。</w:t>
      </w:r>
    </w:p>
    <w:bookmarkEnd w:id="8"/>
    <w:p w14:paraId="05EC296A">
      <w:pPr>
        <w:numPr>
          <w:ilvl w:val="0"/>
          <w:numId w:val="0"/>
        </w:numPr>
        <w:bidi w:val="0"/>
        <w:ind w:left="630" w:leftChars="0"/>
        <w:rPr>
          <w:rFonts w:hint="eastAsia" w:ascii="仿宋" w:hAnsi="仿宋" w:eastAsia="仿宋" w:cs="仿宋"/>
          <w:color w:val="auto"/>
          <w:sz w:val="27"/>
          <w:szCs w:val="27"/>
          <w:lang w:val="en-US" w:eastAsia="zh-CN"/>
        </w:rPr>
      </w:pPr>
      <w:r>
        <w:rPr>
          <w:rFonts w:hint="eastAsia" w:ascii="仿宋" w:hAnsi="仿宋" w:eastAsia="仿宋" w:cs="仿宋"/>
          <w:color w:val="auto"/>
          <w:sz w:val="27"/>
          <w:szCs w:val="27"/>
          <w:lang w:val="en-US" w:eastAsia="zh-CN"/>
        </w:rPr>
        <w:t>（三）应急监测</w:t>
      </w:r>
    </w:p>
    <w:p w14:paraId="30A481DA">
      <w:pPr>
        <w:numPr>
          <w:ilvl w:val="0"/>
          <w:numId w:val="0"/>
        </w:numPr>
        <w:bidi w:val="0"/>
        <w:ind w:firstLine="540" w:firstLineChars="200"/>
        <w:rPr>
          <w:rFonts w:hint="default" w:ascii="仿宋" w:hAnsi="仿宋" w:eastAsia="仿宋" w:cs="仿宋"/>
          <w:snapToGrid w:val="0"/>
          <w:color w:val="000000"/>
          <w:sz w:val="27"/>
          <w:szCs w:val="27"/>
          <w:lang w:val="en-US" w:eastAsia="zh-CN" w:bidi="ar-SA"/>
        </w:rPr>
      </w:pPr>
      <w:r>
        <w:rPr>
          <w:rFonts w:hint="eastAsia" w:ascii="仿宋" w:hAnsi="仿宋" w:eastAsia="仿宋" w:cs="仿宋"/>
          <w:snapToGrid w:val="0"/>
          <w:color w:val="000000"/>
          <w:sz w:val="27"/>
          <w:szCs w:val="27"/>
          <w:lang w:val="en-US" w:eastAsia="zh-CN" w:bidi="ar-SA"/>
        </w:rPr>
        <w:t>成交供应商</w:t>
      </w:r>
      <w:r>
        <w:rPr>
          <w:rFonts w:hint="eastAsia" w:ascii="仿宋" w:hAnsi="仿宋" w:eastAsia="仿宋" w:cs="仿宋"/>
          <w:snapToGrid w:val="0"/>
          <w:color w:val="000000"/>
          <w:sz w:val="27"/>
          <w:szCs w:val="27"/>
          <w:lang w:val="en-US" w:eastAsia="en-US" w:bidi="ar-SA"/>
        </w:rPr>
        <w:t>在接到应急监测任务起，20分钟内给出响应，告知委托方对此次应急监测的安排，4小时内到达现场开展现场工作。由项目负责人亲自协调指挥，调动能够调动的一切资源配合</w:t>
      </w:r>
      <w:r>
        <w:rPr>
          <w:rFonts w:hint="eastAsia" w:ascii="仿宋" w:hAnsi="仿宋" w:eastAsia="仿宋" w:cs="仿宋"/>
          <w:snapToGrid w:val="0"/>
          <w:color w:val="000000"/>
          <w:sz w:val="27"/>
          <w:szCs w:val="27"/>
          <w:lang w:val="en-US" w:eastAsia="zh-CN" w:bidi="ar-SA"/>
        </w:rPr>
        <w:t>采购人</w:t>
      </w:r>
      <w:r>
        <w:rPr>
          <w:rFonts w:hint="eastAsia" w:ascii="仿宋" w:hAnsi="仿宋" w:eastAsia="仿宋" w:cs="仿宋"/>
          <w:snapToGrid w:val="0"/>
          <w:color w:val="000000"/>
          <w:sz w:val="27"/>
          <w:szCs w:val="27"/>
          <w:lang w:val="en-US" w:eastAsia="en-US" w:bidi="ar-SA"/>
        </w:rPr>
        <w:t>的工作，尽可能的满足</w:t>
      </w:r>
      <w:r>
        <w:rPr>
          <w:rFonts w:hint="eastAsia" w:ascii="仿宋" w:hAnsi="仿宋" w:eastAsia="仿宋" w:cs="仿宋"/>
          <w:snapToGrid w:val="0"/>
          <w:color w:val="000000"/>
          <w:sz w:val="27"/>
          <w:szCs w:val="27"/>
          <w:lang w:val="en-US" w:eastAsia="zh-CN" w:bidi="ar-SA"/>
        </w:rPr>
        <w:t>采购人</w:t>
      </w:r>
      <w:r>
        <w:rPr>
          <w:rFonts w:hint="eastAsia" w:ascii="仿宋" w:hAnsi="仿宋" w:eastAsia="仿宋" w:cs="仿宋"/>
          <w:snapToGrid w:val="0"/>
          <w:color w:val="000000"/>
          <w:sz w:val="27"/>
          <w:szCs w:val="27"/>
          <w:lang w:val="en-US" w:eastAsia="en-US" w:bidi="ar-SA"/>
        </w:rPr>
        <w:t>的服务需求。如遇环保、安全事件等紧急情况，</w:t>
      </w:r>
      <w:r>
        <w:rPr>
          <w:rFonts w:hint="eastAsia" w:ascii="仿宋" w:hAnsi="仿宋" w:eastAsia="仿宋" w:cs="仿宋"/>
          <w:snapToGrid w:val="0"/>
          <w:color w:val="000000"/>
          <w:sz w:val="27"/>
          <w:szCs w:val="27"/>
          <w:lang w:val="en-US" w:eastAsia="zh-CN" w:bidi="ar-SA"/>
        </w:rPr>
        <w:t>成交供应商</w:t>
      </w:r>
      <w:r>
        <w:rPr>
          <w:rFonts w:hint="eastAsia" w:ascii="仿宋" w:hAnsi="仿宋" w:eastAsia="仿宋" w:cs="仿宋"/>
          <w:snapToGrid w:val="0"/>
          <w:color w:val="000000"/>
          <w:sz w:val="27"/>
          <w:szCs w:val="27"/>
          <w:lang w:val="en-US" w:eastAsia="en-US" w:bidi="ar-SA"/>
        </w:rPr>
        <w:t>安排检测等相关工作，常规项目5个工作日内出具正式报告，BOD5 及细菌类项目7个工作日内出具正式检测报告，飞灰、炉渣8个工作日内出具正式检测报告，土壤12个工作日出具检测报告，二噁英10个工作日出具检测报告，并于1个月内对事故（事件）的处理结果提供完整的分析报告、监测报告及相关资料。</w:t>
      </w:r>
    </w:p>
    <w:p w14:paraId="4422AFC5">
      <w:pPr>
        <w:bidi w:val="0"/>
        <w:ind w:firstLine="540" w:firstLineChars="200"/>
        <w:rPr>
          <w:rFonts w:hint="eastAsia"/>
          <w:b/>
          <w:bCs/>
          <w:sz w:val="27"/>
          <w:szCs w:val="27"/>
        </w:rPr>
      </w:pPr>
      <w:r>
        <w:rPr>
          <w:rFonts w:hint="eastAsia"/>
          <w:b/>
          <w:bCs/>
          <w:sz w:val="27"/>
          <w:szCs w:val="27"/>
        </w:rPr>
        <w:t>四、监管服务期限</w:t>
      </w:r>
    </w:p>
    <w:p w14:paraId="01BDE49F">
      <w:pPr>
        <w:spacing w:line="440" w:lineRule="exact"/>
        <w:ind w:firstLine="271" w:firstLineChars="100"/>
        <w:jc w:val="left"/>
        <w:rPr>
          <w:rFonts w:ascii="仿宋" w:hAnsi="仿宋" w:eastAsia="仿宋" w:cs="仿宋"/>
          <w:sz w:val="27"/>
          <w:szCs w:val="27"/>
        </w:rPr>
      </w:pPr>
      <w:r>
        <w:rPr>
          <w:rFonts w:hint="eastAsia" w:ascii="仿宋" w:hAnsi="仿宋" w:eastAsia="仿宋" w:cs="仿宋"/>
          <w:b/>
          <w:bCs/>
          <w:sz w:val="27"/>
          <w:szCs w:val="27"/>
        </w:rPr>
        <w:t xml:space="preserve"> </w:t>
      </w:r>
      <w:r>
        <w:rPr>
          <w:rFonts w:hint="eastAsia" w:ascii="仿宋" w:hAnsi="仿宋" w:eastAsia="仿宋" w:cs="仿宋"/>
          <w:bCs/>
          <w:sz w:val="27"/>
          <w:szCs w:val="27"/>
        </w:rPr>
        <w:t>自合同签订且相关人员入场起计</w:t>
      </w:r>
      <w:r>
        <w:rPr>
          <w:rFonts w:hint="eastAsia" w:ascii="仿宋" w:hAnsi="仿宋" w:eastAsia="仿宋" w:cs="仿宋"/>
          <w:bCs/>
          <w:sz w:val="27"/>
          <w:szCs w:val="27"/>
          <w:lang w:eastAsia="zh-CN"/>
        </w:rPr>
        <w:t>叁</w:t>
      </w:r>
      <w:r>
        <w:rPr>
          <w:rFonts w:hint="eastAsia" w:ascii="仿宋" w:hAnsi="仿宋" w:eastAsia="仿宋" w:cs="仿宋"/>
          <w:bCs/>
          <w:sz w:val="27"/>
          <w:szCs w:val="27"/>
        </w:rPr>
        <w:t>年</w:t>
      </w:r>
      <w:r>
        <w:rPr>
          <w:rFonts w:hint="eastAsia" w:ascii="仿宋" w:hAnsi="仿宋" w:eastAsia="仿宋" w:cs="仿宋"/>
          <w:bCs/>
          <w:color w:val="auto"/>
          <w:sz w:val="27"/>
          <w:szCs w:val="27"/>
          <w:lang w:eastAsia="zh-CN"/>
        </w:rPr>
        <w:t>（根据考核结果，合同一年一签）</w:t>
      </w:r>
      <w:r>
        <w:rPr>
          <w:rFonts w:hint="eastAsia" w:ascii="仿宋" w:hAnsi="仿宋" w:eastAsia="仿宋" w:cs="仿宋"/>
          <w:bCs/>
          <w:sz w:val="27"/>
          <w:szCs w:val="27"/>
        </w:rPr>
        <w:t>。</w:t>
      </w:r>
    </w:p>
    <w:p w14:paraId="6CF8693F">
      <w:pPr>
        <w:bidi w:val="0"/>
        <w:rPr>
          <w:rFonts w:hint="eastAsia"/>
          <w:b/>
          <w:bCs/>
          <w:sz w:val="27"/>
          <w:szCs w:val="27"/>
        </w:rPr>
      </w:pPr>
      <w:r>
        <w:rPr>
          <w:rFonts w:hint="eastAsia"/>
          <w:b/>
          <w:bCs/>
          <w:sz w:val="27"/>
          <w:szCs w:val="27"/>
        </w:rPr>
        <w:t>五、监管服务要求</w:t>
      </w:r>
    </w:p>
    <w:p w14:paraId="10EA8CA7">
      <w:pPr>
        <w:spacing w:line="440" w:lineRule="exact"/>
        <w:ind w:firstLine="542" w:firstLineChars="200"/>
        <w:rPr>
          <w:rFonts w:ascii="仿宋" w:hAnsi="仿宋" w:eastAsia="仿宋" w:cs="仿宋"/>
          <w:b/>
          <w:bCs/>
          <w:sz w:val="27"/>
          <w:szCs w:val="27"/>
        </w:rPr>
      </w:pPr>
      <w:bookmarkStart w:id="11" w:name="_Hlk108902580"/>
      <w:r>
        <w:rPr>
          <w:rFonts w:hint="eastAsia" w:ascii="仿宋" w:hAnsi="仿宋" w:eastAsia="仿宋" w:cs="仿宋"/>
          <w:b/>
          <w:bCs/>
          <w:sz w:val="27"/>
          <w:szCs w:val="27"/>
        </w:rPr>
        <w:t>5.1 总体要求</w:t>
      </w:r>
    </w:p>
    <w:p w14:paraId="1122A954">
      <w:pPr>
        <w:spacing w:line="440" w:lineRule="exact"/>
        <w:ind w:firstLine="540" w:firstLineChars="200"/>
        <w:rPr>
          <w:rFonts w:ascii="仿宋" w:hAnsi="仿宋" w:eastAsia="仿宋" w:cs="仿宋"/>
          <w:sz w:val="27"/>
          <w:szCs w:val="27"/>
        </w:rPr>
      </w:pPr>
      <w:r>
        <w:rPr>
          <w:rFonts w:hint="eastAsia" w:ascii="仿宋" w:hAnsi="仿宋" w:eastAsia="仿宋" w:cs="仿宋"/>
          <w:sz w:val="27"/>
          <w:szCs w:val="27"/>
        </w:rPr>
        <w:t>1.</w:t>
      </w:r>
      <w:r>
        <w:rPr>
          <w:rFonts w:hint="eastAsia" w:ascii="仿宋" w:hAnsi="仿宋" w:eastAsia="仿宋" w:cs="仿宋"/>
          <w:sz w:val="27"/>
          <w:szCs w:val="27"/>
          <w:lang w:eastAsia="zh-CN"/>
        </w:rPr>
        <w:t>成交供应商</w:t>
      </w:r>
      <w:r>
        <w:rPr>
          <w:rFonts w:hint="eastAsia" w:ascii="仿宋" w:hAnsi="仿宋" w:eastAsia="仿宋" w:cs="仿宋"/>
          <w:sz w:val="27"/>
          <w:szCs w:val="27"/>
        </w:rPr>
        <w:t>项目工作人员岗位配置、专业齐全，监管岗位设置及其所需专业要求满足 CJJ/T212-2015中规定。</w:t>
      </w:r>
    </w:p>
    <w:p w14:paraId="79C6BA01">
      <w:pPr>
        <w:spacing w:line="440" w:lineRule="exact"/>
        <w:ind w:firstLine="540" w:firstLineChars="200"/>
        <w:rPr>
          <w:rFonts w:ascii="仿宋" w:hAnsi="仿宋" w:eastAsia="仿宋" w:cs="仿宋"/>
          <w:sz w:val="27"/>
          <w:szCs w:val="27"/>
        </w:rPr>
      </w:pPr>
      <w:r>
        <w:rPr>
          <w:rFonts w:hint="eastAsia" w:ascii="仿宋" w:hAnsi="仿宋" w:eastAsia="仿宋" w:cs="仿宋"/>
          <w:sz w:val="27"/>
          <w:szCs w:val="27"/>
        </w:rPr>
        <w:t>2.</w:t>
      </w:r>
      <w:r>
        <w:rPr>
          <w:rFonts w:hint="eastAsia" w:ascii="仿宋" w:hAnsi="仿宋" w:eastAsia="仿宋" w:cs="仿宋"/>
          <w:sz w:val="27"/>
          <w:szCs w:val="27"/>
          <w:lang w:eastAsia="zh-CN"/>
        </w:rPr>
        <w:t>成交供应商</w:t>
      </w:r>
      <w:r>
        <w:rPr>
          <w:rFonts w:hint="eastAsia" w:ascii="仿宋" w:hAnsi="仿宋" w:eastAsia="仿宋" w:cs="仿宋"/>
          <w:sz w:val="27"/>
          <w:szCs w:val="27"/>
        </w:rPr>
        <w:t>必须遵守劳动法，依法规范用工，保障职工合法权益，全员签订劳动合同，加班费用支付按政策法规规定执行。如因</w:t>
      </w:r>
      <w:r>
        <w:rPr>
          <w:rFonts w:hint="eastAsia" w:ascii="仿宋" w:hAnsi="仿宋" w:eastAsia="仿宋" w:cs="仿宋"/>
          <w:sz w:val="27"/>
          <w:szCs w:val="27"/>
          <w:lang w:eastAsia="zh-CN"/>
        </w:rPr>
        <w:t>成交供应商</w:t>
      </w:r>
      <w:r>
        <w:rPr>
          <w:rFonts w:hint="eastAsia" w:ascii="仿宋" w:hAnsi="仿宋" w:eastAsia="仿宋" w:cs="仿宋"/>
          <w:sz w:val="27"/>
          <w:szCs w:val="27"/>
        </w:rPr>
        <w:t>与其员工的劳动争议引起履行本合同的纠纷或牵连</w:t>
      </w:r>
      <w:r>
        <w:rPr>
          <w:rFonts w:hint="eastAsia" w:ascii="仿宋" w:hAnsi="仿宋" w:eastAsia="仿宋" w:cs="仿宋"/>
          <w:sz w:val="27"/>
          <w:szCs w:val="27"/>
          <w:lang w:eastAsia="zh-CN"/>
        </w:rPr>
        <w:t>采购人</w:t>
      </w:r>
      <w:r>
        <w:rPr>
          <w:rFonts w:hint="eastAsia" w:ascii="仿宋" w:hAnsi="仿宋" w:eastAsia="仿宋" w:cs="仿宋"/>
          <w:sz w:val="27"/>
          <w:szCs w:val="27"/>
        </w:rPr>
        <w:t>利益，全部费用及损失（含律师代理费）由</w:t>
      </w:r>
      <w:r>
        <w:rPr>
          <w:rFonts w:hint="eastAsia" w:ascii="仿宋" w:hAnsi="仿宋" w:eastAsia="仿宋" w:cs="仿宋"/>
          <w:sz w:val="27"/>
          <w:szCs w:val="27"/>
          <w:lang w:eastAsia="zh-CN"/>
        </w:rPr>
        <w:t>成交供应商</w:t>
      </w:r>
      <w:r>
        <w:rPr>
          <w:rFonts w:hint="eastAsia" w:ascii="仿宋" w:hAnsi="仿宋" w:eastAsia="仿宋" w:cs="仿宋"/>
          <w:sz w:val="27"/>
          <w:szCs w:val="27"/>
        </w:rPr>
        <w:t>承担。</w:t>
      </w:r>
    </w:p>
    <w:p w14:paraId="57DAA4EF">
      <w:pPr>
        <w:spacing w:line="440" w:lineRule="exact"/>
        <w:ind w:firstLine="542" w:firstLineChars="200"/>
        <w:rPr>
          <w:rFonts w:ascii="仿宋" w:hAnsi="仿宋" w:eastAsia="仿宋" w:cs="仿宋"/>
          <w:b/>
          <w:bCs/>
          <w:sz w:val="27"/>
          <w:szCs w:val="27"/>
        </w:rPr>
      </w:pPr>
      <w:r>
        <w:rPr>
          <w:rFonts w:hint="eastAsia" w:ascii="仿宋" w:hAnsi="仿宋" w:eastAsia="仿宋" w:cs="仿宋"/>
          <w:b/>
          <w:bCs/>
          <w:sz w:val="27"/>
          <w:szCs w:val="27"/>
        </w:rPr>
        <w:t>5.2 管理要求</w:t>
      </w:r>
    </w:p>
    <w:p w14:paraId="79F6464D">
      <w:pPr>
        <w:spacing w:line="440" w:lineRule="exact"/>
        <w:ind w:firstLine="540" w:firstLineChars="200"/>
        <w:rPr>
          <w:rFonts w:ascii="仿宋" w:hAnsi="仿宋" w:eastAsia="仿宋" w:cs="仿宋"/>
          <w:sz w:val="27"/>
          <w:szCs w:val="27"/>
        </w:rPr>
      </w:pPr>
      <w:r>
        <w:rPr>
          <w:rFonts w:hint="eastAsia" w:ascii="仿宋" w:hAnsi="仿宋" w:eastAsia="仿宋" w:cs="仿宋"/>
          <w:sz w:val="27"/>
          <w:szCs w:val="27"/>
        </w:rPr>
        <w:t>1.</w:t>
      </w:r>
      <w:r>
        <w:rPr>
          <w:rFonts w:hint="eastAsia" w:ascii="仿宋" w:hAnsi="仿宋" w:eastAsia="仿宋" w:cs="仿宋"/>
          <w:sz w:val="27"/>
          <w:szCs w:val="27"/>
          <w:lang w:eastAsia="zh-CN"/>
        </w:rPr>
        <w:t>成交供应商</w:t>
      </w:r>
      <w:r>
        <w:rPr>
          <w:rFonts w:hint="eastAsia" w:ascii="仿宋" w:hAnsi="仿宋" w:eastAsia="仿宋" w:cs="仿宋"/>
          <w:sz w:val="27"/>
          <w:szCs w:val="27"/>
        </w:rPr>
        <w:t>必须服从</w:t>
      </w:r>
      <w:r>
        <w:rPr>
          <w:rFonts w:hint="eastAsia" w:ascii="仿宋" w:hAnsi="仿宋" w:eastAsia="仿宋" w:cs="仿宋"/>
          <w:sz w:val="27"/>
          <w:szCs w:val="27"/>
          <w:lang w:eastAsia="zh-CN"/>
        </w:rPr>
        <w:t>采购人</w:t>
      </w:r>
      <w:r>
        <w:rPr>
          <w:rFonts w:hint="eastAsia" w:ascii="仿宋" w:hAnsi="仿宋" w:eastAsia="仿宋" w:cs="仿宋"/>
          <w:sz w:val="27"/>
          <w:szCs w:val="27"/>
        </w:rPr>
        <w:t>的管理，保证有监管人员全天候在岗。</w:t>
      </w:r>
    </w:p>
    <w:p w14:paraId="77F4043C">
      <w:pPr>
        <w:spacing w:line="440" w:lineRule="exact"/>
        <w:ind w:firstLine="540" w:firstLineChars="200"/>
        <w:rPr>
          <w:rFonts w:ascii="仿宋" w:hAnsi="仿宋" w:eastAsia="仿宋" w:cs="仿宋"/>
          <w:sz w:val="27"/>
          <w:szCs w:val="27"/>
        </w:rPr>
      </w:pPr>
      <w:r>
        <w:rPr>
          <w:rFonts w:hint="eastAsia" w:ascii="仿宋" w:hAnsi="仿宋" w:eastAsia="仿宋" w:cs="仿宋"/>
          <w:sz w:val="27"/>
          <w:szCs w:val="27"/>
        </w:rPr>
        <w:t>2.</w:t>
      </w:r>
      <w:r>
        <w:rPr>
          <w:rFonts w:hint="eastAsia" w:ascii="仿宋" w:hAnsi="仿宋" w:eastAsia="仿宋" w:cs="仿宋"/>
          <w:sz w:val="27"/>
          <w:szCs w:val="27"/>
          <w:lang w:eastAsia="zh-CN"/>
        </w:rPr>
        <w:t>成交供应商</w:t>
      </w:r>
      <w:r>
        <w:rPr>
          <w:rFonts w:hint="eastAsia" w:ascii="仿宋" w:hAnsi="仿宋" w:eastAsia="仿宋" w:cs="仿宋"/>
          <w:sz w:val="27"/>
          <w:szCs w:val="27"/>
        </w:rPr>
        <w:t>应建立健全监管项目组的内部管理、纪律安全等制度，做好人员的安全教育和技能培训，购买意外伤害险等保险。在服务期间发生的一切安全事故责任均由</w:t>
      </w:r>
      <w:r>
        <w:rPr>
          <w:rFonts w:hint="eastAsia" w:ascii="仿宋" w:hAnsi="仿宋" w:eastAsia="仿宋" w:cs="仿宋"/>
          <w:sz w:val="27"/>
          <w:szCs w:val="27"/>
          <w:lang w:eastAsia="zh-CN"/>
        </w:rPr>
        <w:t>成交供应商</w:t>
      </w:r>
      <w:r>
        <w:rPr>
          <w:rFonts w:hint="eastAsia" w:ascii="仿宋" w:hAnsi="仿宋" w:eastAsia="仿宋" w:cs="仿宋"/>
          <w:sz w:val="27"/>
          <w:szCs w:val="27"/>
        </w:rPr>
        <w:t>承担。</w:t>
      </w:r>
    </w:p>
    <w:p w14:paraId="67537332">
      <w:pPr>
        <w:spacing w:line="440" w:lineRule="exact"/>
        <w:ind w:firstLine="540" w:firstLineChars="200"/>
        <w:rPr>
          <w:rFonts w:ascii="仿宋" w:hAnsi="仿宋" w:eastAsia="仿宋" w:cs="仿宋"/>
          <w:sz w:val="27"/>
          <w:szCs w:val="27"/>
        </w:rPr>
      </w:pPr>
      <w:r>
        <w:rPr>
          <w:rFonts w:hint="eastAsia" w:ascii="仿宋" w:hAnsi="仿宋" w:eastAsia="仿宋" w:cs="仿宋"/>
          <w:sz w:val="27"/>
          <w:szCs w:val="27"/>
        </w:rPr>
        <w:t>3.</w:t>
      </w:r>
      <w:r>
        <w:rPr>
          <w:rFonts w:hint="eastAsia" w:ascii="仿宋" w:hAnsi="仿宋" w:eastAsia="仿宋" w:cs="仿宋"/>
          <w:sz w:val="27"/>
          <w:szCs w:val="27"/>
          <w:lang w:eastAsia="zh-CN"/>
        </w:rPr>
        <w:t>成交供应商</w:t>
      </w:r>
      <w:r>
        <w:rPr>
          <w:rFonts w:hint="eastAsia" w:ascii="仿宋" w:hAnsi="仿宋" w:eastAsia="仿宋" w:cs="仿宋"/>
          <w:sz w:val="27"/>
          <w:szCs w:val="27"/>
        </w:rPr>
        <w:t>应为项目工作人员提供符合环境要求的工作防护服装及劳动保护用品。</w:t>
      </w:r>
    </w:p>
    <w:p w14:paraId="077739AE">
      <w:pPr>
        <w:spacing w:line="440" w:lineRule="exact"/>
        <w:ind w:firstLine="540" w:firstLineChars="200"/>
        <w:rPr>
          <w:rFonts w:ascii="仿宋" w:hAnsi="仿宋" w:eastAsia="仿宋" w:cs="仿宋"/>
          <w:sz w:val="27"/>
          <w:szCs w:val="27"/>
        </w:rPr>
      </w:pPr>
      <w:r>
        <w:rPr>
          <w:rFonts w:hint="eastAsia" w:ascii="仿宋" w:hAnsi="仿宋" w:eastAsia="仿宋" w:cs="仿宋"/>
          <w:sz w:val="27"/>
          <w:szCs w:val="27"/>
        </w:rPr>
        <w:t>4.按</w:t>
      </w:r>
      <w:r>
        <w:rPr>
          <w:rFonts w:hint="eastAsia" w:ascii="仿宋" w:hAnsi="仿宋" w:eastAsia="仿宋" w:cs="仿宋"/>
          <w:sz w:val="27"/>
          <w:szCs w:val="27"/>
          <w:lang w:eastAsia="zh-CN"/>
        </w:rPr>
        <w:t>采购人</w:t>
      </w:r>
      <w:r>
        <w:rPr>
          <w:rFonts w:hint="eastAsia" w:ascii="仿宋" w:hAnsi="仿宋" w:eastAsia="仿宋" w:cs="仿宋"/>
          <w:sz w:val="27"/>
          <w:szCs w:val="27"/>
        </w:rPr>
        <w:t>要求定期提供运行数据及情况、监管报告等资料，并确保资料信息的真实性和规范性。</w:t>
      </w:r>
    </w:p>
    <w:p w14:paraId="03EC8D00">
      <w:pPr>
        <w:spacing w:line="440" w:lineRule="exact"/>
        <w:ind w:firstLine="540" w:firstLineChars="200"/>
        <w:rPr>
          <w:rFonts w:ascii="仿宋" w:hAnsi="仿宋" w:eastAsia="仿宋" w:cs="仿宋"/>
          <w:sz w:val="27"/>
          <w:szCs w:val="27"/>
        </w:rPr>
      </w:pPr>
      <w:r>
        <w:rPr>
          <w:rFonts w:hint="eastAsia" w:ascii="仿宋" w:hAnsi="仿宋" w:eastAsia="仿宋" w:cs="仿宋"/>
          <w:sz w:val="27"/>
          <w:szCs w:val="27"/>
        </w:rPr>
        <w:t>5.项目履行期间内如人员发生变动的，须在15个工作日前书面报告</w:t>
      </w:r>
      <w:r>
        <w:rPr>
          <w:rFonts w:hint="eastAsia" w:ascii="仿宋" w:hAnsi="仿宋" w:eastAsia="仿宋" w:cs="仿宋"/>
          <w:sz w:val="27"/>
          <w:szCs w:val="27"/>
          <w:lang w:eastAsia="zh-CN"/>
        </w:rPr>
        <w:t>采购人</w:t>
      </w:r>
      <w:r>
        <w:rPr>
          <w:rFonts w:hint="eastAsia" w:ascii="仿宋" w:hAnsi="仿宋" w:eastAsia="仿宋" w:cs="仿宋"/>
          <w:sz w:val="27"/>
          <w:szCs w:val="27"/>
        </w:rPr>
        <w:t>，经</w:t>
      </w:r>
      <w:r>
        <w:rPr>
          <w:rFonts w:hint="eastAsia" w:ascii="仿宋" w:hAnsi="仿宋" w:eastAsia="仿宋" w:cs="仿宋"/>
          <w:sz w:val="27"/>
          <w:szCs w:val="27"/>
          <w:lang w:eastAsia="zh-CN"/>
        </w:rPr>
        <w:t>采购人</w:t>
      </w:r>
      <w:r>
        <w:rPr>
          <w:rFonts w:hint="eastAsia" w:ascii="仿宋" w:hAnsi="仿宋" w:eastAsia="仿宋" w:cs="仿宋"/>
          <w:sz w:val="27"/>
          <w:szCs w:val="27"/>
        </w:rPr>
        <w:t>认可同意后方可变动。</w:t>
      </w:r>
    </w:p>
    <w:p w14:paraId="63ED2276">
      <w:pPr>
        <w:spacing w:line="440" w:lineRule="exact"/>
        <w:ind w:firstLine="540" w:firstLineChars="200"/>
        <w:rPr>
          <w:rFonts w:ascii="仿宋" w:hAnsi="仿宋" w:eastAsia="仿宋" w:cs="仿宋"/>
          <w:sz w:val="27"/>
          <w:szCs w:val="27"/>
        </w:rPr>
      </w:pPr>
      <w:r>
        <w:rPr>
          <w:rFonts w:hint="eastAsia" w:ascii="仿宋" w:hAnsi="仿宋" w:eastAsia="仿宋" w:cs="仿宋"/>
          <w:sz w:val="27"/>
          <w:szCs w:val="27"/>
        </w:rPr>
        <w:t>6.如</w:t>
      </w:r>
      <w:r>
        <w:rPr>
          <w:rFonts w:hint="eastAsia" w:ascii="仿宋" w:hAnsi="仿宋" w:eastAsia="仿宋" w:cs="仿宋"/>
          <w:sz w:val="27"/>
          <w:szCs w:val="27"/>
          <w:lang w:eastAsia="zh-CN"/>
        </w:rPr>
        <w:t>采购人</w:t>
      </w:r>
      <w:r>
        <w:rPr>
          <w:rFonts w:hint="eastAsia" w:ascii="仿宋" w:hAnsi="仿宋" w:eastAsia="仿宋" w:cs="仿宋"/>
          <w:sz w:val="27"/>
          <w:szCs w:val="27"/>
        </w:rPr>
        <w:t>根据工作需要召开会议或其他活动，</w:t>
      </w:r>
      <w:r>
        <w:rPr>
          <w:rFonts w:hint="eastAsia" w:ascii="仿宋" w:hAnsi="仿宋" w:eastAsia="仿宋" w:cs="仿宋"/>
          <w:sz w:val="27"/>
          <w:szCs w:val="27"/>
          <w:lang w:eastAsia="zh-CN"/>
        </w:rPr>
        <w:t>成交供应商</w:t>
      </w:r>
      <w:r>
        <w:rPr>
          <w:rFonts w:hint="eastAsia" w:ascii="仿宋" w:hAnsi="仿宋" w:eastAsia="仿宋" w:cs="仿宋"/>
          <w:sz w:val="27"/>
          <w:szCs w:val="27"/>
        </w:rPr>
        <w:t>的法定代表人或项目负责人必须准时参加。</w:t>
      </w:r>
      <w:bookmarkEnd w:id="11"/>
    </w:p>
    <w:p w14:paraId="1B4FEDE9">
      <w:pPr>
        <w:bidi w:val="0"/>
        <w:rPr>
          <w:rFonts w:hint="eastAsia"/>
          <w:b/>
          <w:bCs/>
          <w:sz w:val="27"/>
          <w:szCs w:val="27"/>
        </w:rPr>
      </w:pPr>
      <w:r>
        <w:rPr>
          <w:rFonts w:hint="eastAsia"/>
          <w:b/>
          <w:bCs/>
          <w:sz w:val="27"/>
          <w:szCs w:val="27"/>
          <w:lang w:val="en-US" w:eastAsia="zh-CN"/>
        </w:rPr>
        <w:t>六</w:t>
      </w:r>
      <w:r>
        <w:rPr>
          <w:rFonts w:hint="eastAsia"/>
          <w:b/>
          <w:bCs/>
          <w:sz w:val="27"/>
          <w:szCs w:val="27"/>
        </w:rPr>
        <w:t>、考核办法及标准</w:t>
      </w:r>
    </w:p>
    <w:p w14:paraId="6466C821">
      <w:pPr>
        <w:spacing w:line="440" w:lineRule="exact"/>
        <w:ind w:firstLine="540" w:firstLineChars="200"/>
        <w:rPr>
          <w:rFonts w:ascii="仿宋" w:hAnsi="仿宋" w:eastAsia="仿宋" w:cs="仿宋"/>
          <w:sz w:val="27"/>
          <w:szCs w:val="27"/>
        </w:rPr>
      </w:pPr>
      <w:bookmarkStart w:id="12" w:name="_Hlk108882798"/>
      <w:r>
        <w:rPr>
          <w:rFonts w:hint="eastAsia" w:ascii="仿宋" w:hAnsi="仿宋" w:eastAsia="仿宋" w:cs="仿宋"/>
          <w:sz w:val="27"/>
          <w:szCs w:val="27"/>
          <w:lang w:eastAsia="zh-CN"/>
        </w:rPr>
        <w:t>采购人</w:t>
      </w:r>
      <w:r>
        <w:rPr>
          <w:rFonts w:hint="eastAsia" w:ascii="仿宋" w:hAnsi="仿宋" w:eastAsia="仿宋" w:cs="仿宋"/>
          <w:sz w:val="27"/>
          <w:szCs w:val="27"/>
        </w:rPr>
        <w:t>每月对</w:t>
      </w:r>
      <w:r>
        <w:rPr>
          <w:rFonts w:hint="eastAsia" w:ascii="仿宋" w:hAnsi="仿宋" w:eastAsia="仿宋" w:cs="仿宋"/>
          <w:sz w:val="27"/>
          <w:szCs w:val="27"/>
          <w:lang w:eastAsia="zh-CN"/>
        </w:rPr>
        <w:t>成交供应商</w:t>
      </w:r>
      <w:r>
        <w:rPr>
          <w:rFonts w:hint="eastAsia" w:ascii="仿宋" w:hAnsi="仿宋" w:eastAsia="仿宋" w:cs="仿宋"/>
          <w:sz w:val="27"/>
          <w:szCs w:val="27"/>
        </w:rPr>
        <w:t>的服务进行一次考核评分，考核评分结果在次月10日前通报中标人，并根据考核评分情况核定月度服务费（月度服务费标准按年服务费除以12个月计算，即合同价</w:t>
      </w:r>
      <w:r>
        <w:rPr>
          <w:rStyle w:val="10"/>
          <w:rFonts w:hint="eastAsia" w:ascii="仿宋" w:hAnsi="仿宋" w:eastAsia="仿宋" w:cs="Times New Roman"/>
          <w:sz w:val="27"/>
          <w:szCs w:val="27"/>
        </w:rPr>
        <w:t>÷12</w:t>
      </w:r>
      <w:r>
        <w:rPr>
          <w:rFonts w:hint="eastAsia" w:ascii="仿宋" w:hAnsi="仿宋" w:eastAsia="仿宋" w:cs="仿宋"/>
          <w:sz w:val="27"/>
          <w:szCs w:val="27"/>
        </w:rPr>
        <w:t>）。</w:t>
      </w:r>
    </w:p>
    <w:p w14:paraId="56187493">
      <w:pPr>
        <w:spacing w:line="440" w:lineRule="exact"/>
        <w:ind w:firstLine="540" w:firstLineChars="200"/>
        <w:rPr>
          <w:rFonts w:ascii="仿宋" w:hAnsi="仿宋" w:eastAsia="仿宋" w:cs="仿宋"/>
          <w:color w:val="auto"/>
          <w:sz w:val="27"/>
          <w:szCs w:val="27"/>
        </w:rPr>
      </w:pPr>
      <w:r>
        <w:rPr>
          <w:rFonts w:hint="eastAsia" w:ascii="仿宋" w:hAnsi="仿宋" w:eastAsia="仿宋" w:cs="仿宋"/>
          <w:sz w:val="27"/>
          <w:szCs w:val="27"/>
        </w:rPr>
        <w:t>月考核基础分为100分，详见《</w:t>
      </w:r>
      <w:r>
        <w:rPr>
          <w:rFonts w:hint="eastAsia" w:ascii="仿宋" w:hAnsi="仿宋" w:eastAsia="仿宋" w:cs="仿宋"/>
          <w:color w:val="auto"/>
          <w:sz w:val="27"/>
          <w:szCs w:val="27"/>
        </w:rPr>
        <w:t>上高县生活垃圾焚烧发电厂第三方监管服务考核表》。</w:t>
      </w:r>
      <w:r>
        <w:rPr>
          <w:rFonts w:hint="eastAsia" w:ascii="仿宋" w:hAnsi="仿宋" w:eastAsia="仿宋" w:cs="宋体"/>
          <w:color w:val="auto"/>
          <w:sz w:val="27"/>
          <w:szCs w:val="27"/>
        </w:rPr>
        <w:t>90分（含）以上为良好，无需扣款；90分以下每扣1分则扣减服务费3000元；80分以下每扣1分则扣减服务费5000元，6</w:t>
      </w:r>
      <w:r>
        <w:rPr>
          <w:rFonts w:ascii="仿宋" w:hAnsi="仿宋" w:eastAsia="仿宋" w:cs="宋体"/>
          <w:color w:val="auto"/>
          <w:sz w:val="27"/>
          <w:szCs w:val="27"/>
        </w:rPr>
        <w:t>0</w:t>
      </w:r>
      <w:r>
        <w:rPr>
          <w:rFonts w:hint="eastAsia" w:ascii="仿宋" w:hAnsi="仿宋" w:eastAsia="仿宋" w:cs="宋体"/>
          <w:color w:val="auto"/>
          <w:sz w:val="27"/>
          <w:szCs w:val="27"/>
        </w:rPr>
        <w:t>分以下每扣1分扣减服务费10000元，另外</w:t>
      </w:r>
      <w:r>
        <w:rPr>
          <w:rFonts w:hint="eastAsia" w:ascii="仿宋" w:hAnsi="仿宋" w:eastAsia="仿宋" w:cs="宋体"/>
          <w:color w:val="auto"/>
          <w:sz w:val="27"/>
          <w:szCs w:val="27"/>
          <w:lang w:eastAsia="zh-CN"/>
        </w:rPr>
        <w:t>采购人</w:t>
      </w:r>
      <w:r>
        <w:rPr>
          <w:rFonts w:hint="eastAsia" w:ascii="仿宋" w:hAnsi="仿宋" w:eastAsia="仿宋" w:cs="宋体"/>
          <w:color w:val="auto"/>
          <w:sz w:val="27"/>
          <w:szCs w:val="27"/>
        </w:rPr>
        <w:t>要求中标人进行整改，并将整改情况报</w:t>
      </w:r>
      <w:r>
        <w:rPr>
          <w:rFonts w:hint="eastAsia" w:ascii="仿宋" w:hAnsi="仿宋" w:eastAsia="仿宋" w:cs="宋体"/>
          <w:color w:val="auto"/>
          <w:sz w:val="27"/>
          <w:szCs w:val="27"/>
          <w:lang w:eastAsia="zh-CN"/>
        </w:rPr>
        <w:t>采购人</w:t>
      </w:r>
      <w:r>
        <w:rPr>
          <w:rFonts w:hint="eastAsia" w:ascii="仿宋" w:hAnsi="仿宋" w:eastAsia="仿宋" w:cs="宋体"/>
          <w:color w:val="auto"/>
          <w:sz w:val="27"/>
          <w:szCs w:val="27"/>
        </w:rPr>
        <w:t>审核。连续三个月考核均为60分以下，</w:t>
      </w:r>
      <w:r>
        <w:rPr>
          <w:rFonts w:hint="eastAsia" w:ascii="仿宋" w:hAnsi="仿宋" w:eastAsia="仿宋" w:cs="宋体"/>
          <w:color w:val="auto"/>
          <w:sz w:val="27"/>
          <w:szCs w:val="27"/>
          <w:lang w:eastAsia="zh-CN"/>
        </w:rPr>
        <w:t>采购人</w:t>
      </w:r>
      <w:r>
        <w:rPr>
          <w:rFonts w:hint="eastAsia" w:ascii="仿宋" w:hAnsi="仿宋" w:eastAsia="仿宋" w:cs="宋体"/>
          <w:color w:val="auto"/>
          <w:sz w:val="27"/>
          <w:szCs w:val="27"/>
        </w:rPr>
        <w:t>不予支付服务费用，并有权与中标人解除合同。由于中标人未能发出相关预警或未能尽到相关责任，出现安全生产事故或环境污染事故的，</w:t>
      </w:r>
      <w:r>
        <w:rPr>
          <w:rFonts w:hint="eastAsia" w:ascii="仿宋" w:hAnsi="仿宋" w:eastAsia="仿宋" w:cs="宋体"/>
          <w:color w:val="auto"/>
          <w:sz w:val="27"/>
          <w:szCs w:val="27"/>
          <w:lang w:eastAsia="zh-CN"/>
        </w:rPr>
        <w:t>采购人</w:t>
      </w:r>
      <w:r>
        <w:rPr>
          <w:rFonts w:hint="eastAsia" w:ascii="仿宋" w:hAnsi="仿宋" w:eastAsia="仿宋" w:cs="宋体"/>
          <w:color w:val="auto"/>
          <w:sz w:val="27"/>
          <w:szCs w:val="27"/>
        </w:rPr>
        <w:t>有权单方终止合同。</w:t>
      </w:r>
    </w:p>
    <w:bookmarkEnd w:id="12"/>
    <w:p w14:paraId="57AD36A2">
      <w:pPr>
        <w:bidi w:val="0"/>
        <w:rPr>
          <w:rFonts w:hint="eastAsia" w:ascii="仿宋" w:hAnsi="仿宋" w:eastAsia="仿宋" w:cs="仿宋"/>
          <w:color w:val="auto"/>
          <w:sz w:val="27"/>
          <w:szCs w:val="27"/>
          <w:lang w:eastAsia="zh-CN"/>
        </w:rPr>
      </w:pPr>
      <w:bookmarkStart w:id="13" w:name="_Hlk108882891"/>
      <w:bookmarkStart w:id="14" w:name="_Hlk108882806"/>
      <w:r>
        <w:rPr>
          <w:rFonts w:hint="eastAsia" w:ascii="仿宋" w:hAnsi="仿宋" w:eastAsia="仿宋" w:cs="仿宋"/>
          <w:color w:val="auto"/>
          <w:sz w:val="27"/>
          <w:szCs w:val="27"/>
        </w:rPr>
        <w:t>上高县生活垃圾焚烧发电厂第三方监管服务考核表</w:t>
      </w:r>
      <w:bookmarkEnd w:id="13"/>
      <w:bookmarkEnd w:id="14"/>
      <w:r>
        <w:rPr>
          <w:rFonts w:hint="eastAsia" w:ascii="仿宋" w:hAnsi="仿宋" w:eastAsia="仿宋" w:cs="仿宋"/>
          <w:color w:val="auto"/>
          <w:sz w:val="27"/>
          <w:szCs w:val="27"/>
          <w:lang w:eastAsia="zh-CN"/>
        </w:rPr>
        <w:t>（</w:t>
      </w:r>
      <w:r>
        <w:rPr>
          <w:rFonts w:hint="eastAsia" w:ascii="仿宋" w:hAnsi="仿宋" w:eastAsia="仿宋" w:cs="仿宋"/>
          <w:color w:val="auto"/>
          <w:sz w:val="27"/>
          <w:szCs w:val="27"/>
          <w:lang w:val="en-US" w:eastAsia="zh-CN"/>
        </w:rPr>
        <w:t xml:space="preserve">    </w:t>
      </w:r>
      <w:r>
        <w:rPr>
          <w:rFonts w:hint="eastAsia" w:ascii="仿宋" w:hAnsi="仿宋" w:eastAsia="仿宋" w:cs="仿宋"/>
          <w:color w:val="auto"/>
          <w:sz w:val="27"/>
          <w:szCs w:val="27"/>
          <w:lang w:eastAsia="zh-CN"/>
        </w:rPr>
        <w:t>年</w:t>
      </w:r>
      <w:r>
        <w:rPr>
          <w:rFonts w:hint="eastAsia" w:ascii="仿宋" w:hAnsi="仿宋" w:eastAsia="仿宋" w:cs="仿宋"/>
          <w:color w:val="auto"/>
          <w:sz w:val="27"/>
          <w:szCs w:val="27"/>
          <w:lang w:val="en-US" w:eastAsia="zh-CN"/>
        </w:rPr>
        <w:t xml:space="preserve">    </w:t>
      </w:r>
      <w:r>
        <w:rPr>
          <w:rFonts w:hint="eastAsia" w:ascii="仿宋" w:hAnsi="仿宋" w:eastAsia="仿宋" w:cs="仿宋"/>
          <w:color w:val="auto"/>
          <w:sz w:val="27"/>
          <w:szCs w:val="27"/>
          <w:lang w:eastAsia="zh-CN"/>
        </w:rPr>
        <w:t>月</w:t>
      </w:r>
      <w:r>
        <w:rPr>
          <w:rFonts w:hint="eastAsia" w:ascii="仿宋" w:hAnsi="仿宋" w:eastAsia="仿宋" w:cs="仿宋"/>
          <w:color w:val="auto"/>
          <w:sz w:val="27"/>
          <w:szCs w:val="27"/>
          <w:lang w:val="en-US" w:eastAsia="zh-CN"/>
        </w:rPr>
        <w:t xml:space="preserve">    </w:t>
      </w:r>
      <w:r>
        <w:rPr>
          <w:rFonts w:hint="eastAsia" w:ascii="仿宋" w:hAnsi="仿宋" w:eastAsia="仿宋" w:cs="仿宋"/>
          <w:color w:val="auto"/>
          <w:sz w:val="27"/>
          <w:szCs w:val="27"/>
          <w:lang w:eastAsia="zh-CN"/>
        </w:rPr>
        <w:t>日）</w:t>
      </w:r>
    </w:p>
    <w:tbl>
      <w:tblPr>
        <w:tblStyle w:val="7"/>
        <w:tblW w:w="9725" w:type="dxa"/>
        <w:tblInd w:w="-136" w:type="dxa"/>
        <w:tblLayout w:type="fixed"/>
        <w:tblCellMar>
          <w:top w:w="0" w:type="dxa"/>
          <w:left w:w="108" w:type="dxa"/>
          <w:bottom w:w="0" w:type="dxa"/>
          <w:right w:w="108" w:type="dxa"/>
        </w:tblCellMar>
      </w:tblPr>
      <w:tblGrid>
        <w:gridCol w:w="900"/>
        <w:gridCol w:w="1225"/>
        <w:gridCol w:w="2740"/>
        <w:gridCol w:w="1535"/>
        <w:gridCol w:w="1375"/>
        <w:gridCol w:w="1062"/>
        <w:gridCol w:w="888"/>
      </w:tblGrid>
      <w:tr w14:paraId="1191137B">
        <w:tblPrEx>
          <w:tblCellMar>
            <w:top w:w="0" w:type="dxa"/>
            <w:left w:w="108" w:type="dxa"/>
            <w:bottom w:w="0" w:type="dxa"/>
            <w:right w:w="108" w:type="dxa"/>
          </w:tblCellMar>
        </w:tblPrEx>
        <w:trPr>
          <w:trHeight w:val="525" w:hRule="atLeast"/>
        </w:trPr>
        <w:tc>
          <w:tcPr>
            <w:tcW w:w="900" w:type="dxa"/>
            <w:tcBorders>
              <w:top w:val="single" w:color="auto" w:sz="4" w:space="0"/>
              <w:left w:val="single" w:color="auto" w:sz="4" w:space="0"/>
              <w:bottom w:val="single" w:color="auto" w:sz="4" w:space="0"/>
              <w:right w:val="single" w:color="auto" w:sz="4" w:space="0"/>
            </w:tcBorders>
            <w:shd w:val="clear" w:color="000000" w:fill="FFFFFF"/>
            <w:vAlign w:val="center"/>
          </w:tcPr>
          <w:p w14:paraId="6446E439">
            <w:pPr>
              <w:jc w:val="center"/>
              <w:rPr>
                <w:rFonts w:ascii="仿宋" w:hAnsi="仿宋" w:eastAsia="仿宋" w:cs="仿宋"/>
                <w:kern w:val="0"/>
                <w:sz w:val="27"/>
                <w:szCs w:val="27"/>
              </w:rPr>
            </w:pPr>
            <w:bookmarkStart w:id="15" w:name="_Hlk108882826"/>
            <w:r>
              <w:rPr>
                <w:rFonts w:hint="eastAsia" w:ascii="仿宋" w:hAnsi="仿宋" w:eastAsia="仿宋" w:cs="仿宋"/>
                <w:kern w:val="0"/>
                <w:sz w:val="27"/>
                <w:szCs w:val="27"/>
              </w:rPr>
              <w:t>项次</w:t>
            </w:r>
          </w:p>
        </w:tc>
        <w:tc>
          <w:tcPr>
            <w:tcW w:w="1225" w:type="dxa"/>
            <w:tcBorders>
              <w:top w:val="single" w:color="auto" w:sz="4" w:space="0"/>
              <w:left w:val="nil"/>
              <w:bottom w:val="single" w:color="auto" w:sz="4" w:space="0"/>
              <w:right w:val="single" w:color="auto" w:sz="4" w:space="0"/>
            </w:tcBorders>
            <w:shd w:val="clear" w:color="000000" w:fill="FFFFFF"/>
            <w:vAlign w:val="center"/>
          </w:tcPr>
          <w:p w14:paraId="24082655">
            <w:pPr>
              <w:jc w:val="center"/>
              <w:rPr>
                <w:rFonts w:ascii="仿宋" w:hAnsi="仿宋" w:eastAsia="仿宋" w:cs="仿宋"/>
                <w:kern w:val="0"/>
                <w:sz w:val="27"/>
                <w:szCs w:val="27"/>
              </w:rPr>
            </w:pPr>
            <w:r>
              <w:rPr>
                <w:rFonts w:hint="eastAsia" w:ascii="仿宋" w:hAnsi="仿宋" w:eastAsia="仿宋" w:cs="仿宋"/>
                <w:kern w:val="0"/>
                <w:sz w:val="27"/>
                <w:szCs w:val="27"/>
              </w:rPr>
              <w:t>项目</w:t>
            </w:r>
          </w:p>
        </w:tc>
        <w:tc>
          <w:tcPr>
            <w:tcW w:w="4275" w:type="dxa"/>
            <w:gridSpan w:val="2"/>
            <w:tcBorders>
              <w:top w:val="single" w:color="auto" w:sz="4" w:space="0"/>
              <w:left w:val="nil"/>
              <w:bottom w:val="single" w:color="auto" w:sz="4" w:space="0"/>
              <w:right w:val="single" w:color="auto" w:sz="4" w:space="0"/>
            </w:tcBorders>
            <w:shd w:val="clear" w:color="000000" w:fill="FFFFFF"/>
            <w:vAlign w:val="center"/>
          </w:tcPr>
          <w:p w14:paraId="43AE19B5">
            <w:pPr>
              <w:jc w:val="center"/>
              <w:rPr>
                <w:rFonts w:ascii="仿宋" w:hAnsi="仿宋" w:eastAsia="仿宋" w:cs="仿宋"/>
                <w:kern w:val="0"/>
                <w:sz w:val="27"/>
                <w:szCs w:val="27"/>
              </w:rPr>
            </w:pPr>
            <w:r>
              <w:rPr>
                <w:rFonts w:hint="eastAsia" w:ascii="仿宋" w:hAnsi="仿宋" w:eastAsia="仿宋" w:cs="仿宋"/>
                <w:kern w:val="0"/>
                <w:sz w:val="27"/>
                <w:szCs w:val="27"/>
              </w:rPr>
              <w:t>考核细则</w:t>
            </w:r>
          </w:p>
        </w:tc>
        <w:tc>
          <w:tcPr>
            <w:tcW w:w="1375" w:type="dxa"/>
            <w:tcBorders>
              <w:top w:val="single" w:color="auto" w:sz="4" w:space="0"/>
              <w:left w:val="nil"/>
              <w:bottom w:val="single" w:color="auto" w:sz="4" w:space="0"/>
              <w:right w:val="single" w:color="auto" w:sz="4" w:space="0"/>
            </w:tcBorders>
            <w:shd w:val="clear" w:color="000000" w:fill="FFFFFF"/>
            <w:vAlign w:val="center"/>
          </w:tcPr>
          <w:p w14:paraId="1F1ACCF6">
            <w:pPr>
              <w:jc w:val="center"/>
              <w:rPr>
                <w:rFonts w:hint="eastAsia" w:ascii="仿宋" w:hAnsi="仿宋" w:eastAsia="仿宋" w:cs="仿宋"/>
                <w:kern w:val="0"/>
                <w:sz w:val="27"/>
                <w:szCs w:val="27"/>
                <w:lang w:eastAsia="zh-CN"/>
              </w:rPr>
            </w:pPr>
            <w:r>
              <w:rPr>
                <w:rFonts w:hint="eastAsia" w:ascii="仿宋" w:hAnsi="仿宋" w:eastAsia="仿宋" w:cs="仿宋"/>
                <w:color w:val="auto"/>
                <w:kern w:val="0"/>
                <w:sz w:val="27"/>
                <w:szCs w:val="27"/>
              </w:rPr>
              <w:t>扣</w:t>
            </w:r>
            <w:r>
              <w:rPr>
                <w:rFonts w:hint="eastAsia" w:ascii="仿宋" w:hAnsi="仿宋" w:eastAsia="仿宋" w:cs="仿宋"/>
                <w:color w:val="auto"/>
                <w:kern w:val="0"/>
                <w:sz w:val="27"/>
                <w:szCs w:val="27"/>
                <w:lang w:eastAsia="zh-CN"/>
              </w:rPr>
              <w:t>分说明</w:t>
            </w:r>
          </w:p>
        </w:tc>
        <w:tc>
          <w:tcPr>
            <w:tcW w:w="1062" w:type="dxa"/>
            <w:tcBorders>
              <w:top w:val="single" w:color="auto" w:sz="4" w:space="0"/>
              <w:left w:val="nil"/>
              <w:bottom w:val="single" w:color="auto" w:sz="4" w:space="0"/>
              <w:right w:val="single" w:color="auto" w:sz="4" w:space="0"/>
            </w:tcBorders>
            <w:shd w:val="clear" w:color="000000" w:fill="FFFFFF"/>
            <w:vAlign w:val="center"/>
          </w:tcPr>
          <w:p w14:paraId="2B194D1F">
            <w:pPr>
              <w:jc w:val="center"/>
              <w:rPr>
                <w:rFonts w:ascii="仿宋" w:hAnsi="仿宋" w:eastAsia="仿宋" w:cs="仿宋"/>
                <w:kern w:val="0"/>
                <w:sz w:val="27"/>
                <w:szCs w:val="27"/>
              </w:rPr>
            </w:pPr>
            <w:r>
              <w:rPr>
                <w:rFonts w:hint="eastAsia" w:ascii="仿宋" w:hAnsi="仿宋" w:eastAsia="仿宋" w:cs="仿宋"/>
                <w:kern w:val="0"/>
                <w:sz w:val="27"/>
                <w:szCs w:val="27"/>
              </w:rPr>
              <w:t>完成情况</w:t>
            </w:r>
          </w:p>
        </w:tc>
        <w:tc>
          <w:tcPr>
            <w:tcW w:w="888" w:type="dxa"/>
            <w:tcBorders>
              <w:top w:val="single" w:color="auto" w:sz="4" w:space="0"/>
              <w:left w:val="nil"/>
              <w:bottom w:val="single" w:color="auto" w:sz="4" w:space="0"/>
              <w:right w:val="single" w:color="auto" w:sz="4" w:space="0"/>
            </w:tcBorders>
            <w:shd w:val="clear" w:color="000000" w:fill="FFFFFF"/>
            <w:vAlign w:val="center"/>
          </w:tcPr>
          <w:p w14:paraId="331810A1">
            <w:pPr>
              <w:jc w:val="center"/>
              <w:rPr>
                <w:rFonts w:ascii="仿宋" w:hAnsi="仿宋" w:eastAsia="仿宋" w:cs="仿宋"/>
                <w:kern w:val="0"/>
                <w:sz w:val="27"/>
                <w:szCs w:val="27"/>
              </w:rPr>
            </w:pPr>
            <w:r>
              <w:rPr>
                <w:rFonts w:hint="eastAsia" w:ascii="仿宋" w:hAnsi="仿宋" w:eastAsia="仿宋" w:cs="仿宋"/>
                <w:kern w:val="0"/>
                <w:sz w:val="27"/>
                <w:szCs w:val="27"/>
              </w:rPr>
              <w:t>扣分</w:t>
            </w:r>
          </w:p>
        </w:tc>
      </w:tr>
      <w:tr w14:paraId="249613E7">
        <w:tblPrEx>
          <w:tblCellMar>
            <w:top w:w="0" w:type="dxa"/>
            <w:left w:w="108" w:type="dxa"/>
            <w:bottom w:w="0" w:type="dxa"/>
            <w:right w:w="108" w:type="dxa"/>
          </w:tblCellMar>
        </w:tblPrEx>
        <w:trPr>
          <w:trHeight w:val="990" w:hRule="atLeast"/>
        </w:trPr>
        <w:tc>
          <w:tcPr>
            <w:tcW w:w="900" w:type="dxa"/>
            <w:tcBorders>
              <w:top w:val="nil"/>
              <w:left w:val="single" w:color="auto" w:sz="4" w:space="0"/>
              <w:bottom w:val="single" w:color="auto" w:sz="4" w:space="0"/>
              <w:right w:val="single" w:color="auto" w:sz="4" w:space="0"/>
            </w:tcBorders>
            <w:shd w:val="clear" w:color="000000" w:fill="FFFFFF"/>
            <w:vAlign w:val="center"/>
          </w:tcPr>
          <w:p w14:paraId="3AE2B50B">
            <w:pPr>
              <w:jc w:val="center"/>
              <w:rPr>
                <w:rFonts w:ascii="仿宋" w:hAnsi="仿宋" w:eastAsia="仿宋" w:cs="仿宋"/>
                <w:kern w:val="0"/>
                <w:sz w:val="27"/>
                <w:szCs w:val="27"/>
              </w:rPr>
            </w:pPr>
            <w:r>
              <w:rPr>
                <w:rFonts w:hint="eastAsia" w:ascii="仿宋" w:hAnsi="仿宋" w:eastAsia="仿宋" w:cs="仿宋"/>
                <w:kern w:val="0"/>
                <w:sz w:val="27"/>
                <w:szCs w:val="27"/>
              </w:rPr>
              <w:t>1</w:t>
            </w:r>
          </w:p>
        </w:tc>
        <w:tc>
          <w:tcPr>
            <w:tcW w:w="1225" w:type="dxa"/>
            <w:tcBorders>
              <w:top w:val="nil"/>
              <w:left w:val="nil"/>
              <w:bottom w:val="single" w:color="auto" w:sz="4" w:space="0"/>
              <w:right w:val="single" w:color="auto" w:sz="4" w:space="0"/>
            </w:tcBorders>
            <w:shd w:val="clear" w:color="000000" w:fill="FFFFFF"/>
            <w:vAlign w:val="center"/>
          </w:tcPr>
          <w:p w14:paraId="6354AA68">
            <w:pPr>
              <w:jc w:val="center"/>
              <w:rPr>
                <w:rFonts w:ascii="仿宋" w:hAnsi="仿宋" w:eastAsia="仿宋" w:cs="仿宋"/>
                <w:kern w:val="0"/>
                <w:sz w:val="27"/>
                <w:szCs w:val="27"/>
              </w:rPr>
            </w:pPr>
            <w:r>
              <w:rPr>
                <w:rFonts w:hint="eastAsia" w:ascii="仿宋" w:hAnsi="仿宋" w:eastAsia="仿宋" w:cs="仿宋"/>
                <w:kern w:val="0"/>
                <w:sz w:val="27"/>
                <w:szCs w:val="27"/>
              </w:rPr>
              <w:t>监管体系</w:t>
            </w:r>
          </w:p>
        </w:tc>
        <w:tc>
          <w:tcPr>
            <w:tcW w:w="4275" w:type="dxa"/>
            <w:gridSpan w:val="2"/>
            <w:tcBorders>
              <w:top w:val="nil"/>
              <w:left w:val="nil"/>
              <w:bottom w:val="single" w:color="auto" w:sz="4" w:space="0"/>
              <w:right w:val="single" w:color="auto" w:sz="4" w:space="0"/>
            </w:tcBorders>
            <w:shd w:val="clear" w:color="000000" w:fill="FFFFFF"/>
            <w:vAlign w:val="center"/>
          </w:tcPr>
          <w:p w14:paraId="2E1963C8">
            <w:pPr>
              <w:jc w:val="left"/>
              <w:rPr>
                <w:rFonts w:hint="eastAsia" w:ascii="仿宋" w:hAnsi="仿宋" w:eastAsia="仿宋" w:cs="仿宋"/>
                <w:kern w:val="0"/>
                <w:sz w:val="27"/>
                <w:szCs w:val="27"/>
                <w:highlight w:val="none"/>
                <w:lang w:val="en-US" w:eastAsia="zh-CN"/>
              </w:rPr>
            </w:pPr>
            <w:r>
              <w:rPr>
                <w:rFonts w:hint="eastAsia" w:ascii="仿宋" w:hAnsi="仿宋" w:eastAsia="仿宋" w:cs="仿宋"/>
                <w:kern w:val="0"/>
                <w:sz w:val="27"/>
                <w:szCs w:val="27"/>
                <w:highlight w:val="none"/>
              </w:rPr>
              <w:t>制定完备的《监管方案》、《考核办</w:t>
            </w:r>
            <w:r>
              <w:rPr>
                <w:rFonts w:hint="eastAsia" w:ascii="仿宋" w:hAnsi="仿宋" w:eastAsia="仿宋" w:cs="仿宋"/>
                <w:color w:val="auto"/>
                <w:kern w:val="0"/>
                <w:sz w:val="27"/>
                <w:szCs w:val="27"/>
                <w:highlight w:val="none"/>
              </w:rPr>
              <w:t>法》</w:t>
            </w:r>
            <w:r>
              <w:rPr>
                <w:rFonts w:hint="eastAsia" w:ascii="仿宋" w:hAnsi="仿宋" w:eastAsia="仿宋" w:cs="仿宋"/>
                <w:color w:val="auto"/>
                <w:kern w:val="0"/>
                <w:sz w:val="27"/>
                <w:szCs w:val="27"/>
                <w:highlight w:val="none"/>
                <w:lang w:eastAsia="zh-CN"/>
              </w:rPr>
              <w:t>，</w:t>
            </w:r>
            <w:r>
              <w:rPr>
                <w:rFonts w:hint="eastAsia" w:ascii="仿宋" w:hAnsi="仿宋" w:eastAsia="仿宋" w:cs="仿宋"/>
                <w:color w:val="auto"/>
                <w:kern w:val="0"/>
                <w:sz w:val="27"/>
                <w:szCs w:val="27"/>
                <w:highlight w:val="none"/>
              </w:rPr>
              <w:t>30日内</w:t>
            </w:r>
            <w:r>
              <w:rPr>
                <w:rFonts w:hint="eastAsia" w:ascii="仿宋" w:hAnsi="仿宋" w:eastAsia="仿宋" w:cs="仿宋"/>
                <w:color w:val="auto"/>
                <w:kern w:val="0"/>
                <w:sz w:val="27"/>
                <w:szCs w:val="27"/>
                <w:highlight w:val="none"/>
                <w:lang w:eastAsia="zh-CN"/>
              </w:rPr>
              <w:t>未能</w:t>
            </w:r>
            <w:r>
              <w:rPr>
                <w:rFonts w:hint="eastAsia" w:ascii="仿宋" w:hAnsi="仿宋" w:eastAsia="仿宋" w:cs="仿宋"/>
                <w:color w:val="auto"/>
                <w:kern w:val="0"/>
                <w:sz w:val="27"/>
                <w:szCs w:val="27"/>
                <w:highlight w:val="none"/>
              </w:rPr>
              <w:t>提交甲方审核的《监管方案》、《考核办法》</w:t>
            </w:r>
            <w:r>
              <w:rPr>
                <w:rFonts w:hint="eastAsia" w:ascii="仿宋" w:hAnsi="仿宋" w:eastAsia="仿宋" w:cs="仿宋"/>
                <w:color w:val="auto"/>
                <w:kern w:val="0"/>
                <w:sz w:val="27"/>
                <w:szCs w:val="27"/>
                <w:highlight w:val="none"/>
                <w:lang w:val="en-US" w:eastAsia="zh-CN"/>
              </w:rPr>
              <w:t>的</w:t>
            </w:r>
          </w:p>
        </w:tc>
        <w:tc>
          <w:tcPr>
            <w:tcW w:w="1375" w:type="dxa"/>
            <w:tcBorders>
              <w:top w:val="nil"/>
              <w:left w:val="nil"/>
              <w:bottom w:val="single" w:color="auto" w:sz="4" w:space="0"/>
              <w:right w:val="single" w:color="auto" w:sz="4" w:space="0"/>
            </w:tcBorders>
            <w:shd w:val="clear" w:color="000000" w:fill="FFFFFF"/>
            <w:vAlign w:val="center"/>
          </w:tcPr>
          <w:p w14:paraId="45EC0110">
            <w:pPr>
              <w:jc w:val="center"/>
              <w:rPr>
                <w:rFonts w:ascii="仿宋" w:hAnsi="仿宋" w:eastAsia="仿宋" w:cs="仿宋"/>
                <w:kern w:val="0"/>
                <w:sz w:val="27"/>
                <w:szCs w:val="27"/>
                <w:highlight w:val="none"/>
              </w:rPr>
            </w:pPr>
            <w:r>
              <w:rPr>
                <w:rFonts w:hint="eastAsia" w:ascii="仿宋" w:hAnsi="仿宋" w:eastAsia="仿宋" w:cs="仿宋"/>
                <w:kern w:val="0"/>
                <w:sz w:val="27"/>
                <w:szCs w:val="27"/>
                <w:highlight w:val="none"/>
              </w:rPr>
              <w:t xml:space="preserve">每延迟一天扣1分 </w:t>
            </w:r>
          </w:p>
        </w:tc>
        <w:tc>
          <w:tcPr>
            <w:tcW w:w="1062" w:type="dxa"/>
            <w:tcBorders>
              <w:top w:val="nil"/>
              <w:left w:val="nil"/>
              <w:bottom w:val="single" w:color="auto" w:sz="4" w:space="0"/>
              <w:right w:val="single" w:color="auto" w:sz="4" w:space="0"/>
            </w:tcBorders>
            <w:shd w:val="clear" w:color="000000" w:fill="FFFFFF"/>
            <w:vAlign w:val="center"/>
          </w:tcPr>
          <w:p w14:paraId="6F2EB3A0">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02EA9895">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57CD2782">
        <w:tblPrEx>
          <w:tblCellMar>
            <w:top w:w="0" w:type="dxa"/>
            <w:left w:w="108" w:type="dxa"/>
            <w:bottom w:w="0" w:type="dxa"/>
            <w:right w:w="108" w:type="dxa"/>
          </w:tblCellMar>
        </w:tblPrEx>
        <w:trPr>
          <w:trHeight w:val="796" w:hRule="atLeast"/>
        </w:trPr>
        <w:tc>
          <w:tcPr>
            <w:tcW w:w="900" w:type="dxa"/>
            <w:vMerge w:val="restart"/>
            <w:tcBorders>
              <w:top w:val="nil"/>
              <w:left w:val="single" w:color="auto" w:sz="4" w:space="0"/>
              <w:bottom w:val="single" w:color="auto" w:sz="4" w:space="0"/>
              <w:right w:val="single" w:color="auto" w:sz="4" w:space="0"/>
            </w:tcBorders>
            <w:shd w:val="clear" w:color="000000" w:fill="FFFFFF"/>
            <w:vAlign w:val="center"/>
          </w:tcPr>
          <w:p w14:paraId="75CB9C8E">
            <w:pPr>
              <w:jc w:val="center"/>
              <w:rPr>
                <w:rFonts w:ascii="仿宋" w:hAnsi="仿宋" w:eastAsia="仿宋" w:cs="仿宋"/>
                <w:kern w:val="0"/>
                <w:sz w:val="27"/>
                <w:szCs w:val="27"/>
              </w:rPr>
            </w:pPr>
            <w:r>
              <w:rPr>
                <w:rFonts w:hint="eastAsia" w:ascii="仿宋" w:hAnsi="仿宋" w:eastAsia="仿宋" w:cs="仿宋"/>
                <w:kern w:val="0"/>
                <w:sz w:val="27"/>
                <w:szCs w:val="27"/>
              </w:rPr>
              <w:t>2</w:t>
            </w:r>
          </w:p>
        </w:tc>
        <w:tc>
          <w:tcPr>
            <w:tcW w:w="1225" w:type="dxa"/>
            <w:vMerge w:val="restart"/>
            <w:tcBorders>
              <w:top w:val="nil"/>
              <w:left w:val="single" w:color="auto" w:sz="4" w:space="0"/>
              <w:bottom w:val="single" w:color="auto" w:sz="4" w:space="0"/>
              <w:right w:val="single" w:color="auto" w:sz="4" w:space="0"/>
            </w:tcBorders>
            <w:shd w:val="clear" w:color="000000" w:fill="FFFFFF"/>
            <w:vAlign w:val="center"/>
          </w:tcPr>
          <w:p w14:paraId="38ABC0F6">
            <w:pPr>
              <w:jc w:val="center"/>
              <w:rPr>
                <w:rFonts w:ascii="仿宋" w:hAnsi="仿宋" w:eastAsia="仿宋" w:cs="仿宋"/>
                <w:kern w:val="0"/>
                <w:sz w:val="27"/>
                <w:szCs w:val="27"/>
              </w:rPr>
            </w:pPr>
            <w:r>
              <w:rPr>
                <w:rFonts w:hint="eastAsia" w:ascii="仿宋" w:hAnsi="仿宋" w:eastAsia="仿宋" w:cs="仿宋"/>
                <w:kern w:val="0"/>
                <w:sz w:val="27"/>
                <w:szCs w:val="27"/>
              </w:rPr>
              <w:t>监管机构人员设置及硬件配置</w:t>
            </w:r>
          </w:p>
        </w:tc>
        <w:tc>
          <w:tcPr>
            <w:tcW w:w="4275" w:type="dxa"/>
            <w:gridSpan w:val="2"/>
            <w:tcBorders>
              <w:top w:val="nil"/>
              <w:left w:val="nil"/>
              <w:bottom w:val="single" w:color="auto" w:sz="4" w:space="0"/>
              <w:right w:val="single" w:color="auto" w:sz="4" w:space="0"/>
            </w:tcBorders>
            <w:shd w:val="clear" w:color="000000" w:fill="FFFFFF"/>
            <w:vAlign w:val="center"/>
          </w:tcPr>
          <w:p w14:paraId="361D18ED">
            <w:pPr>
              <w:jc w:val="left"/>
              <w:rPr>
                <w:rFonts w:ascii="仿宋" w:hAnsi="仿宋" w:eastAsia="仿宋" w:cs="仿宋"/>
                <w:kern w:val="0"/>
                <w:sz w:val="27"/>
                <w:szCs w:val="27"/>
              </w:rPr>
            </w:pPr>
            <w:r>
              <w:rPr>
                <w:rFonts w:hint="eastAsia" w:ascii="仿宋" w:hAnsi="仿宋" w:eastAsia="仿宋" w:cs="仿宋"/>
                <w:kern w:val="0"/>
                <w:sz w:val="27"/>
                <w:szCs w:val="27"/>
              </w:rPr>
              <w:t>按照《服务合同》，</w:t>
            </w:r>
            <w:r>
              <w:rPr>
                <w:rFonts w:hint="eastAsia" w:ascii="仿宋" w:hAnsi="仿宋" w:eastAsia="仿宋" w:cs="仿宋"/>
                <w:kern w:val="0"/>
                <w:sz w:val="27"/>
                <w:szCs w:val="27"/>
                <w:lang w:val="en-US" w:eastAsia="zh-CN"/>
              </w:rPr>
              <w:t>配备符合要求</w:t>
            </w:r>
            <w:r>
              <w:rPr>
                <w:rFonts w:hint="eastAsia" w:ascii="仿宋" w:hAnsi="仿宋" w:eastAsia="仿宋" w:cs="仿宋"/>
                <w:kern w:val="0"/>
                <w:sz w:val="27"/>
                <w:szCs w:val="27"/>
              </w:rPr>
              <w:t>的项目负责人及相关人员；人员未按时到位的</w:t>
            </w:r>
          </w:p>
        </w:tc>
        <w:tc>
          <w:tcPr>
            <w:tcW w:w="1375" w:type="dxa"/>
            <w:tcBorders>
              <w:top w:val="nil"/>
              <w:left w:val="nil"/>
              <w:bottom w:val="single" w:color="auto" w:sz="4" w:space="0"/>
              <w:right w:val="single" w:color="auto" w:sz="4" w:space="0"/>
            </w:tcBorders>
            <w:shd w:val="clear" w:color="000000" w:fill="FFFFFF"/>
            <w:vAlign w:val="center"/>
          </w:tcPr>
          <w:p w14:paraId="41C3DFDE">
            <w:pPr>
              <w:jc w:val="center"/>
              <w:rPr>
                <w:rFonts w:ascii="仿宋" w:hAnsi="仿宋" w:eastAsia="仿宋" w:cs="仿宋"/>
                <w:kern w:val="0"/>
                <w:sz w:val="27"/>
                <w:szCs w:val="27"/>
              </w:rPr>
            </w:pPr>
            <w:r>
              <w:rPr>
                <w:rFonts w:hint="eastAsia" w:ascii="仿宋" w:hAnsi="仿宋" w:eastAsia="仿宋" w:cs="仿宋"/>
                <w:kern w:val="0"/>
                <w:sz w:val="27"/>
                <w:szCs w:val="27"/>
              </w:rPr>
              <w:t>每人次</w:t>
            </w:r>
          </w:p>
          <w:p w14:paraId="0DFC4657">
            <w:pPr>
              <w:jc w:val="center"/>
              <w:rPr>
                <w:rFonts w:ascii="仿宋" w:hAnsi="仿宋" w:eastAsia="仿宋" w:cs="仿宋"/>
                <w:kern w:val="0"/>
                <w:sz w:val="27"/>
                <w:szCs w:val="27"/>
              </w:rPr>
            </w:pPr>
            <w:r>
              <w:rPr>
                <w:rFonts w:hint="eastAsia" w:ascii="仿宋" w:hAnsi="仿宋" w:eastAsia="仿宋" w:cs="仿宋"/>
                <w:kern w:val="0"/>
                <w:sz w:val="27"/>
                <w:szCs w:val="27"/>
              </w:rPr>
              <w:t xml:space="preserve">扣1分 </w:t>
            </w:r>
          </w:p>
        </w:tc>
        <w:tc>
          <w:tcPr>
            <w:tcW w:w="1062" w:type="dxa"/>
            <w:tcBorders>
              <w:top w:val="nil"/>
              <w:left w:val="nil"/>
              <w:bottom w:val="single" w:color="auto" w:sz="4" w:space="0"/>
              <w:right w:val="single" w:color="auto" w:sz="4" w:space="0"/>
            </w:tcBorders>
            <w:shd w:val="clear" w:color="000000" w:fill="FFFFFF"/>
            <w:vAlign w:val="center"/>
          </w:tcPr>
          <w:p w14:paraId="2A1E7B41">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3AC1959E">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1CBD7395">
        <w:tblPrEx>
          <w:tblCellMar>
            <w:top w:w="0" w:type="dxa"/>
            <w:left w:w="108" w:type="dxa"/>
            <w:bottom w:w="0" w:type="dxa"/>
            <w:right w:w="108" w:type="dxa"/>
          </w:tblCellMar>
        </w:tblPrEx>
        <w:trPr>
          <w:trHeight w:val="720" w:hRule="atLeast"/>
        </w:trPr>
        <w:tc>
          <w:tcPr>
            <w:tcW w:w="900" w:type="dxa"/>
            <w:vMerge w:val="continue"/>
            <w:tcBorders>
              <w:top w:val="nil"/>
              <w:left w:val="single" w:color="auto" w:sz="4" w:space="0"/>
              <w:bottom w:val="single" w:color="auto" w:sz="4" w:space="0"/>
              <w:right w:val="single" w:color="auto" w:sz="4" w:space="0"/>
            </w:tcBorders>
            <w:vAlign w:val="center"/>
          </w:tcPr>
          <w:p w14:paraId="0ED60FBA">
            <w:pPr>
              <w:jc w:val="left"/>
              <w:rPr>
                <w:rFonts w:ascii="仿宋" w:hAnsi="仿宋" w:eastAsia="仿宋" w:cs="仿宋"/>
                <w:kern w:val="0"/>
                <w:sz w:val="27"/>
                <w:szCs w:val="27"/>
              </w:rPr>
            </w:pPr>
          </w:p>
        </w:tc>
        <w:tc>
          <w:tcPr>
            <w:tcW w:w="1225" w:type="dxa"/>
            <w:vMerge w:val="continue"/>
            <w:tcBorders>
              <w:top w:val="nil"/>
              <w:left w:val="single" w:color="auto" w:sz="4" w:space="0"/>
              <w:bottom w:val="single" w:color="auto" w:sz="4" w:space="0"/>
              <w:right w:val="single" w:color="auto" w:sz="4" w:space="0"/>
            </w:tcBorders>
            <w:vAlign w:val="center"/>
          </w:tcPr>
          <w:p w14:paraId="290F3410">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478DB546">
            <w:pPr>
              <w:jc w:val="left"/>
              <w:rPr>
                <w:rFonts w:hint="default" w:ascii="仿宋" w:hAnsi="仿宋" w:eastAsia="仿宋" w:cs="仿宋"/>
                <w:kern w:val="0"/>
                <w:sz w:val="27"/>
                <w:szCs w:val="27"/>
                <w:highlight w:val="none"/>
                <w:lang w:val="en-US" w:eastAsia="zh-CN"/>
              </w:rPr>
            </w:pPr>
            <w:r>
              <w:rPr>
                <w:rFonts w:hint="eastAsia" w:ascii="仿宋" w:hAnsi="仿宋" w:eastAsia="仿宋" w:cs="仿宋"/>
                <w:kern w:val="0"/>
                <w:sz w:val="27"/>
                <w:szCs w:val="27"/>
                <w:highlight w:val="none"/>
              </w:rPr>
              <w:t>按《服务合同》要求，</w:t>
            </w:r>
            <w:r>
              <w:rPr>
                <w:rFonts w:hint="eastAsia" w:ascii="仿宋" w:hAnsi="仿宋" w:eastAsia="仿宋" w:cs="仿宋"/>
                <w:kern w:val="0"/>
                <w:sz w:val="27"/>
                <w:szCs w:val="27"/>
                <w:highlight w:val="none"/>
                <w:lang w:val="en-US" w:eastAsia="zh-CN"/>
              </w:rPr>
              <w:t>搭建应用垃圾计量实时监管系统并保证稳定运行</w:t>
            </w:r>
            <w:r>
              <w:rPr>
                <w:rFonts w:hint="eastAsia" w:ascii="仿宋" w:hAnsi="仿宋" w:eastAsia="仿宋" w:cs="仿宋"/>
                <w:kern w:val="0"/>
                <w:sz w:val="27"/>
                <w:szCs w:val="27"/>
                <w:highlight w:val="none"/>
              </w:rPr>
              <w:t>；</w:t>
            </w:r>
            <w:r>
              <w:rPr>
                <w:rFonts w:hint="eastAsia" w:ascii="仿宋" w:hAnsi="仿宋" w:eastAsia="仿宋" w:cs="仿宋"/>
                <w:kern w:val="0"/>
                <w:sz w:val="27"/>
                <w:szCs w:val="27"/>
                <w:highlight w:val="none"/>
                <w:lang w:val="en-US" w:eastAsia="zh-CN"/>
              </w:rPr>
              <w:t>监管系统未应用以及运维不到位</w:t>
            </w:r>
            <w:r>
              <w:rPr>
                <w:rFonts w:hint="eastAsia" w:ascii="仿宋" w:hAnsi="仿宋" w:eastAsia="仿宋" w:cs="仿宋"/>
                <w:kern w:val="0"/>
                <w:sz w:val="27"/>
                <w:szCs w:val="27"/>
                <w:highlight w:val="none"/>
              </w:rPr>
              <w:t>的</w:t>
            </w:r>
            <w:r>
              <w:rPr>
                <w:rFonts w:hint="eastAsia" w:ascii="仿宋" w:hAnsi="仿宋" w:eastAsia="仿宋" w:cs="仿宋"/>
                <w:kern w:val="0"/>
                <w:sz w:val="27"/>
                <w:szCs w:val="27"/>
                <w:highlight w:val="none"/>
                <w:lang w:eastAsia="zh-CN"/>
              </w:rPr>
              <w:t>，</w:t>
            </w:r>
            <w:r>
              <w:rPr>
                <w:rFonts w:hint="eastAsia" w:ascii="仿宋" w:hAnsi="仿宋" w:eastAsia="仿宋" w:cs="仿宋"/>
                <w:kern w:val="0"/>
                <w:sz w:val="27"/>
                <w:szCs w:val="27"/>
                <w:highlight w:val="none"/>
                <w:lang w:val="en-US" w:eastAsia="zh-CN"/>
              </w:rPr>
              <w:t>影响工作开展的</w:t>
            </w:r>
          </w:p>
        </w:tc>
        <w:tc>
          <w:tcPr>
            <w:tcW w:w="1375" w:type="dxa"/>
            <w:tcBorders>
              <w:top w:val="nil"/>
              <w:left w:val="nil"/>
              <w:bottom w:val="single" w:color="auto" w:sz="4" w:space="0"/>
              <w:right w:val="single" w:color="auto" w:sz="4" w:space="0"/>
            </w:tcBorders>
            <w:shd w:val="clear" w:color="000000" w:fill="FFFFFF"/>
            <w:vAlign w:val="center"/>
          </w:tcPr>
          <w:p w14:paraId="38D6FF57">
            <w:pPr>
              <w:jc w:val="center"/>
              <w:rPr>
                <w:rFonts w:ascii="仿宋" w:hAnsi="仿宋" w:eastAsia="仿宋" w:cs="仿宋"/>
                <w:kern w:val="0"/>
                <w:sz w:val="27"/>
                <w:szCs w:val="27"/>
                <w:highlight w:val="none"/>
              </w:rPr>
            </w:pPr>
            <w:r>
              <w:rPr>
                <w:rFonts w:hint="eastAsia" w:ascii="仿宋" w:hAnsi="仿宋" w:eastAsia="仿宋" w:cs="仿宋"/>
                <w:kern w:val="0"/>
                <w:sz w:val="27"/>
                <w:szCs w:val="27"/>
                <w:highlight w:val="none"/>
              </w:rPr>
              <w:t xml:space="preserve">每发现一次扣1分 </w:t>
            </w:r>
          </w:p>
        </w:tc>
        <w:tc>
          <w:tcPr>
            <w:tcW w:w="1062" w:type="dxa"/>
            <w:tcBorders>
              <w:top w:val="nil"/>
              <w:left w:val="nil"/>
              <w:bottom w:val="single" w:color="auto" w:sz="4" w:space="0"/>
              <w:right w:val="single" w:color="auto" w:sz="4" w:space="0"/>
            </w:tcBorders>
            <w:shd w:val="clear" w:color="000000" w:fill="FFFFFF"/>
            <w:vAlign w:val="center"/>
          </w:tcPr>
          <w:p w14:paraId="3132B857">
            <w:pPr>
              <w:jc w:val="center"/>
              <w:rPr>
                <w:rFonts w:ascii="仿宋" w:hAnsi="仿宋" w:eastAsia="仿宋" w:cs="仿宋"/>
                <w:kern w:val="0"/>
                <w:sz w:val="27"/>
                <w:szCs w:val="27"/>
                <w:highlight w:val="yellow"/>
              </w:rPr>
            </w:pPr>
          </w:p>
        </w:tc>
        <w:tc>
          <w:tcPr>
            <w:tcW w:w="888" w:type="dxa"/>
            <w:tcBorders>
              <w:top w:val="nil"/>
              <w:left w:val="nil"/>
              <w:bottom w:val="single" w:color="auto" w:sz="4" w:space="0"/>
              <w:right w:val="single" w:color="auto" w:sz="4" w:space="0"/>
            </w:tcBorders>
            <w:shd w:val="clear" w:color="000000" w:fill="FFFFFF"/>
            <w:vAlign w:val="center"/>
          </w:tcPr>
          <w:p w14:paraId="301720B1">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2D28762F">
        <w:tblPrEx>
          <w:tblCellMar>
            <w:top w:w="0" w:type="dxa"/>
            <w:left w:w="108" w:type="dxa"/>
            <w:bottom w:w="0" w:type="dxa"/>
            <w:right w:w="108" w:type="dxa"/>
          </w:tblCellMar>
        </w:tblPrEx>
        <w:trPr>
          <w:trHeight w:val="1005" w:hRule="atLeast"/>
        </w:trPr>
        <w:tc>
          <w:tcPr>
            <w:tcW w:w="900" w:type="dxa"/>
            <w:vMerge w:val="continue"/>
            <w:tcBorders>
              <w:top w:val="nil"/>
              <w:left w:val="single" w:color="auto" w:sz="4" w:space="0"/>
              <w:bottom w:val="single" w:color="auto" w:sz="4" w:space="0"/>
              <w:right w:val="single" w:color="auto" w:sz="4" w:space="0"/>
            </w:tcBorders>
            <w:vAlign w:val="center"/>
          </w:tcPr>
          <w:p w14:paraId="2D6CD72D">
            <w:pPr>
              <w:jc w:val="left"/>
              <w:rPr>
                <w:rFonts w:ascii="仿宋" w:hAnsi="仿宋" w:eastAsia="仿宋" w:cs="仿宋"/>
                <w:kern w:val="0"/>
                <w:sz w:val="27"/>
                <w:szCs w:val="27"/>
              </w:rPr>
            </w:pPr>
          </w:p>
        </w:tc>
        <w:tc>
          <w:tcPr>
            <w:tcW w:w="1225" w:type="dxa"/>
            <w:vMerge w:val="continue"/>
            <w:tcBorders>
              <w:top w:val="nil"/>
              <w:left w:val="single" w:color="auto" w:sz="4" w:space="0"/>
              <w:bottom w:val="single" w:color="auto" w:sz="4" w:space="0"/>
              <w:right w:val="single" w:color="auto" w:sz="4" w:space="0"/>
            </w:tcBorders>
            <w:vAlign w:val="center"/>
          </w:tcPr>
          <w:p w14:paraId="744126E2">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7F265DB1">
            <w:pPr>
              <w:jc w:val="left"/>
              <w:rPr>
                <w:rFonts w:ascii="仿宋" w:hAnsi="仿宋" w:eastAsia="仿宋" w:cs="仿宋"/>
                <w:kern w:val="0"/>
                <w:sz w:val="27"/>
                <w:szCs w:val="27"/>
                <w:highlight w:val="none"/>
              </w:rPr>
            </w:pPr>
            <w:r>
              <w:rPr>
                <w:rFonts w:hint="eastAsia" w:ascii="仿宋" w:hAnsi="仿宋" w:eastAsia="仿宋" w:cs="仿宋"/>
                <w:kern w:val="0"/>
                <w:sz w:val="27"/>
                <w:szCs w:val="27"/>
                <w:highlight w:val="none"/>
              </w:rPr>
              <w:t>根据</w:t>
            </w:r>
            <w:r>
              <w:rPr>
                <w:rFonts w:hint="eastAsia" w:ascii="仿宋" w:hAnsi="仿宋" w:eastAsia="仿宋" w:cs="仿宋"/>
                <w:kern w:val="0"/>
                <w:sz w:val="27"/>
                <w:szCs w:val="27"/>
                <w:highlight w:val="none"/>
                <w:lang w:eastAsia="zh-CN"/>
              </w:rPr>
              <w:t>《</w:t>
            </w:r>
            <w:r>
              <w:rPr>
                <w:rFonts w:hint="eastAsia" w:ascii="仿宋" w:hAnsi="仿宋" w:eastAsia="仿宋" w:cs="仿宋"/>
                <w:kern w:val="0"/>
                <w:sz w:val="27"/>
                <w:szCs w:val="27"/>
                <w:highlight w:val="none"/>
              </w:rPr>
              <w:t>服务合同</w:t>
            </w:r>
            <w:r>
              <w:rPr>
                <w:rFonts w:hint="eastAsia" w:ascii="仿宋" w:hAnsi="仿宋" w:eastAsia="仿宋" w:cs="仿宋"/>
                <w:kern w:val="0"/>
                <w:sz w:val="27"/>
                <w:szCs w:val="27"/>
                <w:highlight w:val="none"/>
                <w:lang w:eastAsia="zh-CN"/>
              </w:rPr>
              <w:t>》</w:t>
            </w:r>
            <w:r>
              <w:rPr>
                <w:rFonts w:hint="eastAsia" w:ascii="仿宋" w:hAnsi="仿宋" w:eastAsia="仿宋" w:cs="仿宋"/>
                <w:kern w:val="0"/>
                <w:sz w:val="27"/>
                <w:szCs w:val="27"/>
                <w:highlight w:val="none"/>
                <w:lang w:val="en-US" w:eastAsia="zh-CN"/>
              </w:rPr>
              <w:t>要求</w:t>
            </w:r>
            <w:r>
              <w:rPr>
                <w:rFonts w:hint="eastAsia" w:ascii="仿宋" w:hAnsi="仿宋" w:eastAsia="仿宋" w:cs="仿宋"/>
                <w:kern w:val="0"/>
                <w:sz w:val="27"/>
                <w:szCs w:val="27"/>
                <w:highlight w:val="none"/>
                <w:lang w:eastAsia="zh-CN"/>
              </w:rPr>
              <w:t>，</w:t>
            </w:r>
            <w:r>
              <w:rPr>
                <w:rFonts w:hint="eastAsia" w:ascii="仿宋" w:hAnsi="仿宋" w:eastAsia="仿宋" w:cs="仿宋"/>
                <w:kern w:val="0"/>
                <w:sz w:val="27"/>
                <w:szCs w:val="27"/>
                <w:highlight w:val="none"/>
              </w:rPr>
              <w:t>配备必要的劳动保护用品与监管设备，未按照安全管理要求配备并规范穿戴使用的</w:t>
            </w:r>
          </w:p>
        </w:tc>
        <w:tc>
          <w:tcPr>
            <w:tcW w:w="1375" w:type="dxa"/>
            <w:tcBorders>
              <w:top w:val="nil"/>
              <w:left w:val="nil"/>
              <w:bottom w:val="single" w:color="auto" w:sz="4" w:space="0"/>
              <w:right w:val="single" w:color="auto" w:sz="4" w:space="0"/>
            </w:tcBorders>
            <w:shd w:val="clear" w:color="000000" w:fill="FFFFFF"/>
            <w:vAlign w:val="center"/>
          </w:tcPr>
          <w:p w14:paraId="390BA74A">
            <w:pPr>
              <w:jc w:val="center"/>
              <w:rPr>
                <w:rFonts w:ascii="仿宋" w:hAnsi="仿宋" w:eastAsia="仿宋" w:cs="仿宋"/>
                <w:kern w:val="0"/>
                <w:sz w:val="27"/>
                <w:szCs w:val="27"/>
                <w:highlight w:val="none"/>
              </w:rPr>
            </w:pPr>
            <w:r>
              <w:rPr>
                <w:rFonts w:hint="eastAsia" w:ascii="仿宋" w:hAnsi="仿宋" w:eastAsia="仿宋" w:cs="仿宋"/>
                <w:kern w:val="0"/>
                <w:sz w:val="27"/>
                <w:szCs w:val="27"/>
                <w:highlight w:val="none"/>
              </w:rPr>
              <w:t xml:space="preserve">每发现一次扣1分 </w:t>
            </w:r>
          </w:p>
        </w:tc>
        <w:tc>
          <w:tcPr>
            <w:tcW w:w="1062" w:type="dxa"/>
            <w:tcBorders>
              <w:top w:val="nil"/>
              <w:left w:val="nil"/>
              <w:bottom w:val="single" w:color="auto" w:sz="4" w:space="0"/>
              <w:right w:val="single" w:color="auto" w:sz="4" w:space="0"/>
            </w:tcBorders>
            <w:shd w:val="clear" w:color="000000" w:fill="FFFFFF"/>
            <w:vAlign w:val="center"/>
          </w:tcPr>
          <w:p w14:paraId="04606CB0">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2D1D9039">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6A8CFA48">
        <w:tblPrEx>
          <w:tblCellMar>
            <w:top w:w="0" w:type="dxa"/>
            <w:left w:w="108" w:type="dxa"/>
            <w:bottom w:w="0" w:type="dxa"/>
            <w:right w:w="108" w:type="dxa"/>
          </w:tblCellMar>
        </w:tblPrEx>
        <w:trPr>
          <w:trHeight w:val="810" w:hRule="atLeast"/>
        </w:trPr>
        <w:tc>
          <w:tcPr>
            <w:tcW w:w="900" w:type="dxa"/>
            <w:vMerge w:val="continue"/>
            <w:tcBorders>
              <w:top w:val="nil"/>
              <w:left w:val="single" w:color="auto" w:sz="4" w:space="0"/>
              <w:bottom w:val="single" w:color="auto" w:sz="4" w:space="0"/>
              <w:right w:val="single" w:color="auto" w:sz="4" w:space="0"/>
            </w:tcBorders>
            <w:vAlign w:val="center"/>
          </w:tcPr>
          <w:p w14:paraId="677CC8CD">
            <w:pPr>
              <w:jc w:val="left"/>
              <w:rPr>
                <w:rFonts w:ascii="仿宋" w:hAnsi="仿宋" w:eastAsia="仿宋" w:cs="仿宋"/>
                <w:kern w:val="0"/>
                <w:sz w:val="27"/>
                <w:szCs w:val="27"/>
              </w:rPr>
            </w:pPr>
          </w:p>
        </w:tc>
        <w:tc>
          <w:tcPr>
            <w:tcW w:w="1225" w:type="dxa"/>
            <w:vMerge w:val="continue"/>
            <w:tcBorders>
              <w:top w:val="nil"/>
              <w:left w:val="single" w:color="auto" w:sz="4" w:space="0"/>
              <w:bottom w:val="single" w:color="auto" w:sz="4" w:space="0"/>
              <w:right w:val="single" w:color="auto" w:sz="4" w:space="0"/>
            </w:tcBorders>
            <w:vAlign w:val="center"/>
          </w:tcPr>
          <w:p w14:paraId="6CD78182">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5BF495AD">
            <w:pPr>
              <w:jc w:val="left"/>
              <w:rPr>
                <w:rFonts w:ascii="仿宋" w:hAnsi="仿宋" w:eastAsia="仿宋" w:cs="仿宋"/>
                <w:kern w:val="0"/>
                <w:sz w:val="27"/>
                <w:szCs w:val="27"/>
              </w:rPr>
            </w:pPr>
            <w:r>
              <w:rPr>
                <w:rFonts w:hint="eastAsia" w:ascii="仿宋" w:hAnsi="仿宋" w:eastAsia="仿宋" w:cs="仿宋"/>
                <w:kern w:val="0"/>
                <w:sz w:val="27"/>
                <w:szCs w:val="27"/>
              </w:rPr>
              <w:t>配备必备的规范、标准及和配套的相关资料；规范、标准及和配套的相关资料不齐全，影响工作开展的</w:t>
            </w:r>
          </w:p>
        </w:tc>
        <w:tc>
          <w:tcPr>
            <w:tcW w:w="1375" w:type="dxa"/>
            <w:tcBorders>
              <w:top w:val="nil"/>
              <w:left w:val="nil"/>
              <w:bottom w:val="single" w:color="auto" w:sz="4" w:space="0"/>
              <w:right w:val="single" w:color="auto" w:sz="4" w:space="0"/>
            </w:tcBorders>
            <w:shd w:val="clear" w:color="000000" w:fill="FFFFFF"/>
            <w:vAlign w:val="center"/>
          </w:tcPr>
          <w:p w14:paraId="65745F5F">
            <w:pPr>
              <w:jc w:val="center"/>
              <w:rPr>
                <w:rFonts w:ascii="仿宋" w:hAnsi="仿宋" w:eastAsia="仿宋" w:cs="仿宋"/>
                <w:kern w:val="0"/>
                <w:sz w:val="27"/>
                <w:szCs w:val="27"/>
              </w:rPr>
            </w:pPr>
            <w:r>
              <w:rPr>
                <w:rFonts w:hint="eastAsia" w:ascii="仿宋" w:hAnsi="仿宋" w:eastAsia="仿宋" w:cs="仿宋"/>
                <w:kern w:val="0"/>
                <w:sz w:val="27"/>
                <w:szCs w:val="27"/>
              </w:rPr>
              <w:t xml:space="preserve">每发现一次扣1分 </w:t>
            </w:r>
          </w:p>
        </w:tc>
        <w:tc>
          <w:tcPr>
            <w:tcW w:w="1062" w:type="dxa"/>
            <w:tcBorders>
              <w:top w:val="nil"/>
              <w:left w:val="nil"/>
              <w:bottom w:val="single" w:color="auto" w:sz="4" w:space="0"/>
              <w:right w:val="single" w:color="auto" w:sz="4" w:space="0"/>
            </w:tcBorders>
            <w:shd w:val="clear" w:color="000000" w:fill="FFFFFF"/>
            <w:vAlign w:val="center"/>
          </w:tcPr>
          <w:p w14:paraId="043578B9">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040ED968">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761B615C">
        <w:tblPrEx>
          <w:tblCellMar>
            <w:top w:w="0" w:type="dxa"/>
            <w:left w:w="108" w:type="dxa"/>
            <w:bottom w:w="0" w:type="dxa"/>
            <w:right w:w="108" w:type="dxa"/>
          </w:tblCellMar>
        </w:tblPrEx>
        <w:trPr>
          <w:trHeight w:val="975" w:hRule="atLeast"/>
        </w:trPr>
        <w:tc>
          <w:tcPr>
            <w:tcW w:w="900" w:type="dxa"/>
            <w:vMerge w:val="restart"/>
            <w:tcBorders>
              <w:top w:val="nil"/>
              <w:left w:val="single" w:color="auto" w:sz="4" w:space="0"/>
              <w:bottom w:val="single" w:color="auto" w:sz="4" w:space="0"/>
              <w:right w:val="single" w:color="auto" w:sz="4" w:space="0"/>
            </w:tcBorders>
            <w:shd w:val="clear" w:color="000000" w:fill="FFFFFF"/>
            <w:vAlign w:val="center"/>
          </w:tcPr>
          <w:p w14:paraId="686CD0D1">
            <w:pPr>
              <w:jc w:val="center"/>
              <w:rPr>
                <w:rFonts w:ascii="仿宋" w:hAnsi="仿宋" w:eastAsia="仿宋" w:cs="仿宋"/>
                <w:kern w:val="0"/>
                <w:sz w:val="27"/>
                <w:szCs w:val="27"/>
              </w:rPr>
            </w:pPr>
            <w:r>
              <w:rPr>
                <w:rFonts w:hint="eastAsia" w:ascii="仿宋" w:hAnsi="仿宋" w:eastAsia="仿宋" w:cs="仿宋"/>
                <w:kern w:val="0"/>
                <w:sz w:val="27"/>
                <w:szCs w:val="27"/>
              </w:rPr>
              <w:t>3</w:t>
            </w:r>
          </w:p>
        </w:tc>
        <w:tc>
          <w:tcPr>
            <w:tcW w:w="1225" w:type="dxa"/>
            <w:vMerge w:val="restart"/>
            <w:tcBorders>
              <w:top w:val="nil"/>
              <w:left w:val="single" w:color="auto" w:sz="4" w:space="0"/>
              <w:bottom w:val="single" w:color="auto" w:sz="4" w:space="0"/>
              <w:right w:val="single" w:color="auto" w:sz="4" w:space="0"/>
            </w:tcBorders>
            <w:shd w:val="clear" w:color="000000" w:fill="FFFFFF"/>
            <w:vAlign w:val="center"/>
          </w:tcPr>
          <w:p w14:paraId="41A86CF2">
            <w:pPr>
              <w:jc w:val="center"/>
              <w:rPr>
                <w:rFonts w:ascii="仿宋" w:hAnsi="仿宋" w:eastAsia="仿宋" w:cs="仿宋"/>
                <w:kern w:val="0"/>
                <w:sz w:val="27"/>
                <w:szCs w:val="27"/>
              </w:rPr>
            </w:pPr>
            <w:r>
              <w:rPr>
                <w:rFonts w:hint="eastAsia" w:ascii="仿宋" w:hAnsi="仿宋" w:eastAsia="仿宋" w:cs="仿宋"/>
                <w:kern w:val="0"/>
                <w:sz w:val="27"/>
                <w:szCs w:val="27"/>
              </w:rPr>
              <w:t>监管行为考核</w:t>
            </w:r>
          </w:p>
        </w:tc>
        <w:tc>
          <w:tcPr>
            <w:tcW w:w="4275" w:type="dxa"/>
            <w:gridSpan w:val="2"/>
            <w:tcBorders>
              <w:top w:val="nil"/>
              <w:left w:val="nil"/>
              <w:bottom w:val="single" w:color="auto" w:sz="4" w:space="0"/>
              <w:right w:val="single" w:color="auto" w:sz="4" w:space="0"/>
            </w:tcBorders>
            <w:shd w:val="clear" w:color="000000" w:fill="FFFFFF"/>
            <w:vAlign w:val="center"/>
          </w:tcPr>
          <w:p w14:paraId="7D61E1DE">
            <w:pPr>
              <w:jc w:val="left"/>
              <w:rPr>
                <w:rFonts w:ascii="仿宋" w:hAnsi="仿宋" w:eastAsia="仿宋" w:cs="仿宋"/>
                <w:kern w:val="0"/>
                <w:sz w:val="27"/>
                <w:szCs w:val="27"/>
              </w:rPr>
            </w:pPr>
            <w:r>
              <w:rPr>
                <w:rFonts w:hint="eastAsia" w:ascii="仿宋" w:hAnsi="仿宋" w:eastAsia="仿宋" w:cs="仿宋"/>
                <w:kern w:val="0"/>
                <w:sz w:val="27"/>
                <w:szCs w:val="27"/>
              </w:rPr>
              <w:t>在监管时段内，对一般性运营隐患和问题未能及时发现和上报的</w:t>
            </w:r>
          </w:p>
        </w:tc>
        <w:tc>
          <w:tcPr>
            <w:tcW w:w="1375" w:type="dxa"/>
            <w:tcBorders>
              <w:top w:val="nil"/>
              <w:left w:val="nil"/>
              <w:bottom w:val="single" w:color="auto" w:sz="4" w:space="0"/>
              <w:right w:val="single" w:color="auto" w:sz="4" w:space="0"/>
            </w:tcBorders>
            <w:shd w:val="clear" w:color="000000" w:fill="FFFFFF"/>
            <w:vAlign w:val="center"/>
          </w:tcPr>
          <w:p w14:paraId="510F1097">
            <w:pPr>
              <w:jc w:val="center"/>
              <w:rPr>
                <w:rFonts w:ascii="仿宋" w:hAnsi="仿宋" w:eastAsia="仿宋" w:cs="仿宋"/>
                <w:kern w:val="0"/>
                <w:sz w:val="27"/>
                <w:szCs w:val="27"/>
              </w:rPr>
            </w:pPr>
            <w:r>
              <w:rPr>
                <w:rFonts w:hint="eastAsia" w:ascii="仿宋" w:hAnsi="仿宋" w:eastAsia="仿宋" w:cs="仿宋"/>
                <w:kern w:val="0"/>
                <w:sz w:val="27"/>
                <w:szCs w:val="27"/>
              </w:rPr>
              <w:t>每次</w:t>
            </w:r>
            <w:r>
              <w:rPr>
                <w:rFonts w:hint="eastAsia" w:ascii="仿宋" w:hAnsi="仿宋" w:eastAsia="仿宋" w:cs="仿宋"/>
                <w:kern w:val="0"/>
                <w:sz w:val="27"/>
                <w:szCs w:val="27"/>
              </w:rPr>
              <w:br w:type="textWrapping"/>
            </w:r>
            <w:r>
              <w:rPr>
                <w:rFonts w:hint="eastAsia" w:ascii="仿宋" w:hAnsi="仿宋" w:eastAsia="仿宋" w:cs="仿宋"/>
                <w:kern w:val="0"/>
                <w:sz w:val="27"/>
                <w:szCs w:val="27"/>
              </w:rPr>
              <w:t>扣2分</w:t>
            </w:r>
          </w:p>
        </w:tc>
        <w:tc>
          <w:tcPr>
            <w:tcW w:w="1062" w:type="dxa"/>
            <w:tcBorders>
              <w:top w:val="nil"/>
              <w:left w:val="nil"/>
              <w:bottom w:val="single" w:color="auto" w:sz="4" w:space="0"/>
              <w:right w:val="single" w:color="auto" w:sz="4" w:space="0"/>
            </w:tcBorders>
            <w:shd w:val="clear" w:color="000000" w:fill="FFFFFF"/>
            <w:vAlign w:val="center"/>
          </w:tcPr>
          <w:p w14:paraId="30BB755F">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3F15C542">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262C6A75">
        <w:tblPrEx>
          <w:tblCellMar>
            <w:top w:w="0" w:type="dxa"/>
            <w:left w:w="108" w:type="dxa"/>
            <w:bottom w:w="0" w:type="dxa"/>
            <w:right w:w="108" w:type="dxa"/>
          </w:tblCellMar>
        </w:tblPrEx>
        <w:trPr>
          <w:trHeight w:val="795" w:hRule="atLeast"/>
        </w:trPr>
        <w:tc>
          <w:tcPr>
            <w:tcW w:w="900" w:type="dxa"/>
            <w:vMerge w:val="continue"/>
            <w:tcBorders>
              <w:top w:val="nil"/>
              <w:left w:val="single" w:color="auto" w:sz="4" w:space="0"/>
              <w:bottom w:val="single" w:color="auto" w:sz="4" w:space="0"/>
              <w:right w:val="single" w:color="auto" w:sz="4" w:space="0"/>
            </w:tcBorders>
            <w:vAlign w:val="center"/>
          </w:tcPr>
          <w:p w14:paraId="2FF0102A">
            <w:pPr>
              <w:jc w:val="left"/>
              <w:rPr>
                <w:rFonts w:ascii="仿宋" w:hAnsi="仿宋" w:eastAsia="仿宋" w:cs="仿宋"/>
                <w:kern w:val="0"/>
                <w:sz w:val="27"/>
                <w:szCs w:val="27"/>
              </w:rPr>
            </w:pPr>
          </w:p>
        </w:tc>
        <w:tc>
          <w:tcPr>
            <w:tcW w:w="1225" w:type="dxa"/>
            <w:vMerge w:val="continue"/>
            <w:tcBorders>
              <w:top w:val="nil"/>
              <w:left w:val="single" w:color="auto" w:sz="4" w:space="0"/>
              <w:bottom w:val="single" w:color="auto" w:sz="4" w:space="0"/>
              <w:right w:val="single" w:color="auto" w:sz="4" w:space="0"/>
            </w:tcBorders>
            <w:vAlign w:val="center"/>
          </w:tcPr>
          <w:p w14:paraId="783B60ED">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664C1434">
            <w:pPr>
              <w:jc w:val="left"/>
              <w:rPr>
                <w:rFonts w:ascii="仿宋" w:hAnsi="仿宋" w:eastAsia="仿宋" w:cs="仿宋"/>
                <w:kern w:val="0"/>
                <w:sz w:val="27"/>
                <w:szCs w:val="27"/>
              </w:rPr>
            </w:pPr>
            <w:r>
              <w:rPr>
                <w:rFonts w:hint="eastAsia" w:ascii="仿宋" w:hAnsi="仿宋" w:eastAsia="仿宋" w:cs="仿宋"/>
                <w:kern w:val="0"/>
                <w:sz w:val="27"/>
                <w:szCs w:val="27"/>
              </w:rPr>
              <w:t>对重大的运营隐患和问题未能及时发现和上报，但未造成事故的</w:t>
            </w:r>
          </w:p>
        </w:tc>
        <w:tc>
          <w:tcPr>
            <w:tcW w:w="1375" w:type="dxa"/>
            <w:tcBorders>
              <w:top w:val="nil"/>
              <w:left w:val="nil"/>
              <w:bottom w:val="single" w:color="auto" w:sz="4" w:space="0"/>
              <w:right w:val="single" w:color="auto" w:sz="4" w:space="0"/>
            </w:tcBorders>
            <w:shd w:val="clear" w:color="000000" w:fill="FFFFFF"/>
            <w:vAlign w:val="center"/>
          </w:tcPr>
          <w:p w14:paraId="0109F1C0">
            <w:pPr>
              <w:jc w:val="center"/>
              <w:rPr>
                <w:rFonts w:ascii="仿宋" w:hAnsi="仿宋" w:eastAsia="仿宋" w:cs="仿宋"/>
                <w:kern w:val="0"/>
                <w:sz w:val="27"/>
                <w:szCs w:val="27"/>
              </w:rPr>
            </w:pPr>
            <w:r>
              <w:rPr>
                <w:rFonts w:hint="eastAsia" w:ascii="仿宋" w:hAnsi="仿宋" w:eastAsia="仿宋" w:cs="仿宋"/>
                <w:kern w:val="0"/>
                <w:sz w:val="27"/>
                <w:szCs w:val="27"/>
              </w:rPr>
              <w:t>每次</w:t>
            </w:r>
            <w:r>
              <w:rPr>
                <w:rFonts w:hint="eastAsia" w:ascii="仿宋" w:hAnsi="仿宋" w:eastAsia="仿宋" w:cs="仿宋"/>
                <w:kern w:val="0"/>
                <w:sz w:val="27"/>
                <w:szCs w:val="27"/>
              </w:rPr>
              <w:br w:type="textWrapping"/>
            </w:r>
            <w:r>
              <w:rPr>
                <w:rFonts w:hint="eastAsia" w:ascii="仿宋" w:hAnsi="仿宋" w:eastAsia="仿宋" w:cs="仿宋"/>
                <w:kern w:val="0"/>
                <w:sz w:val="27"/>
                <w:szCs w:val="27"/>
              </w:rPr>
              <w:t xml:space="preserve">扣5分 </w:t>
            </w:r>
          </w:p>
        </w:tc>
        <w:tc>
          <w:tcPr>
            <w:tcW w:w="1062" w:type="dxa"/>
            <w:tcBorders>
              <w:top w:val="nil"/>
              <w:left w:val="nil"/>
              <w:bottom w:val="single" w:color="auto" w:sz="4" w:space="0"/>
              <w:right w:val="single" w:color="auto" w:sz="4" w:space="0"/>
            </w:tcBorders>
            <w:shd w:val="clear" w:color="000000" w:fill="FFFFFF"/>
            <w:vAlign w:val="center"/>
          </w:tcPr>
          <w:p w14:paraId="45E937E3">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13793F24">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0F3905D6">
        <w:tblPrEx>
          <w:tblCellMar>
            <w:top w:w="0" w:type="dxa"/>
            <w:left w:w="108" w:type="dxa"/>
            <w:bottom w:w="0" w:type="dxa"/>
            <w:right w:w="108" w:type="dxa"/>
          </w:tblCellMar>
        </w:tblPrEx>
        <w:trPr>
          <w:trHeight w:val="765" w:hRule="atLeast"/>
        </w:trPr>
        <w:tc>
          <w:tcPr>
            <w:tcW w:w="900" w:type="dxa"/>
            <w:vMerge w:val="continue"/>
            <w:tcBorders>
              <w:top w:val="nil"/>
              <w:left w:val="single" w:color="auto" w:sz="4" w:space="0"/>
              <w:bottom w:val="single" w:color="auto" w:sz="4" w:space="0"/>
              <w:right w:val="single" w:color="auto" w:sz="4" w:space="0"/>
            </w:tcBorders>
            <w:vAlign w:val="center"/>
          </w:tcPr>
          <w:p w14:paraId="64FA8AF5">
            <w:pPr>
              <w:jc w:val="left"/>
              <w:rPr>
                <w:rFonts w:ascii="仿宋" w:hAnsi="仿宋" w:eastAsia="仿宋" w:cs="仿宋"/>
                <w:kern w:val="0"/>
                <w:sz w:val="27"/>
                <w:szCs w:val="27"/>
              </w:rPr>
            </w:pPr>
          </w:p>
        </w:tc>
        <w:tc>
          <w:tcPr>
            <w:tcW w:w="1225" w:type="dxa"/>
            <w:vMerge w:val="continue"/>
            <w:tcBorders>
              <w:top w:val="nil"/>
              <w:left w:val="single" w:color="auto" w:sz="4" w:space="0"/>
              <w:bottom w:val="single" w:color="auto" w:sz="4" w:space="0"/>
              <w:right w:val="single" w:color="auto" w:sz="4" w:space="0"/>
            </w:tcBorders>
            <w:vAlign w:val="center"/>
          </w:tcPr>
          <w:p w14:paraId="483903F0">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502C047B">
            <w:pPr>
              <w:jc w:val="left"/>
              <w:rPr>
                <w:rFonts w:ascii="仿宋" w:hAnsi="仿宋" w:eastAsia="仿宋" w:cs="仿宋"/>
                <w:kern w:val="0"/>
                <w:sz w:val="27"/>
                <w:szCs w:val="27"/>
              </w:rPr>
            </w:pPr>
            <w:r>
              <w:rPr>
                <w:rFonts w:hint="eastAsia" w:ascii="仿宋" w:hAnsi="仿宋" w:eastAsia="仿宋" w:cs="仿宋"/>
                <w:kern w:val="0"/>
                <w:sz w:val="27"/>
                <w:szCs w:val="27"/>
              </w:rPr>
              <w:t>对重大的运营隐患和问题未能及时发现和上报，造成事故的</w:t>
            </w:r>
          </w:p>
        </w:tc>
        <w:tc>
          <w:tcPr>
            <w:tcW w:w="1375" w:type="dxa"/>
            <w:tcBorders>
              <w:top w:val="nil"/>
              <w:left w:val="nil"/>
              <w:bottom w:val="single" w:color="auto" w:sz="4" w:space="0"/>
              <w:right w:val="single" w:color="auto" w:sz="4" w:space="0"/>
            </w:tcBorders>
            <w:shd w:val="clear" w:color="000000" w:fill="FFFFFF"/>
            <w:vAlign w:val="center"/>
          </w:tcPr>
          <w:p w14:paraId="0875BA4D">
            <w:pPr>
              <w:jc w:val="center"/>
              <w:rPr>
                <w:rFonts w:ascii="仿宋" w:hAnsi="仿宋" w:eastAsia="仿宋" w:cs="仿宋"/>
                <w:kern w:val="0"/>
                <w:sz w:val="27"/>
                <w:szCs w:val="27"/>
              </w:rPr>
            </w:pPr>
            <w:r>
              <w:rPr>
                <w:rFonts w:hint="eastAsia" w:ascii="仿宋" w:hAnsi="仿宋" w:eastAsia="仿宋" w:cs="仿宋"/>
                <w:kern w:val="0"/>
                <w:sz w:val="27"/>
                <w:szCs w:val="27"/>
              </w:rPr>
              <w:t>每次扣10分</w:t>
            </w:r>
          </w:p>
        </w:tc>
        <w:tc>
          <w:tcPr>
            <w:tcW w:w="1062" w:type="dxa"/>
            <w:tcBorders>
              <w:top w:val="nil"/>
              <w:left w:val="nil"/>
              <w:bottom w:val="single" w:color="auto" w:sz="4" w:space="0"/>
              <w:right w:val="single" w:color="auto" w:sz="4" w:space="0"/>
            </w:tcBorders>
            <w:shd w:val="clear" w:color="000000" w:fill="FFFFFF"/>
            <w:vAlign w:val="center"/>
          </w:tcPr>
          <w:p w14:paraId="52593081">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5AA3E53A">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6BB5C4CD">
        <w:tblPrEx>
          <w:tblCellMar>
            <w:top w:w="0" w:type="dxa"/>
            <w:left w:w="108" w:type="dxa"/>
            <w:bottom w:w="0" w:type="dxa"/>
            <w:right w:w="108" w:type="dxa"/>
          </w:tblCellMar>
        </w:tblPrEx>
        <w:trPr>
          <w:trHeight w:val="810" w:hRule="atLeast"/>
        </w:trPr>
        <w:tc>
          <w:tcPr>
            <w:tcW w:w="900" w:type="dxa"/>
            <w:vMerge w:val="continue"/>
            <w:tcBorders>
              <w:top w:val="nil"/>
              <w:left w:val="single" w:color="auto" w:sz="4" w:space="0"/>
              <w:bottom w:val="single" w:color="auto" w:sz="4" w:space="0"/>
              <w:right w:val="single" w:color="auto" w:sz="4" w:space="0"/>
            </w:tcBorders>
            <w:vAlign w:val="center"/>
          </w:tcPr>
          <w:p w14:paraId="687DEF26">
            <w:pPr>
              <w:jc w:val="left"/>
              <w:rPr>
                <w:rFonts w:ascii="仿宋" w:hAnsi="仿宋" w:eastAsia="仿宋" w:cs="仿宋"/>
                <w:kern w:val="0"/>
                <w:sz w:val="27"/>
                <w:szCs w:val="27"/>
              </w:rPr>
            </w:pPr>
          </w:p>
        </w:tc>
        <w:tc>
          <w:tcPr>
            <w:tcW w:w="1225" w:type="dxa"/>
            <w:vMerge w:val="continue"/>
            <w:tcBorders>
              <w:top w:val="nil"/>
              <w:left w:val="single" w:color="auto" w:sz="4" w:space="0"/>
              <w:bottom w:val="single" w:color="auto" w:sz="4" w:space="0"/>
              <w:right w:val="single" w:color="auto" w:sz="4" w:space="0"/>
            </w:tcBorders>
            <w:vAlign w:val="center"/>
          </w:tcPr>
          <w:p w14:paraId="60E2DC52">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353D6008">
            <w:pPr>
              <w:jc w:val="left"/>
              <w:rPr>
                <w:rFonts w:ascii="仿宋" w:hAnsi="仿宋" w:eastAsia="仿宋" w:cs="仿宋"/>
                <w:kern w:val="0"/>
                <w:sz w:val="27"/>
                <w:szCs w:val="27"/>
              </w:rPr>
            </w:pPr>
            <w:r>
              <w:rPr>
                <w:rFonts w:hint="eastAsia" w:ascii="仿宋" w:hAnsi="仿宋" w:eastAsia="仿宋" w:cs="仿宋"/>
                <w:kern w:val="0"/>
                <w:sz w:val="27"/>
                <w:szCs w:val="27"/>
              </w:rPr>
              <w:t>对已发现的重大问题和隐患，未及时通知运营方或通知甲方，但未造成事故的</w:t>
            </w:r>
          </w:p>
        </w:tc>
        <w:tc>
          <w:tcPr>
            <w:tcW w:w="1375" w:type="dxa"/>
            <w:tcBorders>
              <w:top w:val="nil"/>
              <w:left w:val="nil"/>
              <w:bottom w:val="single" w:color="auto" w:sz="4" w:space="0"/>
              <w:right w:val="single" w:color="auto" w:sz="4" w:space="0"/>
            </w:tcBorders>
            <w:shd w:val="clear" w:color="000000" w:fill="FFFFFF"/>
            <w:vAlign w:val="center"/>
          </w:tcPr>
          <w:p w14:paraId="190144AE">
            <w:pPr>
              <w:jc w:val="center"/>
              <w:rPr>
                <w:rFonts w:ascii="仿宋" w:hAnsi="仿宋" w:eastAsia="仿宋" w:cs="仿宋"/>
                <w:kern w:val="0"/>
                <w:sz w:val="27"/>
                <w:szCs w:val="27"/>
              </w:rPr>
            </w:pPr>
            <w:r>
              <w:rPr>
                <w:rFonts w:hint="eastAsia" w:ascii="仿宋" w:hAnsi="仿宋" w:eastAsia="仿宋" w:cs="仿宋"/>
                <w:kern w:val="0"/>
                <w:sz w:val="27"/>
                <w:szCs w:val="27"/>
              </w:rPr>
              <w:t xml:space="preserve">每次扣5分 </w:t>
            </w:r>
          </w:p>
        </w:tc>
        <w:tc>
          <w:tcPr>
            <w:tcW w:w="1062" w:type="dxa"/>
            <w:tcBorders>
              <w:top w:val="nil"/>
              <w:left w:val="nil"/>
              <w:bottom w:val="single" w:color="auto" w:sz="4" w:space="0"/>
              <w:right w:val="single" w:color="auto" w:sz="4" w:space="0"/>
            </w:tcBorders>
            <w:shd w:val="clear" w:color="000000" w:fill="FFFFFF"/>
            <w:vAlign w:val="center"/>
          </w:tcPr>
          <w:p w14:paraId="4DF5069A">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7A41E0C8">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7CC0A3B4">
        <w:tblPrEx>
          <w:tblCellMar>
            <w:top w:w="0" w:type="dxa"/>
            <w:left w:w="108" w:type="dxa"/>
            <w:bottom w:w="0" w:type="dxa"/>
            <w:right w:w="108" w:type="dxa"/>
          </w:tblCellMar>
        </w:tblPrEx>
        <w:trPr>
          <w:trHeight w:val="1005" w:hRule="atLeast"/>
        </w:trPr>
        <w:tc>
          <w:tcPr>
            <w:tcW w:w="900" w:type="dxa"/>
            <w:vMerge w:val="continue"/>
            <w:tcBorders>
              <w:top w:val="nil"/>
              <w:left w:val="single" w:color="auto" w:sz="4" w:space="0"/>
              <w:bottom w:val="single" w:color="auto" w:sz="4" w:space="0"/>
              <w:right w:val="single" w:color="auto" w:sz="4" w:space="0"/>
            </w:tcBorders>
            <w:vAlign w:val="center"/>
          </w:tcPr>
          <w:p w14:paraId="23FD48B7">
            <w:pPr>
              <w:jc w:val="left"/>
              <w:rPr>
                <w:rFonts w:ascii="仿宋" w:hAnsi="仿宋" w:eastAsia="仿宋" w:cs="仿宋"/>
                <w:kern w:val="0"/>
                <w:sz w:val="27"/>
                <w:szCs w:val="27"/>
              </w:rPr>
            </w:pPr>
          </w:p>
        </w:tc>
        <w:tc>
          <w:tcPr>
            <w:tcW w:w="1225" w:type="dxa"/>
            <w:vMerge w:val="continue"/>
            <w:tcBorders>
              <w:top w:val="nil"/>
              <w:left w:val="single" w:color="auto" w:sz="4" w:space="0"/>
              <w:bottom w:val="single" w:color="auto" w:sz="4" w:space="0"/>
              <w:right w:val="single" w:color="auto" w:sz="4" w:space="0"/>
            </w:tcBorders>
            <w:vAlign w:val="center"/>
          </w:tcPr>
          <w:p w14:paraId="68DCDBEF">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2A6D40FF">
            <w:pPr>
              <w:jc w:val="left"/>
              <w:rPr>
                <w:rFonts w:ascii="仿宋" w:hAnsi="仿宋" w:eastAsia="仿宋" w:cs="仿宋"/>
                <w:kern w:val="0"/>
                <w:sz w:val="27"/>
                <w:szCs w:val="27"/>
              </w:rPr>
            </w:pPr>
            <w:r>
              <w:rPr>
                <w:rFonts w:hint="eastAsia" w:ascii="仿宋" w:hAnsi="仿宋" w:eastAsia="仿宋" w:cs="仿宋"/>
                <w:kern w:val="0"/>
                <w:sz w:val="27"/>
                <w:szCs w:val="27"/>
              </w:rPr>
              <w:t>对已发现的重大问题和隐患，未及时通知运营方或通知甲方，造成事故的</w:t>
            </w:r>
          </w:p>
        </w:tc>
        <w:tc>
          <w:tcPr>
            <w:tcW w:w="1375" w:type="dxa"/>
            <w:tcBorders>
              <w:top w:val="nil"/>
              <w:left w:val="nil"/>
              <w:bottom w:val="single" w:color="auto" w:sz="4" w:space="0"/>
              <w:right w:val="single" w:color="auto" w:sz="4" w:space="0"/>
            </w:tcBorders>
            <w:shd w:val="clear" w:color="000000" w:fill="FFFFFF"/>
            <w:vAlign w:val="center"/>
          </w:tcPr>
          <w:p w14:paraId="0BBA1F2E">
            <w:pPr>
              <w:jc w:val="center"/>
              <w:rPr>
                <w:rFonts w:ascii="仿宋" w:hAnsi="仿宋" w:eastAsia="仿宋" w:cs="仿宋"/>
                <w:kern w:val="0"/>
                <w:sz w:val="27"/>
                <w:szCs w:val="27"/>
              </w:rPr>
            </w:pPr>
            <w:r>
              <w:rPr>
                <w:rFonts w:hint="eastAsia" w:ascii="仿宋" w:hAnsi="仿宋" w:eastAsia="仿宋" w:cs="仿宋"/>
                <w:kern w:val="0"/>
                <w:sz w:val="27"/>
                <w:szCs w:val="27"/>
              </w:rPr>
              <w:t>每次扣10分</w:t>
            </w:r>
          </w:p>
        </w:tc>
        <w:tc>
          <w:tcPr>
            <w:tcW w:w="1062" w:type="dxa"/>
            <w:tcBorders>
              <w:top w:val="nil"/>
              <w:left w:val="nil"/>
              <w:bottom w:val="single" w:color="auto" w:sz="4" w:space="0"/>
              <w:right w:val="single" w:color="auto" w:sz="4" w:space="0"/>
            </w:tcBorders>
            <w:shd w:val="clear" w:color="000000" w:fill="FFFFFF"/>
            <w:vAlign w:val="center"/>
          </w:tcPr>
          <w:p w14:paraId="6249CE04">
            <w:pPr>
              <w:jc w:val="center"/>
              <w:rPr>
                <w:rFonts w:ascii="仿宋" w:hAnsi="仿宋" w:eastAsia="仿宋" w:cs="仿宋"/>
                <w:kern w:val="0"/>
                <w:sz w:val="27"/>
                <w:szCs w:val="27"/>
              </w:rPr>
            </w:pPr>
          </w:p>
        </w:tc>
        <w:tc>
          <w:tcPr>
            <w:tcW w:w="888" w:type="dxa"/>
            <w:tcBorders>
              <w:top w:val="nil"/>
              <w:left w:val="nil"/>
              <w:bottom w:val="single" w:color="auto" w:sz="4" w:space="0"/>
              <w:right w:val="single" w:color="auto" w:sz="4" w:space="0"/>
            </w:tcBorders>
            <w:shd w:val="clear" w:color="000000" w:fill="FFFFFF"/>
            <w:vAlign w:val="center"/>
          </w:tcPr>
          <w:p w14:paraId="47F866F4">
            <w:pPr>
              <w:jc w:val="center"/>
              <w:rPr>
                <w:rFonts w:ascii="仿宋" w:hAnsi="仿宋" w:eastAsia="仿宋" w:cs="仿宋"/>
                <w:kern w:val="0"/>
                <w:sz w:val="27"/>
                <w:szCs w:val="27"/>
              </w:rPr>
            </w:pPr>
          </w:p>
        </w:tc>
      </w:tr>
      <w:tr w14:paraId="65DE55BF">
        <w:tblPrEx>
          <w:tblCellMar>
            <w:top w:w="0" w:type="dxa"/>
            <w:left w:w="108" w:type="dxa"/>
            <w:bottom w:w="0" w:type="dxa"/>
            <w:right w:w="108" w:type="dxa"/>
          </w:tblCellMar>
        </w:tblPrEx>
        <w:trPr>
          <w:trHeight w:val="1005" w:hRule="atLeast"/>
        </w:trPr>
        <w:tc>
          <w:tcPr>
            <w:tcW w:w="900" w:type="dxa"/>
            <w:vMerge w:val="continue"/>
            <w:tcBorders>
              <w:top w:val="nil"/>
              <w:left w:val="single" w:color="auto" w:sz="4" w:space="0"/>
              <w:bottom w:val="single" w:color="auto" w:sz="4" w:space="0"/>
              <w:right w:val="single" w:color="auto" w:sz="4" w:space="0"/>
            </w:tcBorders>
            <w:vAlign w:val="center"/>
          </w:tcPr>
          <w:p w14:paraId="1513BE4F">
            <w:pPr>
              <w:jc w:val="left"/>
              <w:rPr>
                <w:rFonts w:ascii="仿宋" w:hAnsi="仿宋" w:eastAsia="仿宋" w:cs="仿宋"/>
                <w:kern w:val="0"/>
                <w:sz w:val="27"/>
                <w:szCs w:val="27"/>
              </w:rPr>
            </w:pPr>
          </w:p>
        </w:tc>
        <w:tc>
          <w:tcPr>
            <w:tcW w:w="1225" w:type="dxa"/>
            <w:vMerge w:val="continue"/>
            <w:tcBorders>
              <w:top w:val="nil"/>
              <w:left w:val="single" w:color="auto" w:sz="4" w:space="0"/>
              <w:bottom w:val="single" w:color="auto" w:sz="4" w:space="0"/>
              <w:right w:val="single" w:color="auto" w:sz="4" w:space="0"/>
            </w:tcBorders>
            <w:vAlign w:val="center"/>
          </w:tcPr>
          <w:p w14:paraId="7C5C74BC">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7F66114E">
            <w:pPr>
              <w:jc w:val="left"/>
              <w:rPr>
                <w:rFonts w:ascii="仿宋" w:hAnsi="仿宋" w:eastAsia="仿宋" w:cs="仿宋"/>
                <w:kern w:val="0"/>
                <w:sz w:val="27"/>
                <w:szCs w:val="27"/>
              </w:rPr>
            </w:pPr>
            <w:r>
              <w:rPr>
                <w:rFonts w:hint="eastAsia" w:ascii="仿宋" w:hAnsi="仿宋" w:eastAsia="仿宋" w:cs="仿宋"/>
                <w:kern w:val="0"/>
                <w:sz w:val="27"/>
                <w:szCs w:val="27"/>
              </w:rPr>
              <w:t>紧急情况时，驻厂人员接获通知2 个小时内到达现场（夜间4小时），并及时做好信息采集、 登记和上报工作;2个小时内没有到达现场（夜间4小时）的</w:t>
            </w:r>
          </w:p>
        </w:tc>
        <w:tc>
          <w:tcPr>
            <w:tcW w:w="1375" w:type="dxa"/>
            <w:tcBorders>
              <w:top w:val="nil"/>
              <w:left w:val="nil"/>
              <w:bottom w:val="single" w:color="auto" w:sz="4" w:space="0"/>
              <w:right w:val="single" w:color="auto" w:sz="4" w:space="0"/>
            </w:tcBorders>
            <w:shd w:val="clear" w:color="000000" w:fill="FFFFFF"/>
            <w:vAlign w:val="center"/>
          </w:tcPr>
          <w:p w14:paraId="2642656D">
            <w:pPr>
              <w:jc w:val="center"/>
              <w:rPr>
                <w:rFonts w:ascii="仿宋" w:hAnsi="仿宋" w:eastAsia="仿宋" w:cs="仿宋"/>
                <w:kern w:val="0"/>
                <w:sz w:val="27"/>
                <w:szCs w:val="27"/>
              </w:rPr>
            </w:pPr>
            <w:r>
              <w:rPr>
                <w:rFonts w:hint="eastAsia" w:ascii="仿宋" w:hAnsi="仿宋" w:eastAsia="仿宋" w:cs="仿宋"/>
                <w:kern w:val="0"/>
                <w:sz w:val="27"/>
                <w:szCs w:val="27"/>
              </w:rPr>
              <w:t>每次</w:t>
            </w:r>
            <w:r>
              <w:rPr>
                <w:rFonts w:hint="eastAsia" w:ascii="仿宋" w:hAnsi="仿宋" w:eastAsia="仿宋" w:cs="仿宋"/>
                <w:kern w:val="0"/>
                <w:sz w:val="27"/>
                <w:szCs w:val="27"/>
              </w:rPr>
              <w:br w:type="textWrapping"/>
            </w:r>
            <w:r>
              <w:rPr>
                <w:rFonts w:hint="eastAsia" w:ascii="仿宋" w:hAnsi="仿宋" w:eastAsia="仿宋" w:cs="仿宋"/>
                <w:kern w:val="0"/>
                <w:sz w:val="27"/>
                <w:szCs w:val="27"/>
              </w:rPr>
              <w:t xml:space="preserve">扣2分 </w:t>
            </w:r>
          </w:p>
        </w:tc>
        <w:tc>
          <w:tcPr>
            <w:tcW w:w="1062" w:type="dxa"/>
            <w:tcBorders>
              <w:top w:val="nil"/>
              <w:left w:val="nil"/>
              <w:bottom w:val="single" w:color="auto" w:sz="4" w:space="0"/>
              <w:right w:val="single" w:color="auto" w:sz="4" w:space="0"/>
            </w:tcBorders>
            <w:shd w:val="clear" w:color="000000" w:fill="FFFFFF"/>
            <w:vAlign w:val="center"/>
          </w:tcPr>
          <w:p w14:paraId="1966A554">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4A942319">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6CD84E82">
        <w:tblPrEx>
          <w:tblCellMar>
            <w:top w:w="0" w:type="dxa"/>
            <w:left w:w="108" w:type="dxa"/>
            <w:bottom w:w="0" w:type="dxa"/>
            <w:right w:w="108" w:type="dxa"/>
          </w:tblCellMar>
        </w:tblPrEx>
        <w:trPr>
          <w:trHeight w:val="660" w:hRule="atLeast"/>
        </w:trPr>
        <w:tc>
          <w:tcPr>
            <w:tcW w:w="900" w:type="dxa"/>
            <w:vMerge w:val="continue"/>
            <w:tcBorders>
              <w:top w:val="nil"/>
              <w:left w:val="single" w:color="auto" w:sz="4" w:space="0"/>
              <w:bottom w:val="single" w:color="auto" w:sz="4" w:space="0"/>
              <w:right w:val="single" w:color="auto" w:sz="4" w:space="0"/>
            </w:tcBorders>
            <w:vAlign w:val="center"/>
          </w:tcPr>
          <w:p w14:paraId="76D1863C">
            <w:pPr>
              <w:jc w:val="left"/>
              <w:rPr>
                <w:rFonts w:ascii="仿宋" w:hAnsi="仿宋" w:eastAsia="仿宋" w:cs="仿宋"/>
                <w:kern w:val="0"/>
                <w:sz w:val="27"/>
                <w:szCs w:val="27"/>
              </w:rPr>
            </w:pPr>
          </w:p>
        </w:tc>
        <w:tc>
          <w:tcPr>
            <w:tcW w:w="1225" w:type="dxa"/>
            <w:vMerge w:val="continue"/>
            <w:tcBorders>
              <w:top w:val="nil"/>
              <w:left w:val="single" w:color="auto" w:sz="4" w:space="0"/>
              <w:bottom w:val="single" w:color="auto" w:sz="4" w:space="0"/>
              <w:right w:val="single" w:color="auto" w:sz="4" w:space="0"/>
            </w:tcBorders>
            <w:vAlign w:val="center"/>
          </w:tcPr>
          <w:p w14:paraId="1C656622">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294EC75F">
            <w:pPr>
              <w:jc w:val="left"/>
              <w:rPr>
                <w:rFonts w:hint="eastAsia" w:ascii="仿宋" w:hAnsi="仿宋" w:eastAsia="仿宋" w:cs="仿宋"/>
                <w:kern w:val="0"/>
                <w:sz w:val="27"/>
                <w:szCs w:val="27"/>
                <w:lang w:eastAsia="zh-CN"/>
              </w:rPr>
            </w:pPr>
            <w:r>
              <w:rPr>
                <w:rFonts w:hint="eastAsia" w:ascii="仿宋" w:hAnsi="仿宋" w:eastAsia="仿宋" w:cs="仿宋"/>
                <w:kern w:val="0"/>
                <w:sz w:val="27"/>
                <w:szCs w:val="27"/>
                <w:highlight w:val="none"/>
              </w:rPr>
              <w:t>现场监管工作开展不规范，影响运营单位正常生产运行，经甲方确认属实的</w:t>
            </w:r>
          </w:p>
        </w:tc>
        <w:tc>
          <w:tcPr>
            <w:tcW w:w="1375" w:type="dxa"/>
            <w:tcBorders>
              <w:top w:val="nil"/>
              <w:left w:val="nil"/>
              <w:bottom w:val="single" w:color="auto" w:sz="4" w:space="0"/>
              <w:right w:val="single" w:color="auto" w:sz="4" w:space="0"/>
            </w:tcBorders>
            <w:shd w:val="clear" w:color="000000" w:fill="FFFFFF"/>
            <w:vAlign w:val="center"/>
          </w:tcPr>
          <w:p w14:paraId="1A8F1F0C">
            <w:pPr>
              <w:jc w:val="center"/>
              <w:rPr>
                <w:rFonts w:ascii="仿宋" w:hAnsi="仿宋" w:eastAsia="仿宋" w:cs="仿宋"/>
                <w:kern w:val="0"/>
                <w:sz w:val="27"/>
                <w:szCs w:val="27"/>
              </w:rPr>
            </w:pPr>
            <w:r>
              <w:rPr>
                <w:rFonts w:hint="eastAsia" w:ascii="仿宋" w:hAnsi="仿宋" w:eastAsia="仿宋" w:cs="仿宋"/>
                <w:kern w:val="0"/>
                <w:sz w:val="27"/>
                <w:szCs w:val="27"/>
              </w:rPr>
              <w:t>每次</w:t>
            </w:r>
            <w:r>
              <w:rPr>
                <w:rFonts w:hint="eastAsia" w:ascii="仿宋" w:hAnsi="仿宋" w:eastAsia="仿宋" w:cs="仿宋"/>
                <w:kern w:val="0"/>
                <w:sz w:val="27"/>
                <w:szCs w:val="27"/>
              </w:rPr>
              <w:br w:type="page"/>
            </w:r>
            <w:r>
              <w:rPr>
                <w:rFonts w:hint="eastAsia" w:ascii="仿宋" w:hAnsi="仿宋" w:eastAsia="仿宋" w:cs="仿宋"/>
                <w:kern w:val="0"/>
                <w:sz w:val="27"/>
                <w:szCs w:val="27"/>
              </w:rPr>
              <w:t>扣2分</w:t>
            </w:r>
          </w:p>
        </w:tc>
        <w:tc>
          <w:tcPr>
            <w:tcW w:w="1062" w:type="dxa"/>
            <w:tcBorders>
              <w:top w:val="nil"/>
              <w:left w:val="nil"/>
              <w:bottom w:val="single" w:color="auto" w:sz="4" w:space="0"/>
              <w:right w:val="single" w:color="auto" w:sz="4" w:space="0"/>
            </w:tcBorders>
            <w:shd w:val="clear" w:color="000000" w:fill="FFFFFF"/>
            <w:vAlign w:val="center"/>
          </w:tcPr>
          <w:p w14:paraId="1C92328C">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5B76533A">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2002B9F9">
        <w:tblPrEx>
          <w:tblCellMar>
            <w:top w:w="0" w:type="dxa"/>
            <w:left w:w="108" w:type="dxa"/>
            <w:bottom w:w="0" w:type="dxa"/>
            <w:right w:w="108" w:type="dxa"/>
          </w:tblCellMar>
        </w:tblPrEx>
        <w:trPr>
          <w:trHeight w:val="990" w:hRule="atLeast"/>
        </w:trPr>
        <w:tc>
          <w:tcPr>
            <w:tcW w:w="900" w:type="dxa"/>
            <w:vMerge w:val="continue"/>
            <w:tcBorders>
              <w:top w:val="nil"/>
              <w:left w:val="single" w:color="auto" w:sz="4" w:space="0"/>
              <w:bottom w:val="single" w:color="auto" w:sz="4" w:space="0"/>
              <w:right w:val="single" w:color="auto" w:sz="4" w:space="0"/>
            </w:tcBorders>
            <w:vAlign w:val="center"/>
          </w:tcPr>
          <w:p w14:paraId="5F624607">
            <w:pPr>
              <w:jc w:val="left"/>
              <w:rPr>
                <w:rFonts w:ascii="仿宋" w:hAnsi="仿宋" w:eastAsia="仿宋" w:cs="仿宋"/>
                <w:kern w:val="0"/>
                <w:sz w:val="27"/>
                <w:szCs w:val="27"/>
              </w:rPr>
            </w:pPr>
          </w:p>
        </w:tc>
        <w:tc>
          <w:tcPr>
            <w:tcW w:w="1225" w:type="dxa"/>
            <w:vMerge w:val="continue"/>
            <w:tcBorders>
              <w:top w:val="nil"/>
              <w:left w:val="single" w:color="auto" w:sz="4" w:space="0"/>
              <w:bottom w:val="single" w:color="auto" w:sz="4" w:space="0"/>
              <w:right w:val="single" w:color="auto" w:sz="4" w:space="0"/>
            </w:tcBorders>
            <w:vAlign w:val="center"/>
          </w:tcPr>
          <w:p w14:paraId="2E88B31D">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3043CFCE">
            <w:pPr>
              <w:jc w:val="left"/>
              <w:rPr>
                <w:rFonts w:ascii="仿宋" w:hAnsi="仿宋" w:eastAsia="仿宋" w:cs="仿宋"/>
                <w:kern w:val="0"/>
                <w:sz w:val="27"/>
                <w:szCs w:val="27"/>
              </w:rPr>
            </w:pPr>
            <w:r>
              <w:rPr>
                <w:rFonts w:hint="eastAsia" w:ascii="仿宋" w:hAnsi="仿宋" w:eastAsia="仿宋" w:cs="仿宋"/>
                <w:kern w:val="0"/>
                <w:sz w:val="27"/>
                <w:szCs w:val="27"/>
              </w:rPr>
              <w:t>提出合理的整改要求或建议，并跟踪整改的落实;未能做到合理提出整改要求或建议，或未做到跟踪整改的落实</w:t>
            </w:r>
          </w:p>
        </w:tc>
        <w:tc>
          <w:tcPr>
            <w:tcW w:w="1375" w:type="dxa"/>
            <w:tcBorders>
              <w:top w:val="nil"/>
              <w:left w:val="nil"/>
              <w:bottom w:val="single" w:color="auto" w:sz="4" w:space="0"/>
              <w:right w:val="single" w:color="auto" w:sz="4" w:space="0"/>
            </w:tcBorders>
            <w:shd w:val="clear" w:color="000000" w:fill="FFFFFF"/>
            <w:vAlign w:val="center"/>
          </w:tcPr>
          <w:p w14:paraId="123E6533">
            <w:pPr>
              <w:jc w:val="center"/>
              <w:rPr>
                <w:rFonts w:ascii="仿宋" w:hAnsi="仿宋" w:eastAsia="仿宋" w:cs="仿宋"/>
                <w:kern w:val="0"/>
                <w:sz w:val="27"/>
                <w:szCs w:val="27"/>
              </w:rPr>
            </w:pPr>
            <w:r>
              <w:rPr>
                <w:rFonts w:hint="eastAsia" w:ascii="仿宋" w:hAnsi="仿宋" w:eastAsia="仿宋" w:cs="仿宋"/>
                <w:kern w:val="0"/>
                <w:sz w:val="27"/>
                <w:szCs w:val="27"/>
              </w:rPr>
              <w:t>每次</w:t>
            </w:r>
            <w:r>
              <w:rPr>
                <w:rFonts w:hint="eastAsia" w:ascii="仿宋" w:hAnsi="仿宋" w:eastAsia="仿宋" w:cs="仿宋"/>
                <w:kern w:val="0"/>
                <w:sz w:val="27"/>
                <w:szCs w:val="27"/>
              </w:rPr>
              <w:br w:type="textWrapping"/>
            </w:r>
            <w:r>
              <w:rPr>
                <w:rFonts w:hint="eastAsia" w:ascii="仿宋" w:hAnsi="仿宋" w:eastAsia="仿宋" w:cs="仿宋"/>
                <w:kern w:val="0"/>
                <w:sz w:val="27"/>
                <w:szCs w:val="27"/>
              </w:rPr>
              <w:t xml:space="preserve">扣1分 </w:t>
            </w:r>
          </w:p>
        </w:tc>
        <w:tc>
          <w:tcPr>
            <w:tcW w:w="1062" w:type="dxa"/>
            <w:tcBorders>
              <w:top w:val="nil"/>
              <w:left w:val="nil"/>
              <w:bottom w:val="single" w:color="auto" w:sz="4" w:space="0"/>
              <w:right w:val="single" w:color="auto" w:sz="4" w:space="0"/>
            </w:tcBorders>
            <w:shd w:val="clear" w:color="000000" w:fill="FFFFFF"/>
            <w:vAlign w:val="center"/>
          </w:tcPr>
          <w:p w14:paraId="5320BA3F">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281B2E09">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130A17F2">
        <w:tblPrEx>
          <w:tblCellMar>
            <w:top w:w="0" w:type="dxa"/>
            <w:left w:w="108" w:type="dxa"/>
            <w:bottom w:w="0" w:type="dxa"/>
            <w:right w:w="108" w:type="dxa"/>
          </w:tblCellMar>
        </w:tblPrEx>
        <w:trPr>
          <w:trHeight w:val="690" w:hRule="atLeast"/>
        </w:trPr>
        <w:tc>
          <w:tcPr>
            <w:tcW w:w="900" w:type="dxa"/>
            <w:vMerge w:val="restart"/>
            <w:tcBorders>
              <w:top w:val="nil"/>
              <w:left w:val="single" w:color="auto" w:sz="4" w:space="0"/>
              <w:right w:val="single" w:color="auto" w:sz="4" w:space="0"/>
            </w:tcBorders>
            <w:shd w:val="clear" w:color="000000" w:fill="FFFFFF"/>
            <w:vAlign w:val="center"/>
          </w:tcPr>
          <w:p w14:paraId="7DFB3E1B">
            <w:pPr>
              <w:jc w:val="center"/>
              <w:rPr>
                <w:rFonts w:ascii="仿宋" w:hAnsi="仿宋" w:eastAsia="仿宋" w:cs="仿宋"/>
                <w:kern w:val="0"/>
                <w:sz w:val="27"/>
                <w:szCs w:val="27"/>
              </w:rPr>
            </w:pPr>
            <w:r>
              <w:rPr>
                <w:rFonts w:hint="eastAsia" w:ascii="仿宋" w:hAnsi="仿宋" w:eastAsia="仿宋" w:cs="仿宋"/>
                <w:kern w:val="0"/>
                <w:sz w:val="27"/>
                <w:szCs w:val="27"/>
              </w:rPr>
              <w:t>4</w:t>
            </w:r>
          </w:p>
        </w:tc>
        <w:tc>
          <w:tcPr>
            <w:tcW w:w="1225" w:type="dxa"/>
            <w:vMerge w:val="restart"/>
            <w:tcBorders>
              <w:top w:val="nil"/>
              <w:left w:val="single" w:color="auto" w:sz="4" w:space="0"/>
              <w:right w:val="single" w:color="auto" w:sz="4" w:space="0"/>
            </w:tcBorders>
            <w:shd w:val="clear" w:color="000000" w:fill="FFFFFF"/>
            <w:vAlign w:val="center"/>
          </w:tcPr>
          <w:p w14:paraId="5822F216">
            <w:pPr>
              <w:jc w:val="center"/>
              <w:rPr>
                <w:rFonts w:ascii="仿宋" w:hAnsi="仿宋" w:eastAsia="仿宋" w:cs="仿宋"/>
                <w:kern w:val="0"/>
                <w:sz w:val="27"/>
                <w:szCs w:val="27"/>
              </w:rPr>
            </w:pPr>
            <w:r>
              <w:rPr>
                <w:rFonts w:hint="eastAsia" w:ascii="仿宋" w:hAnsi="仿宋" w:eastAsia="仿宋" w:cs="仿宋"/>
                <w:kern w:val="0"/>
                <w:sz w:val="27"/>
                <w:szCs w:val="27"/>
              </w:rPr>
              <w:t xml:space="preserve">运营监管 </w:t>
            </w:r>
          </w:p>
        </w:tc>
        <w:tc>
          <w:tcPr>
            <w:tcW w:w="4275" w:type="dxa"/>
            <w:gridSpan w:val="2"/>
            <w:tcBorders>
              <w:top w:val="nil"/>
              <w:left w:val="nil"/>
              <w:bottom w:val="single" w:color="auto" w:sz="4" w:space="0"/>
              <w:right w:val="single" w:color="auto" w:sz="4" w:space="0"/>
            </w:tcBorders>
            <w:shd w:val="clear" w:color="000000" w:fill="FFFFFF"/>
            <w:vAlign w:val="center"/>
          </w:tcPr>
          <w:p w14:paraId="09CE10F7">
            <w:pPr>
              <w:jc w:val="left"/>
              <w:rPr>
                <w:rFonts w:ascii="仿宋" w:hAnsi="仿宋" w:eastAsia="仿宋" w:cs="仿宋"/>
                <w:kern w:val="0"/>
                <w:sz w:val="27"/>
                <w:szCs w:val="27"/>
              </w:rPr>
            </w:pPr>
            <w:r>
              <w:rPr>
                <w:rFonts w:hint="eastAsia" w:ascii="仿宋" w:hAnsi="仿宋" w:eastAsia="仿宋" w:cs="仿宋"/>
                <w:kern w:val="0"/>
                <w:sz w:val="27"/>
                <w:szCs w:val="27"/>
              </w:rPr>
              <w:t>监管人员出勤时间配合甲方出勤时间出勤，发现未按规定到勤</w:t>
            </w:r>
          </w:p>
        </w:tc>
        <w:tc>
          <w:tcPr>
            <w:tcW w:w="1375" w:type="dxa"/>
            <w:tcBorders>
              <w:top w:val="nil"/>
              <w:left w:val="nil"/>
              <w:bottom w:val="single" w:color="auto" w:sz="4" w:space="0"/>
              <w:right w:val="single" w:color="auto" w:sz="4" w:space="0"/>
            </w:tcBorders>
            <w:shd w:val="clear" w:color="000000" w:fill="FFFFFF"/>
            <w:vAlign w:val="center"/>
          </w:tcPr>
          <w:p w14:paraId="368B14F8">
            <w:pPr>
              <w:jc w:val="center"/>
              <w:rPr>
                <w:rFonts w:ascii="仿宋" w:hAnsi="仿宋" w:eastAsia="仿宋" w:cs="仿宋"/>
                <w:kern w:val="0"/>
                <w:sz w:val="27"/>
                <w:szCs w:val="27"/>
              </w:rPr>
            </w:pPr>
            <w:r>
              <w:rPr>
                <w:rFonts w:hint="eastAsia" w:ascii="仿宋" w:hAnsi="仿宋" w:eastAsia="仿宋" w:cs="仿宋"/>
                <w:kern w:val="0"/>
                <w:sz w:val="27"/>
                <w:szCs w:val="27"/>
              </w:rPr>
              <w:t>每次</w:t>
            </w:r>
            <w:r>
              <w:rPr>
                <w:rFonts w:hint="eastAsia" w:ascii="仿宋" w:hAnsi="仿宋" w:eastAsia="仿宋" w:cs="仿宋"/>
                <w:kern w:val="0"/>
                <w:sz w:val="27"/>
                <w:szCs w:val="27"/>
              </w:rPr>
              <w:br w:type="textWrapping"/>
            </w:r>
            <w:r>
              <w:rPr>
                <w:rFonts w:hint="eastAsia" w:ascii="仿宋" w:hAnsi="仿宋" w:eastAsia="仿宋" w:cs="仿宋"/>
                <w:kern w:val="0"/>
                <w:sz w:val="27"/>
                <w:szCs w:val="27"/>
              </w:rPr>
              <w:t>扣0.5分</w:t>
            </w:r>
          </w:p>
        </w:tc>
        <w:tc>
          <w:tcPr>
            <w:tcW w:w="1062" w:type="dxa"/>
            <w:tcBorders>
              <w:top w:val="nil"/>
              <w:left w:val="nil"/>
              <w:bottom w:val="single" w:color="auto" w:sz="4" w:space="0"/>
              <w:right w:val="single" w:color="auto" w:sz="4" w:space="0"/>
            </w:tcBorders>
            <w:shd w:val="clear" w:color="000000" w:fill="FFFFFF"/>
            <w:vAlign w:val="center"/>
          </w:tcPr>
          <w:p w14:paraId="37FCA995">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31C82879">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0C66F643">
        <w:tblPrEx>
          <w:tblCellMar>
            <w:top w:w="0" w:type="dxa"/>
            <w:left w:w="108" w:type="dxa"/>
            <w:bottom w:w="0" w:type="dxa"/>
            <w:right w:w="108" w:type="dxa"/>
          </w:tblCellMar>
        </w:tblPrEx>
        <w:trPr>
          <w:trHeight w:val="645" w:hRule="atLeast"/>
        </w:trPr>
        <w:tc>
          <w:tcPr>
            <w:tcW w:w="900" w:type="dxa"/>
            <w:vMerge w:val="continue"/>
            <w:tcBorders>
              <w:left w:val="single" w:color="auto" w:sz="4" w:space="0"/>
              <w:right w:val="single" w:color="auto" w:sz="4" w:space="0"/>
            </w:tcBorders>
            <w:vAlign w:val="center"/>
          </w:tcPr>
          <w:p w14:paraId="3A9971E6">
            <w:pPr>
              <w:jc w:val="left"/>
              <w:rPr>
                <w:rFonts w:ascii="仿宋" w:hAnsi="仿宋" w:eastAsia="仿宋" w:cs="仿宋"/>
                <w:kern w:val="0"/>
                <w:sz w:val="27"/>
                <w:szCs w:val="27"/>
              </w:rPr>
            </w:pPr>
          </w:p>
        </w:tc>
        <w:tc>
          <w:tcPr>
            <w:tcW w:w="1225" w:type="dxa"/>
            <w:vMerge w:val="continue"/>
            <w:tcBorders>
              <w:left w:val="single" w:color="auto" w:sz="4" w:space="0"/>
              <w:right w:val="single" w:color="auto" w:sz="4" w:space="0"/>
            </w:tcBorders>
            <w:vAlign w:val="center"/>
          </w:tcPr>
          <w:p w14:paraId="0609CBDF">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51C0761F">
            <w:pPr>
              <w:jc w:val="left"/>
              <w:rPr>
                <w:rFonts w:ascii="仿宋" w:hAnsi="仿宋" w:eastAsia="仿宋" w:cs="仿宋"/>
                <w:kern w:val="0"/>
                <w:sz w:val="27"/>
                <w:szCs w:val="27"/>
              </w:rPr>
            </w:pPr>
            <w:r>
              <w:rPr>
                <w:rFonts w:hint="eastAsia" w:ascii="仿宋" w:hAnsi="仿宋" w:eastAsia="仿宋" w:cs="仿宋"/>
                <w:kern w:val="0"/>
                <w:sz w:val="27"/>
                <w:szCs w:val="27"/>
              </w:rPr>
              <w:t>乙方监管人员应每日对焚烧厂进行巡查；人员无故缺岗的</w:t>
            </w:r>
          </w:p>
        </w:tc>
        <w:tc>
          <w:tcPr>
            <w:tcW w:w="1375" w:type="dxa"/>
            <w:tcBorders>
              <w:top w:val="nil"/>
              <w:left w:val="nil"/>
              <w:bottom w:val="single" w:color="auto" w:sz="4" w:space="0"/>
              <w:right w:val="single" w:color="auto" w:sz="4" w:space="0"/>
            </w:tcBorders>
            <w:shd w:val="clear" w:color="000000" w:fill="FFFFFF"/>
            <w:vAlign w:val="center"/>
          </w:tcPr>
          <w:p w14:paraId="0C6AD5F2">
            <w:pPr>
              <w:jc w:val="center"/>
              <w:rPr>
                <w:rFonts w:ascii="仿宋" w:hAnsi="仿宋" w:eastAsia="仿宋" w:cs="仿宋"/>
                <w:kern w:val="0"/>
                <w:sz w:val="27"/>
                <w:szCs w:val="27"/>
              </w:rPr>
            </w:pPr>
            <w:r>
              <w:rPr>
                <w:rFonts w:hint="eastAsia" w:ascii="仿宋" w:hAnsi="仿宋" w:eastAsia="仿宋" w:cs="仿宋"/>
                <w:kern w:val="0"/>
                <w:sz w:val="27"/>
                <w:szCs w:val="27"/>
              </w:rPr>
              <w:t>每次</w:t>
            </w:r>
            <w:r>
              <w:rPr>
                <w:rFonts w:hint="eastAsia" w:ascii="仿宋" w:hAnsi="仿宋" w:eastAsia="仿宋" w:cs="仿宋"/>
                <w:kern w:val="0"/>
                <w:sz w:val="27"/>
                <w:szCs w:val="27"/>
              </w:rPr>
              <w:br w:type="textWrapping"/>
            </w:r>
            <w:r>
              <w:rPr>
                <w:rFonts w:hint="eastAsia" w:ascii="仿宋" w:hAnsi="仿宋" w:eastAsia="仿宋" w:cs="仿宋"/>
                <w:kern w:val="0"/>
                <w:sz w:val="27"/>
                <w:szCs w:val="27"/>
              </w:rPr>
              <w:t>扣5分</w:t>
            </w:r>
          </w:p>
        </w:tc>
        <w:tc>
          <w:tcPr>
            <w:tcW w:w="1062" w:type="dxa"/>
            <w:tcBorders>
              <w:top w:val="nil"/>
              <w:left w:val="nil"/>
              <w:bottom w:val="single" w:color="auto" w:sz="4" w:space="0"/>
              <w:right w:val="single" w:color="auto" w:sz="4" w:space="0"/>
            </w:tcBorders>
            <w:shd w:val="clear" w:color="000000" w:fill="FFFFFF"/>
            <w:vAlign w:val="center"/>
          </w:tcPr>
          <w:p w14:paraId="777403A1">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7128F62E">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30A137C8">
        <w:tblPrEx>
          <w:tblCellMar>
            <w:top w:w="0" w:type="dxa"/>
            <w:left w:w="108" w:type="dxa"/>
            <w:bottom w:w="0" w:type="dxa"/>
            <w:right w:w="108" w:type="dxa"/>
          </w:tblCellMar>
        </w:tblPrEx>
        <w:trPr>
          <w:trHeight w:val="990" w:hRule="atLeast"/>
        </w:trPr>
        <w:tc>
          <w:tcPr>
            <w:tcW w:w="900" w:type="dxa"/>
            <w:vMerge w:val="continue"/>
            <w:tcBorders>
              <w:left w:val="single" w:color="auto" w:sz="4" w:space="0"/>
              <w:right w:val="single" w:color="auto" w:sz="4" w:space="0"/>
            </w:tcBorders>
            <w:vAlign w:val="center"/>
          </w:tcPr>
          <w:p w14:paraId="0F2421B8">
            <w:pPr>
              <w:jc w:val="left"/>
              <w:rPr>
                <w:rFonts w:ascii="仿宋" w:hAnsi="仿宋" w:eastAsia="仿宋" w:cs="仿宋"/>
                <w:kern w:val="0"/>
                <w:sz w:val="27"/>
                <w:szCs w:val="27"/>
              </w:rPr>
            </w:pPr>
          </w:p>
        </w:tc>
        <w:tc>
          <w:tcPr>
            <w:tcW w:w="1225" w:type="dxa"/>
            <w:vMerge w:val="continue"/>
            <w:tcBorders>
              <w:left w:val="single" w:color="auto" w:sz="4" w:space="0"/>
              <w:right w:val="single" w:color="auto" w:sz="4" w:space="0"/>
            </w:tcBorders>
            <w:vAlign w:val="center"/>
          </w:tcPr>
          <w:p w14:paraId="64790440">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30D2B040">
            <w:pPr>
              <w:jc w:val="left"/>
              <w:rPr>
                <w:rFonts w:ascii="仿宋" w:hAnsi="仿宋" w:eastAsia="仿宋" w:cs="仿宋"/>
                <w:kern w:val="0"/>
                <w:sz w:val="27"/>
                <w:szCs w:val="27"/>
              </w:rPr>
            </w:pPr>
            <w:r>
              <w:rPr>
                <w:rFonts w:hint="eastAsia" w:ascii="仿宋" w:hAnsi="仿宋" w:eastAsia="仿宋" w:cs="仿宋"/>
                <w:kern w:val="0"/>
                <w:sz w:val="27"/>
                <w:szCs w:val="27"/>
              </w:rPr>
              <w:t>乙方监管人员进入现场需佩戴安全防护用具，未依规定佩戴安全防护用具的</w:t>
            </w:r>
          </w:p>
        </w:tc>
        <w:tc>
          <w:tcPr>
            <w:tcW w:w="1375" w:type="dxa"/>
            <w:tcBorders>
              <w:top w:val="nil"/>
              <w:left w:val="nil"/>
              <w:bottom w:val="single" w:color="auto" w:sz="4" w:space="0"/>
              <w:right w:val="single" w:color="auto" w:sz="4" w:space="0"/>
            </w:tcBorders>
            <w:shd w:val="clear" w:color="000000" w:fill="FFFFFF"/>
            <w:vAlign w:val="center"/>
          </w:tcPr>
          <w:p w14:paraId="54E55372">
            <w:pPr>
              <w:jc w:val="center"/>
              <w:rPr>
                <w:rFonts w:ascii="仿宋" w:hAnsi="仿宋" w:eastAsia="仿宋" w:cs="仿宋"/>
                <w:kern w:val="0"/>
                <w:sz w:val="27"/>
                <w:szCs w:val="27"/>
              </w:rPr>
            </w:pPr>
            <w:r>
              <w:rPr>
                <w:rFonts w:hint="eastAsia" w:ascii="仿宋" w:hAnsi="仿宋" w:eastAsia="仿宋" w:cs="仿宋"/>
                <w:kern w:val="0"/>
                <w:sz w:val="27"/>
                <w:szCs w:val="27"/>
              </w:rPr>
              <w:t>每次</w:t>
            </w:r>
            <w:r>
              <w:rPr>
                <w:rFonts w:hint="eastAsia" w:ascii="仿宋" w:hAnsi="仿宋" w:eastAsia="仿宋" w:cs="仿宋"/>
                <w:kern w:val="0"/>
                <w:sz w:val="27"/>
                <w:szCs w:val="27"/>
              </w:rPr>
              <w:br w:type="textWrapping"/>
            </w:r>
            <w:r>
              <w:rPr>
                <w:rFonts w:hint="eastAsia" w:ascii="仿宋" w:hAnsi="仿宋" w:eastAsia="仿宋" w:cs="仿宋"/>
                <w:kern w:val="0"/>
                <w:sz w:val="27"/>
                <w:szCs w:val="27"/>
              </w:rPr>
              <w:t xml:space="preserve">扣1分 </w:t>
            </w:r>
          </w:p>
        </w:tc>
        <w:tc>
          <w:tcPr>
            <w:tcW w:w="1062" w:type="dxa"/>
            <w:tcBorders>
              <w:top w:val="nil"/>
              <w:left w:val="nil"/>
              <w:bottom w:val="single" w:color="auto" w:sz="4" w:space="0"/>
              <w:right w:val="single" w:color="auto" w:sz="4" w:space="0"/>
            </w:tcBorders>
            <w:shd w:val="clear" w:color="000000" w:fill="FFFFFF"/>
            <w:vAlign w:val="center"/>
          </w:tcPr>
          <w:p w14:paraId="0842559F">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3400E3E9">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6F31834E">
        <w:tblPrEx>
          <w:tblCellMar>
            <w:top w:w="0" w:type="dxa"/>
            <w:left w:w="108" w:type="dxa"/>
            <w:bottom w:w="0" w:type="dxa"/>
            <w:right w:w="108" w:type="dxa"/>
          </w:tblCellMar>
        </w:tblPrEx>
        <w:trPr>
          <w:trHeight w:val="630" w:hRule="atLeast"/>
        </w:trPr>
        <w:tc>
          <w:tcPr>
            <w:tcW w:w="900" w:type="dxa"/>
            <w:vMerge w:val="continue"/>
            <w:tcBorders>
              <w:left w:val="single" w:color="auto" w:sz="4" w:space="0"/>
              <w:right w:val="single" w:color="auto" w:sz="4" w:space="0"/>
            </w:tcBorders>
            <w:vAlign w:val="center"/>
          </w:tcPr>
          <w:p w14:paraId="72FAC92E">
            <w:pPr>
              <w:jc w:val="left"/>
              <w:rPr>
                <w:rFonts w:ascii="仿宋" w:hAnsi="仿宋" w:eastAsia="仿宋" w:cs="仿宋"/>
                <w:kern w:val="0"/>
                <w:sz w:val="27"/>
                <w:szCs w:val="27"/>
              </w:rPr>
            </w:pPr>
          </w:p>
        </w:tc>
        <w:tc>
          <w:tcPr>
            <w:tcW w:w="1225" w:type="dxa"/>
            <w:vMerge w:val="continue"/>
            <w:tcBorders>
              <w:left w:val="single" w:color="auto" w:sz="4" w:space="0"/>
              <w:right w:val="single" w:color="auto" w:sz="4" w:space="0"/>
            </w:tcBorders>
            <w:vAlign w:val="center"/>
          </w:tcPr>
          <w:p w14:paraId="76949081">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059D7612">
            <w:pPr>
              <w:jc w:val="left"/>
              <w:rPr>
                <w:rFonts w:ascii="仿宋" w:hAnsi="仿宋" w:eastAsia="仿宋" w:cs="仿宋"/>
                <w:kern w:val="0"/>
                <w:sz w:val="27"/>
                <w:szCs w:val="27"/>
              </w:rPr>
            </w:pPr>
            <w:r>
              <w:rPr>
                <w:rFonts w:hint="eastAsia" w:ascii="仿宋" w:hAnsi="仿宋" w:eastAsia="仿宋" w:cs="仿宋"/>
                <w:kern w:val="0"/>
                <w:sz w:val="27"/>
                <w:szCs w:val="27"/>
              </w:rPr>
              <w:t>未定时按线路对厂区进行巡查的</w:t>
            </w:r>
          </w:p>
        </w:tc>
        <w:tc>
          <w:tcPr>
            <w:tcW w:w="1375" w:type="dxa"/>
            <w:tcBorders>
              <w:top w:val="nil"/>
              <w:left w:val="nil"/>
              <w:bottom w:val="single" w:color="auto" w:sz="4" w:space="0"/>
              <w:right w:val="single" w:color="auto" w:sz="4" w:space="0"/>
            </w:tcBorders>
            <w:shd w:val="clear" w:color="000000" w:fill="FFFFFF"/>
            <w:vAlign w:val="center"/>
          </w:tcPr>
          <w:p w14:paraId="3B7041CF">
            <w:pPr>
              <w:jc w:val="center"/>
              <w:rPr>
                <w:rFonts w:ascii="仿宋" w:hAnsi="仿宋" w:eastAsia="仿宋" w:cs="仿宋"/>
                <w:kern w:val="0"/>
                <w:sz w:val="27"/>
                <w:szCs w:val="27"/>
              </w:rPr>
            </w:pPr>
            <w:r>
              <w:rPr>
                <w:rFonts w:hint="eastAsia" w:ascii="仿宋" w:hAnsi="仿宋" w:eastAsia="仿宋" w:cs="仿宋"/>
                <w:kern w:val="0"/>
                <w:sz w:val="27"/>
                <w:szCs w:val="27"/>
              </w:rPr>
              <w:t>每次</w:t>
            </w:r>
            <w:r>
              <w:rPr>
                <w:rFonts w:hint="eastAsia" w:ascii="仿宋" w:hAnsi="仿宋" w:eastAsia="仿宋" w:cs="仿宋"/>
                <w:kern w:val="0"/>
                <w:sz w:val="27"/>
                <w:szCs w:val="27"/>
              </w:rPr>
              <w:br w:type="textWrapping"/>
            </w:r>
            <w:r>
              <w:rPr>
                <w:rFonts w:hint="eastAsia" w:ascii="仿宋" w:hAnsi="仿宋" w:eastAsia="仿宋" w:cs="仿宋"/>
                <w:kern w:val="0"/>
                <w:sz w:val="27"/>
                <w:szCs w:val="27"/>
              </w:rPr>
              <w:t>扣1分</w:t>
            </w:r>
          </w:p>
        </w:tc>
        <w:tc>
          <w:tcPr>
            <w:tcW w:w="1062" w:type="dxa"/>
            <w:tcBorders>
              <w:top w:val="nil"/>
              <w:left w:val="nil"/>
              <w:bottom w:val="single" w:color="auto" w:sz="4" w:space="0"/>
              <w:right w:val="single" w:color="auto" w:sz="4" w:space="0"/>
            </w:tcBorders>
            <w:shd w:val="clear" w:color="000000" w:fill="FFFFFF"/>
            <w:vAlign w:val="center"/>
          </w:tcPr>
          <w:p w14:paraId="2E4E334A">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785D46F2">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412A1EA1">
        <w:tblPrEx>
          <w:tblCellMar>
            <w:top w:w="0" w:type="dxa"/>
            <w:left w:w="108" w:type="dxa"/>
            <w:bottom w:w="0" w:type="dxa"/>
            <w:right w:w="108" w:type="dxa"/>
          </w:tblCellMar>
        </w:tblPrEx>
        <w:trPr>
          <w:trHeight w:val="750" w:hRule="atLeast"/>
        </w:trPr>
        <w:tc>
          <w:tcPr>
            <w:tcW w:w="900" w:type="dxa"/>
            <w:vMerge w:val="continue"/>
            <w:tcBorders>
              <w:left w:val="single" w:color="auto" w:sz="4" w:space="0"/>
              <w:right w:val="single" w:color="auto" w:sz="4" w:space="0"/>
            </w:tcBorders>
            <w:vAlign w:val="center"/>
          </w:tcPr>
          <w:p w14:paraId="0B587EF5">
            <w:pPr>
              <w:jc w:val="left"/>
              <w:rPr>
                <w:rFonts w:ascii="仿宋" w:hAnsi="仿宋" w:eastAsia="仿宋" w:cs="仿宋"/>
                <w:kern w:val="0"/>
                <w:sz w:val="27"/>
                <w:szCs w:val="27"/>
              </w:rPr>
            </w:pPr>
          </w:p>
        </w:tc>
        <w:tc>
          <w:tcPr>
            <w:tcW w:w="1225" w:type="dxa"/>
            <w:vMerge w:val="continue"/>
            <w:tcBorders>
              <w:left w:val="single" w:color="auto" w:sz="4" w:space="0"/>
              <w:right w:val="single" w:color="auto" w:sz="4" w:space="0"/>
            </w:tcBorders>
            <w:vAlign w:val="center"/>
          </w:tcPr>
          <w:p w14:paraId="7C714909">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2070631A">
            <w:pPr>
              <w:jc w:val="left"/>
              <w:rPr>
                <w:rFonts w:ascii="仿宋" w:hAnsi="仿宋" w:eastAsia="仿宋" w:cs="仿宋"/>
                <w:kern w:val="0"/>
                <w:sz w:val="27"/>
                <w:szCs w:val="27"/>
              </w:rPr>
            </w:pPr>
            <w:r>
              <w:rPr>
                <w:rFonts w:hint="eastAsia" w:ascii="仿宋" w:hAnsi="仿宋" w:eastAsia="仿宋" w:cs="仿宋"/>
                <w:kern w:val="0"/>
                <w:sz w:val="27"/>
                <w:szCs w:val="27"/>
              </w:rPr>
              <w:t>每日递交监管日报;延迟提交报告的</w:t>
            </w:r>
          </w:p>
        </w:tc>
        <w:tc>
          <w:tcPr>
            <w:tcW w:w="1375" w:type="dxa"/>
            <w:tcBorders>
              <w:top w:val="nil"/>
              <w:left w:val="nil"/>
              <w:bottom w:val="single" w:color="auto" w:sz="4" w:space="0"/>
              <w:right w:val="single" w:color="auto" w:sz="4" w:space="0"/>
            </w:tcBorders>
            <w:shd w:val="clear" w:color="000000" w:fill="FFFFFF"/>
            <w:vAlign w:val="center"/>
          </w:tcPr>
          <w:p w14:paraId="0429A74A">
            <w:pPr>
              <w:jc w:val="center"/>
              <w:rPr>
                <w:rFonts w:ascii="仿宋" w:hAnsi="仿宋" w:eastAsia="仿宋" w:cs="仿宋"/>
                <w:kern w:val="0"/>
                <w:sz w:val="27"/>
                <w:szCs w:val="27"/>
              </w:rPr>
            </w:pPr>
            <w:r>
              <w:rPr>
                <w:rFonts w:hint="eastAsia" w:ascii="仿宋" w:hAnsi="仿宋" w:eastAsia="仿宋" w:cs="仿宋"/>
                <w:kern w:val="0"/>
                <w:sz w:val="27"/>
                <w:szCs w:val="27"/>
              </w:rPr>
              <w:t>每延迟一次扣2分</w:t>
            </w:r>
          </w:p>
        </w:tc>
        <w:tc>
          <w:tcPr>
            <w:tcW w:w="1062" w:type="dxa"/>
            <w:tcBorders>
              <w:top w:val="nil"/>
              <w:left w:val="nil"/>
              <w:bottom w:val="single" w:color="auto" w:sz="4" w:space="0"/>
              <w:right w:val="single" w:color="auto" w:sz="4" w:space="0"/>
            </w:tcBorders>
            <w:shd w:val="clear" w:color="000000" w:fill="FFFFFF"/>
            <w:vAlign w:val="center"/>
          </w:tcPr>
          <w:p w14:paraId="36D90CBC">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7C8A2A1C">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0EDB1EFC">
        <w:tblPrEx>
          <w:tblCellMar>
            <w:top w:w="0" w:type="dxa"/>
            <w:left w:w="108" w:type="dxa"/>
            <w:bottom w:w="0" w:type="dxa"/>
            <w:right w:w="108" w:type="dxa"/>
          </w:tblCellMar>
        </w:tblPrEx>
        <w:trPr>
          <w:trHeight w:val="675" w:hRule="atLeast"/>
        </w:trPr>
        <w:tc>
          <w:tcPr>
            <w:tcW w:w="900" w:type="dxa"/>
            <w:vMerge w:val="continue"/>
            <w:tcBorders>
              <w:left w:val="single" w:color="auto" w:sz="4" w:space="0"/>
              <w:right w:val="single" w:color="auto" w:sz="4" w:space="0"/>
            </w:tcBorders>
            <w:vAlign w:val="center"/>
          </w:tcPr>
          <w:p w14:paraId="68785E9E">
            <w:pPr>
              <w:jc w:val="left"/>
              <w:rPr>
                <w:rFonts w:ascii="仿宋" w:hAnsi="仿宋" w:eastAsia="仿宋" w:cs="仿宋"/>
                <w:kern w:val="0"/>
                <w:sz w:val="27"/>
                <w:szCs w:val="27"/>
              </w:rPr>
            </w:pPr>
          </w:p>
        </w:tc>
        <w:tc>
          <w:tcPr>
            <w:tcW w:w="1225" w:type="dxa"/>
            <w:vMerge w:val="continue"/>
            <w:tcBorders>
              <w:left w:val="single" w:color="auto" w:sz="4" w:space="0"/>
              <w:right w:val="single" w:color="auto" w:sz="4" w:space="0"/>
            </w:tcBorders>
            <w:vAlign w:val="center"/>
          </w:tcPr>
          <w:p w14:paraId="6C871071">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41FA50F0">
            <w:pPr>
              <w:jc w:val="left"/>
              <w:rPr>
                <w:rFonts w:ascii="仿宋" w:hAnsi="仿宋" w:eastAsia="仿宋" w:cs="仿宋"/>
                <w:kern w:val="0"/>
                <w:sz w:val="27"/>
                <w:szCs w:val="27"/>
              </w:rPr>
            </w:pPr>
            <w:r>
              <w:rPr>
                <w:rFonts w:hint="eastAsia" w:ascii="仿宋" w:hAnsi="仿宋" w:eastAsia="仿宋" w:cs="仿宋"/>
                <w:kern w:val="0"/>
                <w:sz w:val="27"/>
                <w:szCs w:val="27"/>
              </w:rPr>
              <w:t>每周三递交上周监管周报;延迟提交报告的</w:t>
            </w:r>
          </w:p>
        </w:tc>
        <w:tc>
          <w:tcPr>
            <w:tcW w:w="1375" w:type="dxa"/>
            <w:tcBorders>
              <w:top w:val="nil"/>
              <w:left w:val="nil"/>
              <w:bottom w:val="single" w:color="auto" w:sz="4" w:space="0"/>
              <w:right w:val="single" w:color="auto" w:sz="4" w:space="0"/>
            </w:tcBorders>
            <w:shd w:val="clear" w:color="000000" w:fill="FFFFFF"/>
            <w:vAlign w:val="center"/>
          </w:tcPr>
          <w:p w14:paraId="57C2D072">
            <w:pPr>
              <w:jc w:val="center"/>
              <w:rPr>
                <w:rFonts w:ascii="仿宋" w:hAnsi="仿宋" w:eastAsia="仿宋" w:cs="仿宋"/>
                <w:kern w:val="0"/>
                <w:sz w:val="27"/>
                <w:szCs w:val="27"/>
              </w:rPr>
            </w:pPr>
            <w:r>
              <w:rPr>
                <w:rFonts w:hint="eastAsia" w:ascii="仿宋" w:hAnsi="仿宋" w:eastAsia="仿宋" w:cs="仿宋"/>
                <w:kern w:val="0"/>
                <w:sz w:val="27"/>
                <w:szCs w:val="27"/>
              </w:rPr>
              <w:t>每延迟一天扣2分</w:t>
            </w:r>
          </w:p>
        </w:tc>
        <w:tc>
          <w:tcPr>
            <w:tcW w:w="1062" w:type="dxa"/>
            <w:tcBorders>
              <w:top w:val="nil"/>
              <w:left w:val="nil"/>
              <w:bottom w:val="single" w:color="auto" w:sz="4" w:space="0"/>
              <w:right w:val="single" w:color="auto" w:sz="4" w:space="0"/>
            </w:tcBorders>
            <w:shd w:val="clear" w:color="000000" w:fill="FFFFFF"/>
            <w:vAlign w:val="center"/>
          </w:tcPr>
          <w:p w14:paraId="62E84A96">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75533F75">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67C14764">
        <w:tblPrEx>
          <w:tblCellMar>
            <w:top w:w="0" w:type="dxa"/>
            <w:left w:w="108" w:type="dxa"/>
            <w:bottom w:w="0" w:type="dxa"/>
            <w:right w:w="108" w:type="dxa"/>
          </w:tblCellMar>
        </w:tblPrEx>
        <w:trPr>
          <w:trHeight w:val="1305" w:hRule="atLeast"/>
        </w:trPr>
        <w:tc>
          <w:tcPr>
            <w:tcW w:w="900" w:type="dxa"/>
            <w:vMerge w:val="continue"/>
            <w:tcBorders>
              <w:left w:val="single" w:color="auto" w:sz="4" w:space="0"/>
              <w:right w:val="single" w:color="auto" w:sz="4" w:space="0"/>
            </w:tcBorders>
            <w:vAlign w:val="center"/>
          </w:tcPr>
          <w:p w14:paraId="1C198BEC">
            <w:pPr>
              <w:jc w:val="left"/>
              <w:rPr>
                <w:rFonts w:ascii="仿宋" w:hAnsi="仿宋" w:eastAsia="仿宋" w:cs="仿宋"/>
                <w:kern w:val="0"/>
                <w:sz w:val="27"/>
                <w:szCs w:val="27"/>
              </w:rPr>
            </w:pPr>
          </w:p>
        </w:tc>
        <w:tc>
          <w:tcPr>
            <w:tcW w:w="1225" w:type="dxa"/>
            <w:vMerge w:val="continue"/>
            <w:tcBorders>
              <w:left w:val="single" w:color="auto" w:sz="4" w:space="0"/>
              <w:right w:val="single" w:color="auto" w:sz="4" w:space="0"/>
            </w:tcBorders>
            <w:vAlign w:val="center"/>
          </w:tcPr>
          <w:p w14:paraId="5469FC91">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76FDC03C">
            <w:pPr>
              <w:jc w:val="left"/>
              <w:rPr>
                <w:rFonts w:ascii="仿宋" w:hAnsi="仿宋" w:eastAsia="仿宋" w:cs="仿宋"/>
                <w:kern w:val="0"/>
                <w:sz w:val="27"/>
                <w:szCs w:val="27"/>
              </w:rPr>
            </w:pPr>
            <w:r>
              <w:rPr>
                <w:rFonts w:hint="eastAsia" w:ascii="仿宋" w:hAnsi="仿宋" w:eastAsia="仿宋" w:cs="仿宋"/>
                <w:kern w:val="0"/>
                <w:sz w:val="27"/>
                <w:szCs w:val="27"/>
              </w:rPr>
              <w:t>月度结束后7个工作日内，提交月度运营监管报告；年度结束后一月内提交年度运营监管报告。（具体以运营方报送数据时间为准）;非经甲方批准，延迟提交报告的</w:t>
            </w:r>
          </w:p>
        </w:tc>
        <w:tc>
          <w:tcPr>
            <w:tcW w:w="1375" w:type="dxa"/>
            <w:tcBorders>
              <w:top w:val="nil"/>
              <w:left w:val="nil"/>
              <w:bottom w:val="single" w:color="auto" w:sz="4" w:space="0"/>
              <w:right w:val="single" w:color="auto" w:sz="4" w:space="0"/>
            </w:tcBorders>
            <w:shd w:val="clear" w:color="000000" w:fill="FFFFFF"/>
            <w:vAlign w:val="center"/>
          </w:tcPr>
          <w:p w14:paraId="5602BC24">
            <w:pPr>
              <w:jc w:val="center"/>
              <w:rPr>
                <w:rFonts w:ascii="仿宋" w:hAnsi="仿宋" w:eastAsia="仿宋" w:cs="仿宋"/>
                <w:kern w:val="0"/>
                <w:sz w:val="27"/>
                <w:szCs w:val="27"/>
              </w:rPr>
            </w:pPr>
            <w:r>
              <w:rPr>
                <w:rFonts w:hint="eastAsia" w:ascii="仿宋" w:hAnsi="仿宋" w:eastAsia="仿宋" w:cs="仿宋"/>
                <w:kern w:val="0"/>
                <w:sz w:val="27"/>
                <w:szCs w:val="27"/>
              </w:rPr>
              <w:t xml:space="preserve">每延迟一天扣2分 </w:t>
            </w:r>
          </w:p>
        </w:tc>
        <w:tc>
          <w:tcPr>
            <w:tcW w:w="1062" w:type="dxa"/>
            <w:tcBorders>
              <w:top w:val="nil"/>
              <w:left w:val="nil"/>
              <w:bottom w:val="single" w:color="auto" w:sz="4" w:space="0"/>
              <w:right w:val="single" w:color="auto" w:sz="4" w:space="0"/>
            </w:tcBorders>
            <w:shd w:val="clear" w:color="000000" w:fill="FFFFFF"/>
            <w:vAlign w:val="center"/>
          </w:tcPr>
          <w:p w14:paraId="3480523B">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339475BF">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6DA3DCD2">
        <w:tblPrEx>
          <w:tblCellMar>
            <w:top w:w="0" w:type="dxa"/>
            <w:left w:w="108" w:type="dxa"/>
            <w:bottom w:w="0" w:type="dxa"/>
            <w:right w:w="108" w:type="dxa"/>
          </w:tblCellMar>
        </w:tblPrEx>
        <w:trPr>
          <w:trHeight w:val="1185" w:hRule="atLeast"/>
        </w:trPr>
        <w:tc>
          <w:tcPr>
            <w:tcW w:w="900" w:type="dxa"/>
            <w:vMerge w:val="continue"/>
            <w:tcBorders>
              <w:left w:val="single" w:color="auto" w:sz="4" w:space="0"/>
              <w:right w:val="single" w:color="auto" w:sz="4" w:space="0"/>
            </w:tcBorders>
            <w:vAlign w:val="center"/>
          </w:tcPr>
          <w:p w14:paraId="790C3CD9">
            <w:pPr>
              <w:jc w:val="left"/>
              <w:rPr>
                <w:rFonts w:ascii="仿宋" w:hAnsi="仿宋" w:eastAsia="仿宋" w:cs="仿宋"/>
                <w:kern w:val="0"/>
                <w:sz w:val="27"/>
                <w:szCs w:val="27"/>
              </w:rPr>
            </w:pPr>
          </w:p>
        </w:tc>
        <w:tc>
          <w:tcPr>
            <w:tcW w:w="1225" w:type="dxa"/>
            <w:vMerge w:val="continue"/>
            <w:tcBorders>
              <w:left w:val="single" w:color="auto" w:sz="4" w:space="0"/>
              <w:right w:val="single" w:color="auto" w:sz="4" w:space="0"/>
            </w:tcBorders>
            <w:vAlign w:val="center"/>
          </w:tcPr>
          <w:p w14:paraId="082C8C98">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2CC11B06">
            <w:pPr>
              <w:jc w:val="left"/>
              <w:rPr>
                <w:rFonts w:ascii="仿宋" w:hAnsi="仿宋" w:eastAsia="仿宋" w:cs="仿宋"/>
                <w:kern w:val="0"/>
                <w:sz w:val="27"/>
                <w:szCs w:val="27"/>
              </w:rPr>
            </w:pPr>
            <w:r>
              <w:rPr>
                <w:rFonts w:hint="eastAsia" w:ascii="仿宋" w:hAnsi="仿宋" w:eastAsia="仿宋" w:cs="仿宋"/>
                <w:kern w:val="0"/>
                <w:sz w:val="27"/>
                <w:szCs w:val="27"/>
              </w:rPr>
              <w:t>相关的运营监管资料须妥善建档存查。（具体参照《CJJT-212-2015-生活垃圾焚烧厂运行监管标准》相关要求）;存在资料缺失情况的</w:t>
            </w:r>
          </w:p>
        </w:tc>
        <w:tc>
          <w:tcPr>
            <w:tcW w:w="1375" w:type="dxa"/>
            <w:tcBorders>
              <w:top w:val="nil"/>
              <w:left w:val="nil"/>
              <w:bottom w:val="single" w:color="auto" w:sz="4" w:space="0"/>
              <w:right w:val="single" w:color="auto" w:sz="4" w:space="0"/>
            </w:tcBorders>
            <w:shd w:val="clear" w:color="000000" w:fill="FFFFFF"/>
            <w:vAlign w:val="center"/>
          </w:tcPr>
          <w:p w14:paraId="45595079">
            <w:pPr>
              <w:jc w:val="center"/>
              <w:rPr>
                <w:rFonts w:ascii="仿宋" w:hAnsi="仿宋" w:eastAsia="仿宋" w:cs="仿宋"/>
                <w:kern w:val="0"/>
                <w:sz w:val="27"/>
                <w:szCs w:val="27"/>
              </w:rPr>
            </w:pPr>
            <w:r>
              <w:rPr>
                <w:rFonts w:hint="eastAsia" w:ascii="仿宋" w:hAnsi="仿宋" w:eastAsia="仿宋" w:cs="仿宋"/>
                <w:kern w:val="0"/>
                <w:sz w:val="27"/>
                <w:szCs w:val="27"/>
              </w:rPr>
              <w:t>每次</w:t>
            </w:r>
            <w:r>
              <w:rPr>
                <w:rFonts w:hint="eastAsia" w:ascii="仿宋" w:hAnsi="仿宋" w:eastAsia="仿宋" w:cs="仿宋"/>
                <w:kern w:val="0"/>
                <w:sz w:val="27"/>
                <w:szCs w:val="27"/>
              </w:rPr>
              <w:br w:type="textWrapping"/>
            </w:r>
            <w:r>
              <w:rPr>
                <w:rFonts w:hint="eastAsia" w:ascii="仿宋" w:hAnsi="仿宋" w:eastAsia="仿宋" w:cs="仿宋"/>
                <w:kern w:val="0"/>
                <w:sz w:val="27"/>
                <w:szCs w:val="27"/>
              </w:rPr>
              <w:t>扣2分</w:t>
            </w:r>
          </w:p>
        </w:tc>
        <w:tc>
          <w:tcPr>
            <w:tcW w:w="1062" w:type="dxa"/>
            <w:tcBorders>
              <w:top w:val="nil"/>
              <w:left w:val="nil"/>
              <w:bottom w:val="single" w:color="auto" w:sz="4" w:space="0"/>
              <w:right w:val="single" w:color="auto" w:sz="4" w:space="0"/>
            </w:tcBorders>
            <w:shd w:val="clear" w:color="000000" w:fill="FFFFFF"/>
            <w:vAlign w:val="center"/>
          </w:tcPr>
          <w:p w14:paraId="632C371C">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0CD2018E">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0AA1DF9A">
        <w:tblPrEx>
          <w:tblCellMar>
            <w:top w:w="0" w:type="dxa"/>
            <w:left w:w="108" w:type="dxa"/>
            <w:bottom w:w="0" w:type="dxa"/>
            <w:right w:w="108" w:type="dxa"/>
          </w:tblCellMar>
        </w:tblPrEx>
        <w:trPr>
          <w:trHeight w:val="765" w:hRule="atLeast"/>
        </w:trPr>
        <w:tc>
          <w:tcPr>
            <w:tcW w:w="900" w:type="dxa"/>
            <w:vMerge w:val="continue"/>
            <w:tcBorders>
              <w:left w:val="single" w:color="auto" w:sz="4" w:space="0"/>
              <w:right w:val="single" w:color="auto" w:sz="4" w:space="0"/>
            </w:tcBorders>
            <w:vAlign w:val="center"/>
          </w:tcPr>
          <w:p w14:paraId="121B4666">
            <w:pPr>
              <w:jc w:val="left"/>
              <w:rPr>
                <w:rFonts w:ascii="仿宋" w:hAnsi="仿宋" w:eastAsia="仿宋" w:cs="仿宋"/>
                <w:kern w:val="0"/>
                <w:sz w:val="27"/>
                <w:szCs w:val="27"/>
              </w:rPr>
            </w:pPr>
          </w:p>
        </w:tc>
        <w:tc>
          <w:tcPr>
            <w:tcW w:w="1225" w:type="dxa"/>
            <w:vMerge w:val="continue"/>
            <w:tcBorders>
              <w:left w:val="single" w:color="auto" w:sz="4" w:space="0"/>
              <w:right w:val="single" w:color="auto" w:sz="4" w:space="0"/>
            </w:tcBorders>
            <w:vAlign w:val="center"/>
          </w:tcPr>
          <w:p w14:paraId="126BB5EC">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652A2517">
            <w:pPr>
              <w:jc w:val="left"/>
              <w:rPr>
                <w:rFonts w:ascii="仿宋" w:hAnsi="仿宋" w:eastAsia="仿宋" w:cs="仿宋"/>
                <w:kern w:val="0"/>
                <w:sz w:val="27"/>
                <w:szCs w:val="27"/>
              </w:rPr>
            </w:pPr>
            <w:r>
              <w:rPr>
                <w:rFonts w:hint="eastAsia" w:ascii="仿宋" w:hAnsi="仿宋" w:eastAsia="仿宋" w:cs="仿宋"/>
                <w:kern w:val="0"/>
                <w:sz w:val="27"/>
                <w:szCs w:val="27"/>
              </w:rPr>
              <w:t>定期开展技能培训；未定期组织培训，提升生活垃圾焚烧监管专业水平的</w:t>
            </w:r>
          </w:p>
        </w:tc>
        <w:tc>
          <w:tcPr>
            <w:tcW w:w="1375" w:type="dxa"/>
            <w:tcBorders>
              <w:top w:val="nil"/>
              <w:left w:val="nil"/>
              <w:bottom w:val="single" w:color="auto" w:sz="4" w:space="0"/>
              <w:right w:val="single" w:color="auto" w:sz="4" w:space="0"/>
            </w:tcBorders>
            <w:shd w:val="clear" w:color="000000" w:fill="FFFFFF"/>
            <w:vAlign w:val="center"/>
          </w:tcPr>
          <w:p w14:paraId="0E666C52">
            <w:pPr>
              <w:jc w:val="center"/>
              <w:rPr>
                <w:rFonts w:ascii="仿宋" w:hAnsi="仿宋" w:eastAsia="仿宋" w:cs="仿宋"/>
                <w:kern w:val="0"/>
                <w:sz w:val="27"/>
                <w:szCs w:val="27"/>
              </w:rPr>
            </w:pPr>
            <w:r>
              <w:rPr>
                <w:rFonts w:hint="eastAsia" w:ascii="仿宋" w:hAnsi="仿宋" w:eastAsia="仿宋" w:cs="仿宋"/>
                <w:kern w:val="0"/>
                <w:sz w:val="27"/>
                <w:szCs w:val="27"/>
              </w:rPr>
              <w:t>每次</w:t>
            </w:r>
            <w:r>
              <w:rPr>
                <w:rFonts w:hint="eastAsia" w:ascii="仿宋" w:hAnsi="仿宋" w:eastAsia="仿宋" w:cs="仿宋"/>
                <w:kern w:val="0"/>
                <w:sz w:val="27"/>
                <w:szCs w:val="27"/>
              </w:rPr>
              <w:br w:type="textWrapping"/>
            </w:r>
            <w:r>
              <w:rPr>
                <w:rFonts w:hint="eastAsia" w:ascii="仿宋" w:hAnsi="仿宋" w:eastAsia="仿宋" w:cs="仿宋"/>
                <w:kern w:val="0"/>
                <w:sz w:val="27"/>
                <w:szCs w:val="27"/>
              </w:rPr>
              <w:t>扣1分</w:t>
            </w:r>
          </w:p>
        </w:tc>
        <w:tc>
          <w:tcPr>
            <w:tcW w:w="1062" w:type="dxa"/>
            <w:tcBorders>
              <w:top w:val="nil"/>
              <w:left w:val="nil"/>
              <w:bottom w:val="single" w:color="auto" w:sz="4" w:space="0"/>
              <w:right w:val="single" w:color="auto" w:sz="4" w:space="0"/>
            </w:tcBorders>
            <w:shd w:val="clear" w:color="000000" w:fill="FFFFFF"/>
            <w:vAlign w:val="center"/>
          </w:tcPr>
          <w:p w14:paraId="4A15C2B5">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6A990E67">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69872A51">
        <w:tblPrEx>
          <w:tblCellMar>
            <w:top w:w="0" w:type="dxa"/>
            <w:left w:w="108" w:type="dxa"/>
            <w:bottom w:w="0" w:type="dxa"/>
            <w:right w:w="108" w:type="dxa"/>
          </w:tblCellMar>
        </w:tblPrEx>
        <w:trPr>
          <w:trHeight w:val="765" w:hRule="atLeast"/>
        </w:trPr>
        <w:tc>
          <w:tcPr>
            <w:tcW w:w="900" w:type="dxa"/>
            <w:vMerge w:val="continue"/>
            <w:tcBorders>
              <w:left w:val="single" w:color="auto" w:sz="4" w:space="0"/>
              <w:bottom w:val="single" w:color="auto" w:sz="4" w:space="0"/>
              <w:right w:val="single" w:color="auto" w:sz="4" w:space="0"/>
            </w:tcBorders>
            <w:vAlign w:val="center"/>
          </w:tcPr>
          <w:p w14:paraId="6A7E0615">
            <w:pPr>
              <w:jc w:val="left"/>
              <w:rPr>
                <w:rFonts w:ascii="仿宋" w:hAnsi="仿宋" w:eastAsia="仿宋" w:cs="仿宋"/>
                <w:kern w:val="0"/>
                <w:sz w:val="27"/>
                <w:szCs w:val="27"/>
              </w:rPr>
            </w:pPr>
          </w:p>
        </w:tc>
        <w:tc>
          <w:tcPr>
            <w:tcW w:w="1225" w:type="dxa"/>
            <w:vMerge w:val="continue"/>
            <w:tcBorders>
              <w:left w:val="single" w:color="auto" w:sz="4" w:space="0"/>
              <w:bottom w:val="single" w:color="auto" w:sz="4" w:space="0"/>
              <w:right w:val="single" w:color="auto" w:sz="4" w:space="0"/>
            </w:tcBorders>
            <w:vAlign w:val="center"/>
          </w:tcPr>
          <w:p w14:paraId="23A4A782">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75021870">
            <w:pPr>
              <w:jc w:val="left"/>
              <w:rPr>
                <w:rFonts w:hint="eastAsia" w:ascii="仿宋" w:hAnsi="仿宋" w:eastAsia="仿宋" w:cs="仿宋"/>
                <w:snapToGrid w:val="0"/>
                <w:color w:val="000000"/>
                <w:kern w:val="0"/>
                <w:sz w:val="27"/>
                <w:szCs w:val="27"/>
                <w:highlight w:val="none"/>
                <w:lang w:val="en-US" w:eastAsia="en-US" w:bidi="ar-SA"/>
              </w:rPr>
            </w:pPr>
            <w:r>
              <w:rPr>
                <w:rFonts w:hint="eastAsia" w:ascii="仿宋" w:hAnsi="仿宋" w:eastAsia="仿宋" w:cs="仿宋"/>
                <w:kern w:val="0"/>
                <w:sz w:val="27"/>
                <w:szCs w:val="27"/>
                <w:highlight w:val="none"/>
              </w:rPr>
              <w:t>接到应急监测任务</w:t>
            </w:r>
            <w:r>
              <w:rPr>
                <w:rFonts w:hint="eastAsia" w:ascii="仿宋" w:hAnsi="仿宋" w:eastAsia="仿宋" w:cs="仿宋"/>
                <w:kern w:val="0"/>
                <w:sz w:val="27"/>
                <w:szCs w:val="27"/>
                <w:highlight w:val="none"/>
                <w:lang w:val="en-US" w:eastAsia="zh-CN"/>
              </w:rPr>
              <w:t>未及时响应与开展现场工作的。</w:t>
            </w:r>
          </w:p>
        </w:tc>
        <w:tc>
          <w:tcPr>
            <w:tcW w:w="1375" w:type="dxa"/>
            <w:tcBorders>
              <w:top w:val="nil"/>
              <w:left w:val="nil"/>
              <w:bottom w:val="single" w:color="auto" w:sz="4" w:space="0"/>
              <w:right w:val="single" w:color="auto" w:sz="4" w:space="0"/>
            </w:tcBorders>
            <w:shd w:val="clear" w:color="000000" w:fill="FFFFFF"/>
            <w:vAlign w:val="center"/>
          </w:tcPr>
          <w:p w14:paraId="6D1760D6">
            <w:pPr>
              <w:jc w:val="center"/>
              <w:rPr>
                <w:rFonts w:hint="eastAsia" w:ascii="仿宋" w:hAnsi="仿宋" w:eastAsia="仿宋" w:cs="仿宋"/>
                <w:snapToGrid w:val="0"/>
                <w:color w:val="000000"/>
                <w:kern w:val="0"/>
                <w:sz w:val="27"/>
                <w:szCs w:val="27"/>
                <w:highlight w:val="none"/>
                <w:lang w:val="en-US" w:eastAsia="en-US" w:bidi="ar-SA"/>
              </w:rPr>
            </w:pPr>
            <w:r>
              <w:rPr>
                <w:rFonts w:hint="eastAsia" w:ascii="仿宋" w:hAnsi="仿宋" w:eastAsia="仿宋" w:cs="仿宋"/>
                <w:kern w:val="0"/>
                <w:sz w:val="27"/>
                <w:szCs w:val="27"/>
                <w:highlight w:val="none"/>
              </w:rPr>
              <w:t>每次</w:t>
            </w:r>
            <w:r>
              <w:rPr>
                <w:rFonts w:hint="eastAsia" w:ascii="仿宋" w:hAnsi="仿宋" w:eastAsia="仿宋" w:cs="仿宋"/>
                <w:kern w:val="0"/>
                <w:sz w:val="27"/>
                <w:szCs w:val="27"/>
                <w:highlight w:val="none"/>
              </w:rPr>
              <w:br w:type="textWrapping"/>
            </w:r>
            <w:r>
              <w:rPr>
                <w:rFonts w:hint="eastAsia" w:ascii="仿宋" w:hAnsi="仿宋" w:eastAsia="仿宋" w:cs="仿宋"/>
                <w:kern w:val="0"/>
                <w:sz w:val="27"/>
                <w:szCs w:val="27"/>
                <w:highlight w:val="none"/>
              </w:rPr>
              <w:t>扣1分</w:t>
            </w:r>
          </w:p>
        </w:tc>
        <w:tc>
          <w:tcPr>
            <w:tcW w:w="1062" w:type="dxa"/>
            <w:tcBorders>
              <w:top w:val="nil"/>
              <w:left w:val="nil"/>
              <w:bottom w:val="single" w:color="auto" w:sz="4" w:space="0"/>
              <w:right w:val="single" w:color="auto" w:sz="4" w:space="0"/>
            </w:tcBorders>
            <w:shd w:val="clear" w:color="000000" w:fill="FFFFFF"/>
            <w:vAlign w:val="center"/>
          </w:tcPr>
          <w:p w14:paraId="3195AF43">
            <w:pPr>
              <w:jc w:val="center"/>
              <w:rPr>
                <w:rFonts w:hint="eastAsia" w:ascii="仿宋" w:hAnsi="仿宋" w:eastAsia="仿宋" w:cs="仿宋"/>
                <w:kern w:val="0"/>
                <w:sz w:val="27"/>
                <w:szCs w:val="27"/>
              </w:rPr>
            </w:pPr>
          </w:p>
        </w:tc>
        <w:tc>
          <w:tcPr>
            <w:tcW w:w="888" w:type="dxa"/>
            <w:tcBorders>
              <w:top w:val="nil"/>
              <w:left w:val="nil"/>
              <w:bottom w:val="single" w:color="auto" w:sz="4" w:space="0"/>
              <w:right w:val="single" w:color="auto" w:sz="4" w:space="0"/>
            </w:tcBorders>
            <w:shd w:val="clear" w:color="000000" w:fill="FFFFFF"/>
            <w:vAlign w:val="center"/>
          </w:tcPr>
          <w:p w14:paraId="1FAD8EC0">
            <w:pPr>
              <w:jc w:val="center"/>
              <w:rPr>
                <w:rFonts w:hint="eastAsia" w:ascii="仿宋" w:hAnsi="仿宋" w:eastAsia="仿宋" w:cs="仿宋"/>
                <w:kern w:val="0"/>
                <w:sz w:val="27"/>
                <w:szCs w:val="27"/>
              </w:rPr>
            </w:pPr>
          </w:p>
        </w:tc>
      </w:tr>
      <w:tr w14:paraId="0187E7A2">
        <w:tblPrEx>
          <w:tblCellMar>
            <w:top w:w="0" w:type="dxa"/>
            <w:left w:w="108" w:type="dxa"/>
            <w:bottom w:w="0" w:type="dxa"/>
            <w:right w:w="108" w:type="dxa"/>
          </w:tblCellMar>
        </w:tblPrEx>
        <w:trPr>
          <w:trHeight w:val="765" w:hRule="atLeast"/>
        </w:trPr>
        <w:tc>
          <w:tcPr>
            <w:tcW w:w="900" w:type="dxa"/>
            <w:vMerge w:val="continue"/>
            <w:tcBorders>
              <w:left w:val="single" w:color="auto" w:sz="4" w:space="0"/>
              <w:bottom w:val="single" w:color="auto" w:sz="4" w:space="0"/>
              <w:right w:val="single" w:color="auto" w:sz="4" w:space="0"/>
            </w:tcBorders>
            <w:vAlign w:val="center"/>
          </w:tcPr>
          <w:p w14:paraId="6CF008AB">
            <w:pPr>
              <w:jc w:val="left"/>
              <w:rPr>
                <w:rFonts w:ascii="仿宋" w:hAnsi="仿宋" w:eastAsia="仿宋" w:cs="仿宋"/>
                <w:kern w:val="0"/>
                <w:sz w:val="27"/>
                <w:szCs w:val="27"/>
              </w:rPr>
            </w:pPr>
          </w:p>
        </w:tc>
        <w:tc>
          <w:tcPr>
            <w:tcW w:w="1225" w:type="dxa"/>
            <w:vMerge w:val="continue"/>
            <w:tcBorders>
              <w:left w:val="single" w:color="auto" w:sz="4" w:space="0"/>
              <w:bottom w:val="single" w:color="auto" w:sz="4" w:space="0"/>
              <w:right w:val="single" w:color="auto" w:sz="4" w:space="0"/>
            </w:tcBorders>
            <w:vAlign w:val="center"/>
          </w:tcPr>
          <w:p w14:paraId="201339B3">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410E0232">
            <w:pPr>
              <w:jc w:val="left"/>
              <w:rPr>
                <w:rFonts w:hint="eastAsia" w:ascii="仿宋" w:hAnsi="仿宋" w:eastAsia="仿宋" w:cs="仿宋"/>
                <w:kern w:val="0"/>
                <w:sz w:val="27"/>
                <w:szCs w:val="27"/>
                <w:highlight w:val="none"/>
              </w:rPr>
            </w:pPr>
            <w:r>
              <w:rPr>
                <w:rFonts w:hint="eastAsia" w:ascii="仿宋" w:hAnsi="仿宋" w:eastAsia="仿宋" w:cs="仿宋"/>
                <w:kern w:val="0"/>
                <w:sz w:val="27"/>
                <w:szCs w:val="27"/>
                <w:highlight w:val="none"/>
                <w:lang w:val="en-US" w:eastAsia="zh-CN"/>
              </w:rPr>
              <w:t>未按时出具</w:t>
            </w:r>
            <w:r>
              <w:rPr>
                <w:rFonts w:hint="eastAsia" w:ascii="仿宋" w:hAnsi="仿宋" w:eastAsia="仿宋" w:cs="仿宋"/>
                <w:kern w:val="0"/>
                <w:sz w:val="27"/>
                <w:szCs w:val="27"/>
                <w:highlight w:val="none"/>
              </w:rPr>
              <w:t>应急监测</w:t>
            </w:r>
            <w:r>
              <w:rPr>
                <w:rFonts w:hint="eastAsia" w:ascii="仿宋" w:hAnsi="仿宋" w:eastAsia="仿宋" w:cs="仿宋"/>
                <w:kern w:val="0"/>
                <w:sz w:val="27"/>
                <w:szCs w:val="27"/>
                <w:highlight w:val="none"/>
                <w:lang w:val="en-US" w:eastAsia="zh-CN"/>
              </w:rPr>
              <w:t>报告及相关资料的。</w:t>
            </w:r>
          </w:p>
        </w:tc>
        <w:tc>
          <w:tcPr>
            <w:tcW w:w="1375" w:type="dxa"/>
            <w:tcBorders>
              <w:top w:val="nil"/>
              <w:left w:val="nil"/>
              <w:bottom w:val="single" w:color="auto" w:sz="4" w:space="0"/>
              <w:right w:val="single" w:color="auto" w:sz="4" w:space="0"/>
            </w:tcBorders>
            <w:shd w:val="clear" w:color="000000" w:fill="FFFFFF"/>
            <w:vAlign w:val="center"/>
          </w:tcPr>
          <w:p w14:paraId="77461215">
            <w:pPr>
              <w:jc w:val="center"/>
              <w:rPr>
                <w:rFonts w:hint="eastAsia" w:ascii="仿宋" w:hAnsi="仿宋" w:eastAsia="仿宋" w:cs="仿宋"/>
                <w:kern w:val="0"/>
                <w:sz w:val="27"/>
                <w:szCs w:val="27"/>
                <w:highlight w:val="none"/>
              </w:rPr>
            </w:pPr>
            <w:r>
              <w:rPr>
                <w:rFonts w:hint="eastAsia" w:ascii="仿宋" w:hAnsi="仿宋" w:eastAsia="仿宋" w:cs="仿宋"/>
                <w:kern w:val="0"/>
                <w:sz w:val="27"/>
                <w:szCs w:val="27"/>
                <w:highlight w:val="none"/>
              </w:rPr>
              <w:t>每次</w:t>
            </w:r>
            <w:r>
              <w:rPr>
                <w:rFonts w:hint="eastAsia" w:ascii="仿宋" w:hAnsi="仿宋" w:eastAsia="仿宋" w:cs="仿宋"/>
                <w:kern w:val="0"/>
                <w:sz w:val="27"/>
                <w:szCs w:val="27"/>
                <w:highlight w:val="none"/>
              </w:rPr>
              <w:br w:type="textWrapping"/>
            </w:r>
            <w:r>
              <w:rPr>
                <w:rFonts w:hint="eastAsia" w:ascii="仿宋" w:hAnsi="仿宋" w:eastAsia="仿宋" w:cs="仿宋"/>
                <w:kern w:val="0"/>
                <w:sz w:val="27"/>
                <w:szCs w:val="27"/>
                <w:highlight w:val="none"/>
              </w:rPr>
              <w:t>扣1分</w:t>
            </w:r>
          </w:p>
        </w:tc>
        <w:tc>
          <w:tcPr>
            <w:tcW w:w="1062" w:type="dxa"/>
            <w:tcBorders>
              <w:top w:val="nil"/>
              <w:left w:val="nil"/>
              <w:bottom w:val="single" w:color="auto" w:sz="4" w:space="0"/>
              <w:right w:val="single" w:color="auto" w:sz="4" w:space="0"/>
            </w:tcBorders>
            <w:shd w:val="clear" w:color="000000" w:fill="FFFFFF"/>
            <w:vAlign w:val="center"/>
          </w:tcPr>
          <w:p w14:paraId="765A8147">
            <w:pPr>
              <w:jc w:val="center"/>
              <w:rPr>
                <w:rFonts w:hint="eastAsia" w:ascii="仿宋" w:hAnsi="仿宋" w:eastAsia="仿宋" w:cs="仿宋"/>
                <w:kern w:val="0"/>
                <w:sz w:val="27"/>
                <w:szCs w:val="27"/>
              </w:rPr>
            </w:pPr>
          </w:p>
        </w:tc>
        <w:tc>
          <w:tcPr>
            <w:tcW w:w="888" w:type="dxa"/>
            <w:tcBorders>
              <w:top w:val="nil"/>
              <w:left w:val="nil"/>
              <w:bottom w:val="single" w:color="auto" w:sz="4" w:space="0"/>
              <w:right w:val="single" w:color="auto" w:sz="4" w:space="0"/>
            </w:tcBorders>
            <w:shd w:val="clear" w:color="000000" w:fill="FFFFFF"/>
            <w:vAlign w:val="center"/>
          </w:tcPr>
          <w:p w14:paraId="28C423CC">
            <w:pPr>
              <w:jc w:val="center"/>
              <w:rPr>
                <w:rFonts w:hint="eastAsia" w:ascii="仿宋" w:hAnsi="仿宋" w:eastAsia="仿宋" w:cs="仿宋"/>
                <w:kern w:val="0"/>
                <w:sz w:val="27"/>
                <w:szCs w:val="27"/>
              </w:rPr>
            </w:pPr>
          </w:p>
        </w:tc>
      </w:tr>
      <w:tr w14:paraId="0EC6AA0A">
        <w:tblPrEx>
          <w:tblCellMar>
            <w:top w:w="0" w:type="dxa"/>
            <w:left w:w="108" w:type="dxa"/>
            <w:bottom w:w="0" w:type="dxa"/>
            <w:right w:w="108" w:type="dxa"/>
          </w:tblCellMar>
        </w:tblPrEx>
        <w:trPr>
          <w:trHeight w:val="960" w:hRule="atLeast"/>
        </w:trPr>
        <w:tc>
          <w:tcPr>
            <w:tcW w:w="900" w:type="dxa"/>
            <w:vMerge w:val="restart"/>
            <w:tcBorders>
              <w:top w:val="nil"/>
              <w:left w:val="single" w:color="auto" w:sz="4" w:space="0"/>
              <w:bottom w:val="single" w:color="auto" w:sz="4" w:space="0"/>
              <w:right w:val="single" w:color="auto" w:sz="4" w:space="0"/>
            </w:tcBorders>
            <w:shd w:val="clear" w:color="000000" w:fill="FFFFFF"/>
            <w:vAlign w:val="center"/>
          </w:tcPr>
          <w:p w14:paraId="5729D090">
            <w:pPr>
              <w:jc w:val="center"/>
              <w:rPr>
                <w:rFonts w:ascii="仿宋" w:hAnsi="仿宋" w:eastAsia="仿宋" w:cs="仿宋"/>
                <w:kern w:val="0"/>
                <w:sz w:val="27"/>
                <w:szCs w:val="27"/>
              </w:rPr>
            </w:pPr>
            <w:r>
              <w:rPr>
                <w:rFonts w:hint="eastAsia" w:ascii="仿宋" w:hAnsi="仿宋" w:eastAsia="仿宋" w:cs="仿宋"/>
                <w:kern w:val="0"/>
                <w:sz w:val="27"/>
                <w:szCs w:val="27"/>
              </w:rPr>
              <w:t>5</w:t>
            </w:r>
          </w:p>
        </w:tc>
        <w:tc>
          <w:tcPr>
            <w:tcW w:w="1225" w:type="dxa"/>
            <w:vMerge w:val="restart"/>
            <w:tcBorders>
              <w:top w:val="nil"/>
              <w:left w:val="single" w:color="auto" w:sz="4" w:space="0"/>
              <w:bottom w:val="single" w:color="auto" w:sz="4" w:space="0"/>
              <w:right w:val="single" w:color="auto" w:sz="4" w:space="0"/>
            </w:tcBorders>
            <w:shd w:val="clear" w:color="000000" w:fill="FFFFFF"/>
            <w:vAlign w:val="center"/>
          </w:tcPr>
          <w:p w14:paraId="4D48E6F0">
            <w:pPr>
              <w:jc w:val="center"/>
              <w:rPr>
                <w:rFonts w:hint="eastAsia" w:ascii="仿宋" w:hAnsi="仿宋" w:eastAsia="仿宋" w:cs="仿宋"/>
                <w:kern w:val="0"/>
                <w:sz w:val="27"/>
                <w:szCs w:val="27"/>
                <w:lang w:eastAsia="zh-CN"/>
              </w:rPr>
            </w:pPr>
            <w:r>
              <w:rPr>
                <w:rFonts w:hint="eastAsia" w:ascii="仿宋" w:hAnsi="仿宋" w:eastAsia="仿宋" w:cs="仿宋"/>
                <w:kern w:val="0"/>
                <w:sz w:val="27"/>
                <w:szCs w:val="27"/>
              </w:rPr>
              <w:t>行政配合</w:t>
            </w:r>
            <w:r>
              <w:rPr>
                <w:rFonts w:hint="eastAsia" w:ascii="仿宋" w:hAnsi="仿宋" w:eastAsia="仿宋" w:cs="仿宋"/>
                <w:kern w:val="0"/>
                <w:sz w:val="27"/>
                <w:szCs w:val="27"/>
                <w:lang w:eastAsia="zh-CN"/>
              </w:rPr>
              <w:t>及创新</w:t>
            </w:r>
          </w:p>
        </w:tc>
        <w:tc>
          <w:tcPr>
            <w:tcW w:w="4275" w:type="dxa"/>
            <w:gridSpan w:val="2"/>
            <w:tcBorders>
              <w:top w:val="nil"/>
              <w:left w:val="nil"/>
              <w:bottom w:val="single" w:color="auto" w:sz="4" w:space="0"/>
              <w:right w:val="single" w:color="auto" w:sz="4" w:space="0"/>
            </w:tcBorders>
            <w:shd w:val="clear" w:color="000000" w:fill="FFFFFF"/>
            <w:vAlign w:val="center"/>
          </w:tcPr>
          <w:p w14:paraId="023E4DDF">
            <w:pPr>
              <w:jc w:val="left"/>
              <w:rPr>
                <w:rFonts w:ascii="仿宋" w:hAnsi="仿宋" w:eastAsia="仿宋" w:cs="仿宋"/>
                <w:kern w:val="0"/>
                <w:sz w:val="27"/>
                <w:szCs w:val="27"/>
              </w:rPr>
            </w:pPr>
            <w:r>
              <w:rPr>
                <w:rFonts w:hint="eastAsia" w:ascii="仿宋" w:hAnsi="仿宋" w:eastAsia="仿宋" w:cs="仿宋"/>
                <w:kern w:val="0"/>
                <w:sz w:val="27"/>
                <w:szCs w:val="27"/>
              </w:rPr>
              <w:t>监管人员协助甲方对运营单位的运行管理及工作落实情况进行考核，并将考核结果发送甲方，若无故未发送</w:t>
            </w:r>
          </w:p>
        </w:tc>
        <w:tc>
          <w:tcPr>
            <w:tcW w:w="1375" w:type="dxa"/>
            <w:tcBorders>
              <w:top w:val="nil"/>
              <w:left w:val="nil"/>
              <w:bottom w:val="single" w:color="auto" w:sz="4" w:space="0"/>
              <w:right w:val="single" w:color="auto" w:sz="4" w:space="0"/>
            </w:tcBorders>
            <w:shd w:val="clear" w:color="000000" w:fill="FFFFFF"/>
            <w:vAlign w:val="center"/>
          </w:tcPr>
          <w:p w14:paraId="4E7DB677">
            <w:pPr>
              <w:jc w:val="center"/>
              <w:rPr>
                <w:rFonts w:ascii="仿宋" w:hAnsi="仿宋" w:eastAsia="仿宋" w:cs="仿宋"/>
                <w:kern w:val="0"/>
                <w:sz w:val="27"/>
                <w:szCs w:val="27"/>
              </w:rPr>
            </w:pPr>
            <w:r>
              <w:rPr>
                <w:rFonts w:hint="eastAsia" w:ascii="仿宋" w:hAnsi="仿宋" w:eastAsia="仿宋" w:cs="仿宋"/>
                <w:kern w:val="0"/>
                <w:sz w:val="27"/>
                <w:szCs w:val="27"/>
              </w:rPr>
              <w:t>每次</w:t>
            </w:r>
            <w:r>
              <w:rPr>
                <w:rFonts w:hint="eastAsia" w:ascii="仿宋" w:hAnsi="仿宋" w:eastAsia="仿宋" w:cs="仿宋"/>
                <w:kern w:val="0"/>
                <w:sz w:val="27"/>
                <w:szCs w:val="27"/>
              </w:rPr>
              <w:br w:type="textWrapping"/>
            </w:r>
            <w:r>
              <w:rPr>
                <w:rFonts w:hint="eastAsia" w:ascii="仿宋" w:hAnsi="仿宋" w:eastAsia="仿宋" w:cs="仿宋"/>
                <w:kern w:val="0"/>
                <w:sz w:val="27"/>
                <w:szCs w:val="27"/>
              </w:rPr>
              <w:t>扣2分</w:t>
            </w:r>
          </w:p>
        </w:tc>
        <w:tc>
          <w:tcPr>
            <w:tcW w:w="1062" w:type="dxa"/>
            <w:tcBorders>
              <w:top w:val="nil"/>
              <w:left w:val="nil"/>
              <w:bottom w:val="single" w:color="auto" w:sz="4" w:space="0"/>
              <w:right w:val="single" w:color="auto" w:sz="4" w:space="0"/>
            </w:tcBorders>
            <w:shd w:val="clear" w:color="000000" w:fill="FFFFFF"/>
            <w:vAlign w:val="center"/>
          </w:tcPr>
          <w:p w14:paraId="63172313">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2E405FD1">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62A14567">
        <w:tblPrEx>
          <w:tblCellMar>
            <w:top w:w="0" w:type="dxa"/>
            <w:left w:w="108" w:type="dxa"/>
            <w:bottom w:w="0" w:type="dxa"/>
            <w:right w:w="108" w:type="dxa"/>
          </w:tblCellMar>
        </w:tblPrEx>
        <w:trPr>
          <w:trHeight w:val="675" w:hRule="atLeast"/>
        </w:trPr>
        <w:tc>
          <w:tcPr>
            <w:tcW w:w="900" w:type="dxa"/>
            <w:vMerge w:val="continue"/>
            <w:tcBorders>
              <w:top w:val="nil"/>
              <w:left w:val="single" w:color="auto" w:sz="4" w:space="0"/>
              <w:bottom w:val="single" w:color="auto" w:sz="4" w:space="0"/>
              <w:right w:val="single" w:color="auto" w:sz="4" w:space="0"/>
            </w:tcBorders>
            <w:vAlign w:val="center"/>
          </w:tcPr>
          <w:p w14:paraId="7CD41557">
            <w:pPr>
              <w:jc w:val="left"/>
              <w:rPr>
                <w:rFonts w:ascii="仿宋" w:hAnsi="仿宋" w:eastAsia="仿宋" w:cs="仿宋"/>
                <w:kern w:val="0"/>
                <w:sz w:val="27"/>
                <w:szCs w:val="27"/>
              </w:rPr>
            </w:pPr>
          </w:p>
        </w:tc>
        <w:tc>
          <w:tcPr>
            <w:tcW w:w="1225" w:type="dxa"/>
            <w:vMerge w:val="continue"/>
            <w:tcBorders>
              <w:top w:val="nil"/>
              <w:left w:val="single" w:color="auto" w:sz="4" w:space="0"/>
              <w:bottom w:val="single" w:color="auto" w:sz="4" w:space="0"/>
              <w:right w:val="single" w:color="auto" w:sz="4" w:space="0"/>
            </w:tcBorders>
            <w:vAlign w:val="center"/>
          </w:tcPr>
          <w:p w14:paraId="4E7535A0">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33F687E7">
            <w:pPr>
              <w:jc w:val="left"/>
              <w:rPr>
                <w:rFonts w:ascii="仿宋" w:hAnsi="仿宋" w:eastAsia="仿宋" w:cs="仿宋"/>
                <w:kern w:val="0"/>
                <w:sz w:val="27"/>
                <w:szCs w:val="27"/>
              </w:rPr>
            </w:pPr>
            <w:r>
              <w:rPr>
                <w:rFonts w:hint="eastAsia" w:ascii="仿宋" w:hAnsi="仿宋" w:eastAsia="仿宋" w:cs="仿宋"/>
                <w:kern w:val="0"/>
                <w:sz w:val="27"/>
                <w:szCs w:val="27"/>
              </w:rPr>
              <w:t>完成采购人临时交办的其他任务，未积极配合的</w:t>
            </w:r>
          </w:p>
        </w:tc>
        <w:tc>
          <w:tcPr>
            <w:tcW w:w="1375" w:type="dxa"/>
            <w:tcBorders>
              <w:top w:val="nil"/>
              <w:left w:val="nil"/>
              <w:bottom w:val="single" w:color="auto" w:sz="4" w:space="0"/>
              <w:right w:val="single" w:color="auto" w:sz="4" w:space="0"/>
            </w:tcBorders>
            <w:shd w:val="clear" w:color="000000" w:fill="FFFFFF"/>
            <w:vAlign w:val="center"/>
          </w:tcPr>
          <w:p w14:paraId="03C7023D">
            <w:pPr>
              <w:jc w:val="center"/>
              <w:rPr>
                <w:rFonts w:ascii="仿宋" w:hAnsi="仿宋" w:eastAsia="仿宋" w:cs="仿宋"/>
                <w:kern w:val="0"/>
                <w:sz w:val="27"/>
                <w:szCs w:val="27"/>
              </w:rPr>
            </w:pPr>
            <w:r>
              <w:rPr>
                <w:rFonts w:hint="eastAsia" w:ascii="仿宋" w:hAnsi="仿宋" w:eastAsia="仿宋" w:cs="仿宋"/>
                <w:kern w:val="0"/>
                <w:sz w:val="27"/>
                <w:szCs w:val="27"/>
              </w:rPr>
              <w:t>每次</w:t>
            </w:r>
            <w:r>
              <w:rPr>
                <w:rFonts w:hint="eastAsia" w:ascii="仿宋" w:hAnsi="仿宋" w:eastAsia="仿宋" w:cs="仿宋"/>
                <w:kern w:val="0"/>
                <w:sz w:val="27"/>
                <w:szCs w:val="27"/>
              </w:rPr>
              <w:br w:type="textWrapping"/>
            </w:r>
            <w:r>
              <w:rPr>
                <w:rFonts w:hint="eastAsia" w:ascii="仿宋" w:hAnsi="仿宋" w:eastAsia="仿宋" w:cs="仿宋"/>
                <w:kern w:val="0"/>
                <w:sz w:val="27"/>
                <w:szCs w:val="27"/>
              </w:rPr>
              <w:t>扣2分</w:t>
            </w:r>
          </w:p>
        </w:tc>
        <w:tc>
          <w:tcPr>
            <w:tcW w:w="1062" w:type="dxa"/>
            <w:tcBorders>
              <w:top w:val="nil"/>
              <w:left w:val="nil"/>
              <w:bottom w:val="single" w:color="auto" w:sz="4" w:space="0"/>
              <w:right w:val="single" w:color="auto" w:sz="4" w:space="0"/>
            </w:tcBorders>
            <w:shd w:val="clear" w:color="000000" w:fill="FFFFFF"/>
            <w:vAlign w:val="center"/>
          </w:tcPr>
          <w:p w14:paraId="7644E785">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3C88659D">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211EF01A">
        <w:tblPrEx>
          <w:tblCellMar>
            <w:top w:w="0" w:type="dxa"/>
            <w:left w:w="108" w:type="dxa"/>
            <w:bottom w:w="0" w:type="dxa"/>
            <w:right w:w="108" w:type="dxa"/>
          </w:tblCellMar>
        </w:tblPrEx>
        <w:trPr>
          <w:trHeight w:val="780" w:hRule="atLeast"/>
        </w:trPr>
        <w:tc>
          <w:tcPr>
            <w:tcW w:w="900" w:type="dxa"/>
            <w:vMerge w:val="continue"/>
            <w:tcBorders>
              <w:top w:val="nil"/>
              <w:left w:val="single" w:color="auto" w:sz="4" w:space="0"/>
              <w:bottom w:val="single" w:color="auto" w:sz="4" w:space="0"/>
              <w:right w:val="single" w:color="auto" w:sz="4" w:space="0"/>
            </w:tcBorders>
            <w:vAlign w:val="center"/>
          </w:tcPr>
          <w:p w14:paraId="673A09AA">
            <w:pPr>
              <w:jc w:val="left"/>
              <w:rPr>
                <w:rFonts w:ascii="仿宋" w:hAnsi="仿宋" w:eastAsia="仿宋" w:cs="仿宋"/>
                <w:kern w:val="0"/>
                <w:sz w:val="27"/>
                <w:szCs w:val="27"/>
              </w:rPr>
            </w:pPr>
          </w:p>
        </w:tc>
        <w:tc>
          <w:tcPr>
            <w:tcW w:w="1225" w:type="dxa"/>
            <w:vMerge w:val="continue"/>
            <w:tcBorders>
              <w:top w:val="nil"/>
              <w:left w:val="single" w:color="auto" w:sz="4" w:space="0"/>
              <w:bottom w:val="single" w:color="auto" w:sz="4" w:space="0"/>
              <w:right w:val="single" w:color="auto" w:sz="4" w:space="0"/>
            </w:tcBorders>
            <w:vAlign w:val="center"/>
          </w:tcPr>
          <w:p w14:paraId="109F1A19">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17B6B237">
            <w:pPr>
              <w:jc w:val="left"/>
              <w:rPr>
                <w:rFonts w:hint="default" w:ascii="仿宋" w:hAnsi="仿宋" w:eastAsia="仿宋" w:cs="仿宋"/>
                <w:kern w:val="0"/>
                <w:sz w:val="27"/>
                <w:szCs w:val="27"/>
                <w:highlight w:val="none"/>
                <w:lang w:val="en-US"/>
              </w:rPr>
            </w:pPr>
            <w:r>
              <w:rPr>
                <w:rFonts w:hint="eastAsia" w:ascii="仿宋" w:hAnsi="仿宋" w:eastAsia="仿宋" w:cs="仿宋"/>
                <w:color w:val="auto"/>
                <w:kern w:val="2"/>
                <w:sz w:val="27"/>
                <w:szCs w:val="27"/>
                <w:highlight w:val="none"/>
                <w:lang w:val="en-US" w:eastAsia="zh-CN" w:bidi="ar-SA"/>
              </w:rPr>
              <w:t>AI技术创新监管未及时部署应用，或部署应用后未能在规定时间达到预期效果的</w:t>
            </w:r>
          </w:p>
        </w:tc>
        <w:tc>
          <w:tcPr>
            <w:tcW w:w="1375" w:type="dxa"/>
            <w:tcBorders>
              <w:top w:val="nil"/>
              <w:left w:val="nil"/>
              <w:bottom w:val="single" w:color="auto" w:sz="4" w:space="0"/>
              <w:right w:val="single" w:color="auto" w:sz="4" w:space="0"/>
            </w:tcBorders>
            <w:shd w:val="clear" w:color="000000" w:fill="FFFFFF"/>
            <w:vAlign w:val="center"/>
          </w:tcPr>
          <w:p w14:paraId="1416610E">
            <w:pPr>
              <w:jc w:val="center"/>
              <w:rPr>
                <w:rFonts w:hint="default" w:ascii="仿宋" w:hAnsi="仿宋" w:eastAsia="仿宋" w:cs="仿宋"/>
                <w:kern w:val="0"/>
                <w:sz w:val="27"/>
                <w:szCs w:val="27"/>
                <w:highlight w:val="none"/>
                <w:lang w:val="en-US" w:eastAsia="zh-CN"/>
              </w:rPr>
            </w:pPr>
            <w:r>
              <w:rPr>
                <w:rFonts w:hint="eastAsia" w:ascii="仿宋" w:hAnsi="仿宋" w:eastAsia="仿宋" w:cs="仿宋"/>
                <w:kern w:val="0"/>
                <w:sz w:val="27"/>
                <w:szCs w:val="27"/>
                <w:highlight w:val="none"/>
                <w:lang w:val="en-US" w:eastAsia="zh-CN"/>
              </w:rPr>
              <w:t>每次扣2分</w:t>
            </w:r>
          </w:p>
        </w:tc>
        <w:tc>
          <w:tcPr>
            <w:tcW w:w="1062" w:type="dxa"/>
            <w:tcBorders>
              <w:top w:val="nil"/>
              <w:left w:val="nil"/>
              <w:bottom w:val="single" w:color="auto" w:sz="4" w:space="0"/>
              <w:right w:val="single" w:color="auto" w:sz="4" w:space="0"/>
            </w:tcBorders>
            <w:shd w:val="clear" w:color="000000" w:fill="FFFFFF"/>
            <w:vAlign w:val="center"/>
          </w:tcPr>
          <w:p w14:paraId="58F193A3">
            <w:pPr>
              <w:jc w:val="center"/>
              <w:rPr>
                <w:rFonts w:hint="eastAsia" w:ascii="仿宋" w:hAnsi="仿宋" w:eastAsia="仿宋" w:cs="仿宋"/>
                <w:kern w:val="0"/>
                <w:sz w:val="27"/>
                <w:szCs w:val="27"/>
              </w:rPr>
            </w:pPr>
          </w:p>
        </w:tc>
        <w:tc>
          <w:tcPr>
            <w:tcW w:w="888" w:type="dxa"/>
            <w:tcBorders>
              <w:top w:val="nil"/>
              <w:left w:val="nil"/>
              <w:bottom w:val="single" w:color="auto" w:sz="4" w:space="0"/>
              <w:right w:val="single" w:color="auto" w:sz="4" w:space="0"/>
            </w:tcBorders>
            <w:shd w:val="clear" w:color="000000" w:fill="FFFFFF"/>
            <w:vAlign w:val="center"/>
          </w:tcPr>
          <w:p w14:paraId="1169131E">
            <w:pPr>
              <w:jc w:val="center"/>
              <w:rPr>
                <w:rFonts w:hint="eastAsia" w:ascii="仿宋" w:hAnsi="仿宋" w:eastAsia="仿宋" w:cs="仿宋"/>
                <w:kern w:val="0"/>
                <w:sz w:val="27"/>
                <w:szCs w:val="27"/>
              </w:rPr>
            </w:pPr>
          </w:p>
        </w:tc>
      </w:tr>
      <w:tr w14:paraId="4484B38F">
        <w:tblPrEx>
          <w:tblCellMar>
            <w:top w:w="0" w:type="dxa"/>
            <w:left w:w="108" w:type="dxa"/>
            <w:bottom w:w="0" w:type="dxa"/>
            <w:right w:w="108" w:type="dxa"/>
          </w:tblCellMar>
        </w:tblPrEx>
        <w:trPr>
          <w:trHeight w:val="780" w:hRule="atLeast"/>
        </w:trPr>
        <w:tc>
          <w:tcPr>
            <w:tcW w:w="900" w:type="dxa"/>
            <w:vMerge w:val="continue"/>
            <w:tcBorders>
              <w:top w:val="nil"/>
              <w:left w:val="single" w:color="auto" w:sz="4" w:space="0"/>
              <w:bottom w:val="single" w:color="auto" w:sz="4" w:space="0"/>
              <w:right w:val="single" w:color="auto" w:sz="4" w:space="0"/>
            </w:tcBorders>
            <w:vAlign w:val="center"/>
          </w:tcPr>
          <w:p w14:paraId="6ADB615B">
            <w:pPr>
              <w:jc w:val="left"/>
              <w:rPr>
                <w:rFonts w:ascii="仿宋" w:hAnsi="仿宋" w:eastAsia="仿宋" w:cs="仿宋"/>
                <w:kern w:val="0"/>
                <w:sz w:val="27"/>
                <w:szCs w:val="27"/>
              </w:rPr>
            </w:pPr>
          </w:p>
        </w:tc>
        <w:tc>
          <w:tcPr>
            <w:tcW w:w="1225" w:type="dxa"/>
            <w:vMerge w:val="continue"/>
            <w:tcBorders>
              <w:top w:val="nil"/>
              <w:left w:val="single" w:color="auto" w:sz="4" w:space="0"/>
              <w:bottom w:val="single" w:color="auto" w:sz="4" w:space="0"/>
              <w:right w:val="single" w:color="auto" w:sz="4" w:space="0"/>
            </w:tcBorders>
            <w:vAlign w:val="center"/>
          </w:tcPr>
          <w:p w14:paraId="2265EAAB">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7D0687DC">
            <w:pPr>
              <w:jc w:val="left"/>
              <w:rPr>
                <w:rFonts w:ascii="仿宋" w:hAnsi="仿宋" w:eastAsia="仿宋" w:cs="仿宋"/>
                <w:kern w:val="0"/>
                <w:sz w:val="27"/>
                <w:szCs w:val="27"/>
              </w:rPr>
            </w:pPr>
            <w:r>
              <w:rPr>
                <w:rFonts w:hint="eastAsia" w:ascii="仿宋" w:hAnsi="仿宋" w:eastAsia="仿宋" w:cs="仿宋"/>
                <w:kern w:val="0"/>
                <w:sz w:val="27"/>
                <w:szCs w:val="27"/>
              </w:rPr>
              <w:t>对监督对象的所有运营数据，应予以保密，未经甲方同意，擅自向外披露的</w:t>
            </w:r>
          </w:p>
        </w:tc>
        <w:tc>
          <w:tcPr>
            <w:tcW w:w="1375" w:type="dxa"/>
            <w:tcBorders>
              <w:top w:val="nil"/>
              <w:left w:val="nil"/>
              <w:bottom w:val="single" w:color="auto" w:sz="4" w:space="0"/>
              <w:right w:val="single" w:color="auto" w:sz="4" w:space="0"/>
            </w:tcBorders>
            <w:shd w:val="clear" w:color="000000" w:fill="FFFFFF"/>
            <w:vAlign w:val="center"/>
          </w:tcPr>
          <w:p w14:paraId="5A177117">
            <w:pPr>
              <w:jc w:val="center"/>
              <w:rPr>
                <w:rFonts w:ascii="仿宋" w:hAnsi="仿宋" w:eastAsia="仿宋" w:cs="仿宋"/>
                <w:kern w:val="0"/>
                <w:sz w:val="27"/>
                <w:szCs w:val="27"/>
              </w:rPr>
            </w:pPr>
            <w:r>
              <w:rPr>
                <w:rFonts w:hint="eastAsia" w:ascii="仿宋" w:hAnsi="仿宋" w:eastAsia="仿宋" w:cs="仿宋"/>
                <w:kern w:val="0"/>
                <w:sz w:val="27"/>
                <w:szCs w:val="27"/>
              </w:rPr>
              <w:t>每次</w:t>
            </w:r>
            <w:r>
              <w:rPr>
                <w:rFonts w:hint="eastAsia" w:ascii="仿宋" w:hAnsi="仿宋" w:eastAsia="仿宋" w:cs="仿宋"/>
                <w:kern w:val="0"/>
                <w:sz w:val="27"/>
                <w:szCs w:val="27"/>
              </w:rPr>
              <w:br w:type="textWrapping"/>
            </w:r>
            <w:r>
              <w:rPr>
                <w:rFonts w:hint="eastAsia" w:ascii="仿宋" w:hAnsi="仿宋" w:eastAsia="仿宋" w:cs="仿宋"/>
                <w:kern w:val="0"/>
                <w:sz w:val="27"/>
                <w:szCs w:val="27"/>
              </w:rPr>
              <w:t>扣5分</w:t>
            </w:r>
          </w:p>
        </w:tc>
        <w:tc>
          <w:tcPr>
            <w:tcW w:w="1062" w:type="dxa"/>
            <w:tcBorders>
              <w:top w:val="nil"/>
              <w:left w:val="nil"/>
              <w:bottom w:val="single" w:color="auto" w:sz="4" w:space="0"/>
              <w:right w:val="single" w:color="auto" w:sz="4" w:space="0"/>
            </w:tcBorders>
            <w:shd w:val="clear" w:color="000000" w:fill="FFFFFF"/>
            <w:vAlign w:val="center"/>
          </w:tcPr>
          <w:p w14:paraId="4D0B3E8A">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06DAAEF8">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19EA85E3">
        <w:tblPrEx>
          <w:tblCellMar>
            <w:top w:w="0" w:type="dxa"/>
            <w:left w:w="108" w:type="dxa"/>
            <w:bottom w:w="0" w:type="dxa"/>
            <w:right w:w="108" w:type="dxa"/>
          </w:tblCellMar>
        </w:tblPrEx>
        <w:trPr>
          <w:trHeight w:val="750" w:hRule="atLeast"/>
        </w:trPr>
        <w:tc>
          <w:tcPr>
            <w:tcW w:w="900" w:type="dxa"/>
            <w:vMerge w:val="continue"/>
            <w:tcBorders>
              <w:top w:val="nil"/>
              <w:left w:val="single" w:color="auto" w:sz="4" w:space="0"/>
              <w:bottom w:val="single" w:color="auto" w:sz="4" w:space="0"/>
              <w:right w:val="single" w:color="auto" w:sz="4" w:space="0"/>
            </w:tcBorders>
            <w:vAlign w:val="center"/>
          </w:tcPr>
          <w:p w14:paraId="5C93642F">
            <w:pPr>
              <w:jc w:val="left"/>
              <w:rPr>
                <w:rFonts w:ascii="仿宋" w:hAnsi="仿宋" w:eastAsia="仿宋" w:cs="仿宋"/>
                <w:kern w:val="0"/>
                <w:sz w:val="27"/>
                <w:szCs w:val="27"/>
              </w:rPr>
            </w:pPr>
          </w:p>
        </w:tc>
        <w:tc>
          <w:tcPr>
            <w:tcW w:w="1225" w:type="dxa"/>
            <w:vMerge w:val="continue"/>
            <w:tcBorders>
              <w:top w:val="nil"/>
              <w:left w:val="single" w:color="auto" w:sz="4" w:space="0"/>
              <w:bottom w:val="single" w:color="auto" w:sz="4" w:space="0"/>
              <w:right w:val="single" w:color="auto" w:sz="4" w:space="0"/>
            </w:tcBorders>
            <w:vAlign w:val="center"/>
          </w:tcPr>
          <w:p w14:paraId="029CD8D7">
            <w:pPr>
              <w:jc w:val="left"/>
              <w:rPr>
                <w:rFonts w:ascii="仿宋" w:hAnsi="仿宋" w:eastAsia="仿宋" w:cs="仿宋"/>
                <w:kern w:val="0"/>
                <w:sz w:val="27"/>
                <w:szCs w:val="27"/>
              </w:rPr>
            </w:pPr>
          </w:p>
        </w:tc>
        <w:tc>
          <w:tcPr>
            <w:tcW w:w="4275" w:type="dxa"/>
            <w:gridSpan w:val="2"/>
            <w:tcBorders>
              <w:top w:val="nil"/>
              <w:left w:val="nil"/>
              <w:bottom w:val="single" w:color="auto" w:sz="4" w:space="0"/>
              <w:right w:val="single" w:color="auto" w:sz="4" w:space="0"/>
            </w:tcBorders>
            <w:shd w:val="clear" w:color="000000" w:fill="FFFFFF"/>
            <w:vAlign w:val="center"/>
          </w:tcPr>
          <w:p w14:paraId="554227AB">
            <w:pPr>
              <w:jc w:val="left"/>
              <w:rPr>
                <w:rFonts w:ascii="仿宋" w:hAnsi="仿宋" w:eastAsia="仿宋" w:cs="仿宋"/>
                <w:kern w:val="0"/>
                <w:sz w:val="27"/>
                <w:szCs w:val="27"/>
              </w:rPr>
            </w:pPr>
            <w:r>
              <w:rPr>
                <w:rFonts w:hint="eastAsia" w:ascii="仿宋" w:hAnsi="仿宋" w:eastAsia="仿宋" w:cs="仿宋"/>
                <w:kern w:val="0"/>
                <w:sz w:val="27"/>
                <w:szCs w:val="27"/>
              </w:rPr>
              <w:t>配合做好对公众的解释宣传工作，未努力为本项目营造良好的社会评价的</w:t>
            </w:r>
          </w:p>
        </w:tc>
        <w:tc>
          <w:tcPr>
            <w:tcW w:w="1375" w:type="dxa"/>
            <w:tcBorders>
              <w:top w:val="nil"/>
              <w:left w:val="nil"/>
              <w:bottom w:val="single" w:color="auto" w:sz="4" w:space="0"/>
              <w:right w:val="single" w:color="auto" w:sz="4" w:space="0"/>
            </w:tcBorders>
            <w:shd w:val="clear" w:color="000000" w:fill="FFFFFF"/>
            <w:vAlign w:val="center"/>
          </w:tcPr>
          <w:p w14:paraId="1EC5CB30">
            <w:pPr>
              <w:jc w:val="center"/>
              <w:rPr>
                <w:rFonts w:ascii="仿宋" w:hAnsi="仿宋" w:eastAsia="仿宋" w:cs="仿宋"/>
                <w:kern w:val="0"/>
                <w:sz w:val="27"/>
                <w:szCs w:val="27"/>
              </w:rPr>
            </w:pPr>
            <w:r>
              <w:rPr>
                <w:rFonts w:hint="eastAsia" w:ascii="仿宋" w:hAnsi="仿宋" w:eastAsia="仿宋" w:cs="仿宋"/>
                <w:kern w:val="0"/>
                <w:sz w:val="27"/>
                <w:szCs w:val="27"/>
              </w:rPr>
              <w:t>每次</w:t>
            </w:r>
            <w:r>
              <w:rPr>
                <w:rFonts w:hint="eastAsia" w:ascii="仿宋" w:hAnsi="仿宋" w:eastAsia="仿宋" w:cs="仿宋"/>
                <w:kern w:val="0"/>
                <w:sz w:val="27"/>
                <w:szCs w:val="27"/>
              </w:rPr>
              <w:br w:type="textWrapping"/>
            </w:r>
            <w:r>
              <w:rPr>
                <w:rFonts w:hint="eastAsia" w:ascii="仿宋" w:hAnsi="仿宋" w:eastAsia="仿宋" w:cs="仿宋"/>
                <w:kern w:val="0"/>
                <w:sz w:val="27"/>
                <w:szCs w:val="27"/>
              </w:rPr>
              <w:t>扣2分</w:t>
            </w:r>
          </w:p>
        </w:tc>
        <w:tc>
          <w:tcPr>
            <w:tcW w:w="1062" w:type="dxa"/>
            <w:tcBorders>
              <w:top w:val="nil"/>
              <w:left w:val="nil"/>
              <w:bottom w:val="single" w:color="auto" w:sz="4" w:space="0"/>
              <w:right w:val="single" w:color="auto" w:sz="4" w:space="0"/>
            </w:tcBorders>
            <w:shd w:val="clear" w:color="000000" w:fill="FFFFFF"/>
            <w:vAlign w:val="center"/>
          </w:tcPr>
          <w:p w14:paraId="08DE2A36">
            <w:pPr>
              <w:jc w:val="center"/>
              <w:rPr>
                <w:rFonts w:ascii="仿宋" w:hAnsi="仿宋" w:eastAsia="仿宋" w:cs="仿宋"/>
                <w:kern w:val="0"/>
                <w:sz w:val="27"/>
                <w:szCs w:val="27"/>
              </w:rPr>
            </w:pPr>
            <w:r>
              <w:rPr>
                <w:rFonts w:hint="eastAsia" w:ascii="仿宋" w:hAnsi="仿宋" w:eastAsia="仿宋" w:cs="仿宋"/>
                <w:kern w:val="0"/>
                <w:sz w:val="27"/>
                <w:szCs w:val="27"/>
              </w:rPr>
              <w:t>　</w:t>
            </w:r>
          </w:p>
        </w:tc>
        <w:tc>
          <w:tcPr>
            <w:tcW w:w="888" w:type="dxa"/>
            <w:tcBorders>
              <w:top w:val="nil"/>
              <w:left w:val="nil"/>
              <w:bottom w:val="single" w:color="auto" w:sz="4" w:space="0"/>
              <w:right w:val="single" w:color="auto" w:sz="4" w:space="0"/>
            </w:tcBorders>
            <w:shd w:val="clear" w:color="000000" w:fill="FFFFFF"/>
            <w:vAlign w:val="center"/>
          </w:tcPr>
          <w:p w14:paraId="485D7BA8">
            <w:pPr>
              <w:jc w:val="center"/>
              <w:rPr>
                <w:rFonts w:ascii="仿宋" w:hAnsi="仿宋" w:eastAsia="仿宋" w:cs="仿宋"/>
                <w:kern w:val="0"/>
                <w:sz w:val="27"/>
                <w:szCs w:val="27"/>
              </w:rPr>
            </w:pPr>
            <w:r>
              <w:rPr>
                <w:rFonts w:hint="eastAsia" w:ascii="仿宋" w:hAnsi="仿宋" w:eastAsia="仿宋" w:cs="仿宋"/>
                <w:kern w:val="0"/>
                <w:sz w:val="27"/>
                <w:szCs w:val="27"/>
              </w:rPr>
              <w:t>　</w:t>
            </w:r>
          </w:p>
        </w:tc>
      </w:tr>
      <w:tr w14:paraId="2CE7B91A">
        <w:tblPrEx>
          <w:tblCellMar>
            <w:top w:w="0" w:type="dxa"/>
            <w:left w:w="108" w:type="dxa"/>
            <w:bottom w:w="0" w:type="dxa"/>
            <w:right w:w="108" w:type="dxa"/>
          </w:tblCellMar>
        </w:tblPrEx>
        <w:trPr>
          <w:trHeight w:val="620" w:hRule="atLeast"/>
        </w:trPr>
        <w:tc>
          <w:tcPr>
            <w:tcW w:w="4865" w:type="dxa"/>
            <w:gridSpan w:val="3"/>
            <w:tcBorders>
              <w:top w:val="single" w:color="auto" w:sz="4" w:space="0"/>
              <w:left w:val="single" w:color="auto" w:sz="4" w:space="0"/>
              <w:bottom w:val="single" w:color="auto" w:sz="4" w:space="0"/>
              <w:right w:val="single" w:color="auto" w:sz="4" w:space="0"/>
            </w:tcBorders>
            <w:shd w:val="clear" w:color="000000" w:fill="FFFFFF"/>
            <w:vAlign w:val="center"/>
          </w:tcPr>
          <w:p w14:paraId="70983032">
            <w:pPr>
              <w:jc w:val="center"/>
              <w:rPr>
                <w:rFonts w:hint="default" w:ascii="仿宋" w:hAnsi="仿宋" w:eastAsia="仿宋" w:cs="仿宋"/>
                <w:kern w:val="0"/>
                <w:sz w:val="27"/>
                <w:szCs w:val="27"/>
                <w:lang w:val="en-US" w:eastAsia="zh-CN"/>
              </w:rPr>
            </w:pPr>
            <w:r>
              <w:rPr>
                <w:rFonts w:hint="eastAsia" w:ascii="仿宋" w:hAnsi="仿宋" w:eastAsia="仿宋" w:cs="仿宋"/>
                <w:kern w:val="0"/>
                <w:sz w:val="27"/>
                <w:szCs w:val="27"/>
              </w:rPr>
              <w:t>合计扣分</w:t>
            </w:r>
            <w:r>
              <w:rPr>
                <w:rFonts w:hint="eastAsia" w:ascii="仿宋" w:hAnsi="仿宋" w:eastAsia="仿宋" w:cs="仿宋"/>
                <w:kern w:val="0"/>
                <w:sz w:val="27"/>
                <w:szCs w:val="27"/>
                <w:lang w:eastAsia="zh-CN"/>
              </w:rPr>
              <w:t>：</w:t>
            </w:r>
            <w:r>
              <w:rPr>
                <w:rFonts w:hint="eastAsia" w:ascii="仿宋" w:hAnsi="仿宋" w:eastAsia="仿宋" w:cs="仿宋"/>
                <w:kern w:val="0"/>
                <w:sz w:val="27"/>
                <w:szCs w:val="27"/>
                <w:lang w:val="en-US" w:eastAsia="zh-CN"/>
              </w:rPr>
              <w:t xml:space="preserve">          </w:t>
            </w:r>
          </w:p>
        </w:tc>
        <w:tc>
          <w:tcPr>
            <w:tcW w:w="4860" w:type="dxa"/>
            <w:gridSpan w:val="4"/>
            <w:tcBorders>
              <w:top w:val="single" w:color="auto" w:sz="4" w:space="0"/>
              <w:left w:val="single" w:color="auto" w:sz="4" w:space="0"/>
              <w:bottom w:val="single" w:color="auto" w:sz="4" w:space="0"/>
              <w:right w:val="single" w:color="auto" w:sz="4" w:space="0"/>
            </w:tcBorders>
            <w:shd w:val="clear" w:color="000000" w:fill="FFFFFF"/>
            <w:vAlign w:val="center"/>
          </w:tcPr>
          <w:p w14:paraId="558EFDA6">
            <w:pPr>
              <w:jc w:val="both"/>
              <w:rPr>
                <w:rFonts w:ascii="仿宋" w:hAnsi="仿宋" w:eastAsia="仿宋" w:cs="仿宋"/>
                <w:kern w:val="0"/>
                <w:sz w:val="27"/>
                <w:szCs w:val="27"/>
              </w:rPr>
            </w:pPr>
            <w:r>
              <w:rPr>
                <w:rFonts w:hint="eastAsia" w:ascii="仿宋" w:hAnsi="仿宋" w:eastAsia="仿宋" w:cs="仿宋"/>
                <w:kern w:val="0"/>
                <w:sz w:val="27"/>
                <w:szCs w:val="27"/>
                <w:lang w:val="en-US" w:eastAsia="zh-CN"/>
              </w:rPr>
              <w:t>考核得分：</w:t>
            </w:r>
            <w:r>
              <w:rPr>
                <w:rFonts w:hint="eastAsia" w:ascii="仿宋" w:hAnsi="仿宋" w:eastAsia="仿宋" w:cs="仿宋"/>
                <w:kern w:val="0"/>
                <w:sz w:val="27"/>
                <w:szCs w:val="27"/>
              </w:rPr>
              <w:t>　</w:t>
            </w:r>
          </w:p>
        </w:tc>
      </w:tr>
      <w:bookmarkEnd w:id="15"/>
    </w:tbl>
    <w:p w14:paraId="4AD0A1A3">
      <w:pPr>
        <w:bidi w:val="0"/>
        <w:rPr>
          <w:rFonts w:hint="eastAsia" w:ascii="仿宋" w:hAnsi="仿宋" w:eastAsia="仿宋" w:cs="仿宋"/>
          <w:sz w:val="27"/>
          <w:szCs w:val="27"/>
        </w:rPr>
      </w:pPr>
    </w:p>
    <w:p w14:paraId="54E8531F">
      <w:pPr>
        <w:bidi w:val="0"/>
        <w:rPr>
          <w:b/>
          <w:bCs/>
          <w:sz w:val="28"/>
          <w:szCs w:val="28"/>
        </w:rPr>
      </w:pPr>
      <w:r>
        <w:rPr>
          <w:rFonts w:hint="eastAsia"/>
          <w:b/>
          <w:bCs/>
          <w:sz w:val="28"/>
          <w:szCs w:val="28"/>
        </w:rPr>
        <w:t>（二）商务条款</w:t>
      </w:r>
      <w:bookmarkEnd w:id="6"/>
    </w:p>
    <w:p w14:paraId="1D2C9FCB">
      <w:pPr>
        <w:jc w:val="left"/>
        <w:rPr>
          <w:rFonts w:hint="eastAsia" w:ascii="仿宋" w:hAnsi="仿宋" w:eastAsia="仿宋" w:cs="仿宋"/>
          <w:kern w:val="0"/>
          <w:sz w:val="27"/>
          <w:szCs w:val="27"/>
        </w:rPr>
      </w:pPr>
    </w:p>
    <w:p w14:paraId="238B8D53">
      <w:pPr>
        <w:keepNext w:val="0"/>
        <w:keepLines w:val="0"/>
        <w:pageBreakBefore w:val="0"/>
        <w:widowControl/>
        <w:numPr>
          <w:ilvl w:val="0"/>
          <w:numId w:val="2"/>
        </w:numPr>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kern w:val="0"/>
          <w:sz w:val="24"/>
          <w:szCs w:val="24"/>
        </w:rPr>
      </w:pPr>
      <w:r>
        <w:rPr>
          <w:rFonts w:hint="eastAsia" w:ascii="宋体" w:hAnsi="宋体" w:eastAsia="宋体" w:cs="宋体"/>
          <w:kern w:val="0"/>
          <w:sz w:val="24"/>
          <w:szCs w:val="24"/>
        </w:rPr>
        <w:t>付款方式：</w:t>
      </w:r>
    </w:p>
    <w:p w14:paraId="5F5C273D">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textAlignment w:val="baseline"/>
        <w:rPr>
          <w:rStyle w:val="10"/>
          <w:rFonts w:hint="eastAsia" w:ascii="宋体" w:hAnsi="宋体" w:eastAsia="宋体" w:cs="宋体"/>
          <w:sz w:val="24"/>
          <w:szCs w:val="24"/>
        </w:rPr>
      </w:pPr>
      <w:r>
        <w:rPr>
          <w:rStyle w:val="10"/>
          <w:rFonts w:hint="eastAsia" w:ascii="宋体" w:hAnsi="宋体" w:eastAsia="宋体" w:cs="宋体"/>
          <w:sz w:val="24"/>
          <w:szCs w:val="24"/>
          <w:lang w:val="en-US" w:eastAsia="zh-CN"/>
        </w:rPr>
        <w:t>（1）</w:t>
      </w:r>
      <w:r>
        <w:rPr>
          <w:rStyle w:val="10"/>
          <w:rFonts w:hint="eastAsia" w:ascii="宋体" w:hAnsi="宋体" w:eastAsia="宋体" w:cs="宋体"/>
          <w:sz w:val="24"/>
          <w:szCs w:val="24"/>
        </w:rPr>
        <w:t>付款比例：上高、宜丰两地按垃圾量比例核算分别承担。</w:t>
      </w:r>
    </w:p>
    <w:p w14:paraId="4B9EE072">
      <w:pPr>
        <w:keepNext w:val="0"/>
        <w:keepLines w:val="0"/>
        <w:pageBreakBefore w:val="0"/>
        <w:wordWrap/>
        <w:overflowPunct/>
        <w:topLinePunct w:val="0"/>
        <w:autoSpaceDE w:val="0"/>
        <w:autoSpaceDN w:val="0"/>
        <w:bidi w:val="0"/>
        <w:adjustRightInd w:val="0"/>
        <w:snapToGrid w:val="0"/>
        <w:spacing w:after="0" w:afterLines="50" w:afterAutospacing="0" w:line="360" w:lineRule="auto"/>
        <w:jc w:val="both"/>
        <w:rPr>
          <w:rFonts w:hint="eastAsia" w:ascii="宋体" w:hAnsi="宋体" w:eastAsia="宋体" w:cs="宋体"/>
          <w:color w:val="auto"/>
          <w:sz w:val="24"/>
          <w:szCs w:val="24"/>
          <w:highlight w:val="none"/>
          <w:lang w:eastAsia="zh-CN"/>
        </w:rPr>
      </w:pPr>
      <w:r>
        <w:rPr>
          <w:rStyle w:val="10"/>
          <w:rFonts w:hint="eastAsia" w:ascii="宋体" w:hAnsi="宋体" w:eastAsia="宋体" w:cs="宋体"/>
          <w:sz w:val="24"/>
          <w:szCs w:val="24"/>
          <w:lang w:eastAsia="zh-CN"/>
        </w:rPr>
        <w:t>（</w:t>
      </w:r>
      <w:r>
        <w:rPr>
          <w:rStyle w:val="10"/>
          <w:rFonts w:hint="eastAsia" w:ascii="宋体" w:hAnsi="宋体" w:eastAsia="宋体" w:cs="宋体"/>
          <w:sz w:val="24"/>
          <w:szCs w:val="24"/>
          <w:lang w:val="en-US" w:eastAsia="zh-CN"/>
        </w:rPr>
        <w:t>2）</w:t>
      </w:r>
      <w:r>
        <w:rPr>
          <w:rStyle w:val="10"/>
          <w:rFonts w:hint="eastAsia" w:ascii="宋体" w:hAnsi="宋体" w:eastAsia="宋体" w:cs="宋体"/>
          <w:sz w:val="24"/>
          <w:szCs w:val="24"/>
        </w:rPr>
        <w:t>付款方法：</w:t>
      </w:r>
      <w:r>
        <w:rPr>
          <w:rFonts w:hint="eastAsia" w:ascii="宋体" w:hAnsi="宋体" w:eastAsia="宋体" w:cs="宋体"/>
          <w:color w:val="auto"/>
          <w:sz w:val="24"/>
          <w:szCs w:val="24"/>
          <w:highlight w:val="none"/>
          <w:lang w:eastAsia="zh-CN"/>
        </w:rPr>
        <w:t>合同签订生效后按一年计算服务费（一年服务费标准按每月考核评分情况核定的月度服务费相加，月度服务费标准按年服务费（年服务费=中标价÷</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）除以12个月计算，即合同价÷12），即一年实际支付费用</w:t>
      </w:r>
      <w:r>
        <w:rPr>
          <w:rFonts w:hint="eastAsia" w:ascii="宋体" w:hAnsi="宋体" w:eastAsia="宋体" w:cs="宋体"/>
          <w:color w:val="auto"/>
          <w:sz w:val="24"/>
          <w:szCs w:val="24"/>
          <w:highlight w:val="none"/>
          <w:lang w:val="en-US" w:eastAsia="zh-CN"/>
        </w:rPr>
        <w:t>=</w:t>
      </w:r>
      <w:r>
        <w:rPr>
          <w:rFonts w:hint="eastAsia" w:ascii="宋体" w:hAnsi="宋体" w:eastAsia="宋体" w:cs="宋体"/>
          <w:color w:val="auto"/>
          <w:sz w:val="24"/>
          <w:szCs w:val="24"/>
          <w:highlight w:val="none"/>
          <w:lang w:eastAsia="zh-CN"/>
        </w:rPr>
        <w:t>（当期服务费—考核扣款）。付款时供应商需提供正式的发票。</w:t>
      </w:r>
    </w:p>
    <w:p w14:paraId="32E8A310">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kern w:val="0"/>
          <w:sz w:val="24"/>
          <w:szCs w:val="24"/>
          <w:lang w:val="en-US" w:eastAsia="zh-CN"/>
        </w:rPr>
      </w:pPr>
      <w:r>
        <w:rPr>
          <w:rFonts w:hint="eastAsia" w:ascii="宋体" w:hAnsi="宋体" w:eastAsia="宋体" w:cs="宋体"/>
          <w:color w:val="auto"/>
          <w:kern w:val="0"/>
          <w:sz w:val="24"/>
          <w:szCs w:val="24"/>
          <w:lang w:val="en-US" w:eastAsia="zh-CN"/>
        </w:rPr>
        <w:t>2</w:t>
      </w:r>
      <w:r>
        <w:rPr>
          <w:rFonts w:hint="eastAsia" w:ascii="宋体" w:hAnsi="宋体" w:eastAsia="宋体" w:cs="宋体"/>
          <w:color w:val="auto"/>
          <w:kern w:val="0"/>
          <w:sz w:val="24"/>
          <w:szCs w:val="24"/>
        </w:rPr>
        <w:t>、</w:t>
      </w:r>
      <w:r>
        <w:rPr>
          <w:rFonts w:hint="eastAsia" w:ascii="宋体" w:hAnsi="宋体" w:eastAsia="宋体" w:cs="宋体"/>
          <w:color w:val="auto"/>
          <w:kern w:val="0"/>
          <w:sz w:val="24"/>
          <w:szCs w:val="24"/>
          <w:lang w:val="en-US" w:eastAsia="zh-CN"/>
        </w:rPr>
        <w:t>服务</w:t>
      </w:r>
      <w:r>
        <w:rPr>
          <w:rFonts w:hint="eastAsia" w:ascii="宋体" w:hAnsi="宋体" w:eastAsia="宋体" w:cs="宋体"/>
          <w:color w:val="auto"/>
          <w:kern w:val="0"/>
          <w:sz w:val="24"/>
          <w:szCs w:val="24"/>
        </w:rPr>
        <w:t>期：</w:t>
      </w:r>
      <w:r>
        <w:rPr>
          <w:rFonts w:hint="eastAsia" w:ascii="宋体" w:hAnsi="宋体" w:eastAsia="宋体" w:cs="宋体"/>
          <w:color w:val="auto"/>
          <w:kern w:val="0"/>
          <w:sz w:val="24"/>
          <w:szCs w:val="24"/>
          <w:lang w:val="en-US" w:eastAsia="zh-CN"/>
        </w:rPr>
        <w:t>叁年（根据考核结果，合同一年一签）</w:t>
      </w:r>
    </w:p>
    <w:p w14:paraId="438DC27B">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kern w:val="0"/>
          <w:sz w:val="24"/>
          <w:szCs w:val="24"/>
          <w:lang w:val="en-US" w:eastAsia="zh-CN"/>
        </w:rPr>
      </w:pPr>
      <w:r>
        <w:rPr>
          <w:rFonts w:hint="eastAsia" w:ascii="宋体" w:hAnsi="宋体" w:eastAsia="宋体" w:cs="宋体"/>
          <w:kern w:val="0"/>
          <w:sz w:val="24"/>
          <w:szCs w:val="24"/>
          <w:lang w:val="en-US" w:eastAsia="zh-CN"/>
        </w:rPr>
        <w:t>3、售后服务：在合同履行期内，中标人应提供7*24小时技术支持，在采购人遇到技术问题时，应及时响应，如需现场服务的，应及时到场协助解决。</w:t>
      </w:r>
    </w:p>
    <w:p w14:paraId="0D1A0139">
      <w:pPr>
        <w:keepNext w:val="0"/>
        <w:keepLines w:val="0"/>
        <w:pageBreakBefore w:val="0"/>
        <w:widowControl/>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4</w:t>
      </w:r>
      <w:r>
        <w:rPr>
          <w:rFonts w:hint="eastAsia" w:ascii="宋体" w:hAnsi="宋体" w:eastAsia="宋体" w:cs="宋体"/>
          <w:kern w:val="0"/>
          <w:sz w:val="24"/>
          <w:szCs w:val="24"/>
        </w:rPr>
        <w:t>、验收标准：验收由采购人依据国家有关标准、</w:t>
      </w:r>
      <w:r>
        <w:rPr>
          <w:rFonts w:hint="eastAsia" w:ascii="宋体" w:hAnsi="宋体" w:eastAsia="宋体" w:cs="宋体"/>
          <w:kern w:val="0"/>
          <w:sz w:val="24"/>
          <w:szCs w:val="24"/>
          <w:lang w:eastAsia="zh-CN"/>
        </w:rPr>
        <w:t>磋商文件</w:t>
      </w:r>
      <w:r>
        <w:rPr>
          <w:rFonts w:hint="eastAsia" w:ascii="宋体" w:hAnsi="宋体" w:eastAsia="宋体" w:cs="宋体"/>
          <w:kern w:val="0"/>
          <w:sz w:val="24"/>
          <w:szCs w:val="24"/>
        </w:rPr>
        <w:t>要求、合同及有关附件要求进行。</w:t>
      </w:r>
    </w:p>
    <w:p w14:paraId="602E568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36093F"/>
    <w:multiLevelType w:val="singleLevel"/>
    <w:tmpl w:val="EA36093F"/>
    <w:lvl w:ilvl="0" w:tentative="0">
      <w:start w:val="1"/>
      <w:numFmt w:val="chineseCounting"/>
      <w:suff w:val="nothing"/>
      <w:lvlText w:val="%1、"/>
      <w:lvlJc w:val="left"/>
      <w:rPr>
        <w:rFonts w:hint="eastAsia"/>
      </w:rPr>
    </w:lvl>
  </w:abstractNum>
  <w:abstractNum w:abstractNumId="1">
    <w:nsid w:val="F379DB06"/>
    <w:multiLevelType w:val="singleLevel"/>
    <w:tmpl w:val="F379DB06"/>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1E03A7"/>
    <w:rsid w:val="2F1E03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8">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4">
    <w:name w:val="Body Text"/>
    <w:basedOn w:val="1"/>
    <w:qFormat/>
    <w:uiPriority w:val="0"/>
    <w:rPr>
      <w:rFonts w:ascii="仿宋" w:hAnsi="仿宋" w:eastAsia="仿宋" w:cs="仿宋"/>
      <w:sz w:val="30"/>
      <w:szCs w:val="30"/>
    </w:rPr>
  </w:style>
  <w:style w:type="paragraph" w:styleId="5">
    <w:name w:val="footer"/>
    <w:basedOn w:val="1"/>
    <w:qFormat/>
    <w:uiPriority w:val="0"/>
    <w:pPr>
      <w:tabs>
        <w:tab w:val="center" w:pos="4153"/>
        <w:tab w:val="right" w:pos="8306"/>
      </w:tabs>
    </w:pPr>
    <w:rPr>
      <w:sz w:val="18"/>
    </w:rPr>
  </w:style>
  <w:style w:type="paragraph" w:styleId="6">
    <w:name w:val="Body Text First Indent"/>
    <w:basedOn w:val="4"/>
    <w:qFormat/>
    <w:uiPriority w:val="0"/>
    <w:pPr>
      <w:ind w:firstLine="420" w:firstLineChars="100"/>
    </w:pPr>
  </w:style>
  <w:style w:type="paragraph" w:customStyle="1" w:styleId="9">
    <w:name w:val="无间隔1"/>
    <w:basedOn w:val="1"/>
    <w:qFormat/>
    <w:uiPriority w:val="0"/>
    <w:pPr>
      <w:spacing w:line="400" w:lineRule="exact"/>
    </w:pPr>
    <w:rPr>
      <w:rFonts w:ascii="Calibri" w:hAnsi="Calibri" w:cs="Times New Roman"/>
      <w:sz w:val="24"/>
    </w:rPr>
  </w:style>
  <w:style w:type="character" w:customStyle="1" w:styleId="10">
    <w:name w:val="NormalCharacter"/>
    <w:qFormat/>
    <w:uiPriority w:val="0"/>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2026-07-03T07:28:00Z</dcterms:created>
  <dc:creator>木心</dc:creator>
  <cp:lastModifiedBy>木心</cp:lastModifiedBy>
  <dcterms:modified xsi:type="dcterms:W3CDTF">2026-07-03T07:28:56Z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C5DB6853ECF54A9EA0A5F6CED1B019D0_11</vt:lpwstr>
  </property>
  <property fmtid="{D5CDD505-2E9C-101B-9397-08002B2CF9AE}" pid="4" name="KSOTemplateDocerSaveRecord">
    <vt:lpwstr>eyJoZGlkIjoiZWVmNDNkYzJjNDY1OGVhZjEwNDJmYjA2ZDNlZGEyM2IiLCJ1c2VySWQiOiIyMzkwODUxNjQifQ==</vt:lpwstr>
  </property>
</Properties>
</file>