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14A786">
      <w:pPr>
        <w:spacing w:before="147"/>
        <w:jc w:val="center"/>
        <w:rPr>
          <w:rFonts w:hint="default" w:ascii="宋体" w:hAnsi="宋体" w:eastAsia="宋体" w:cs="宋体"/>
          <w:b/>
          <w:bCs/>
          <w:color w:val="auto"/>
          <w:sz w:val="40"/>
          <w:szCs w:val="40"/>
          <w:highlight w:val="none"/>
          <w:lang w:val="en-US" w:eastAsia="zh-CN"/>
        </w:rPr>
      </w:pPr>
      <w:r>
        <w:rPr>
          <w:rFonts w:hint="eastAsia" w:ascii="宋体" w:hAnsi="宋体" w:eastAsia="宋体" w:cs="宋体"/>
          <w:b/>
          <w:bCs/>
          <w:color w:val="auto"/>
          <w:sz w:val="40"/>
          <w:szCs w:val="40"/>
          <w:highlight w:val="none"/>
          <w:lang w:val="en-US" w:eastAsia="zh-CN"/>
        </w:rPr>
        <w:t>采  购 需 求</w:t>
      </w:r>
    </w:p>
    <w:p w14:paraId="2904F5C5">
      <w:pPr>
        <w:spacing w:before="147"/>
        <w:rPr>
          <w:rFonts w:hint="eastAsia" w:ascii="宋体" w:hAnsi="宋体" w:eastAsia="宋体" w:cs="宋体"/>
          <w:b/>
          <w:bCs/>
          <w:color w:val="auto"/>
          <w:sz w:val="27"/>
          <w:szCs w:val="27"/>
          <w:highlight w:val="none"/>
        </w:rPr>
      </w:pPr>
      <w:r>
        <w:rPr>
          <w:rFonts w:hint="eastAsia" w:ascii="宋体" w:hAnsi="宋体" w:eastAsia="宋体" w:cs="宋体"/>
          <w:color w:val="auto"/>
          <w:sz w:val="27"/>
          <w:szCs w:val="27"/>
          <w:highlight w:val="none"/>
        </w:rPr>
        <w:t>项目概况</w:t>
      </w:r>
    </w:p>
    <w:p w14:paraId="3CB2AE09">
      <w:pPr>
        <w:keepNext w:val="0"/>
        <w:keepLines w:val="0"/>
        <w:pageBreakBefore w:val="0"/>
        <w:widowControl w:val="0"/>
        <w:kinsoku/>
        <w:wordWrap/>
        <w:overflowPunct/>
        <w:topLinePunct w:val="0"/>
        <w:autoSpaceDE w:val="0"/>
        <w:autoSpaceDN w:val="0"/>
        <w:bidi w:val="0"/>
        <w:adjustRightInd/>
        <w:snapToGrid/>
        <w:spacing w:before="149" w:line="500" w:lineRule="exact"/>
        <w:ind w:firstLine="270" w:firstLineChars="100"/>
        <w:jc w:val="both"/>
        <w:textAlignment w:val="auto"/>
        <w:rPr>
          <w:rFonts w:hint="eastAsia" w:ascii="宋体" w:hAnsi="宋体" w:eastAsia="宋体" w:cs="宋体"/>
          <w:kern w:val="0"/>
          <w:sz w:val="27"/>
          <w:szCs w:val="27"/>
          <w:lang w:eastAsia="zh-CN"/>
        </w:rPr>
      </w:pPr>
      <w:r>
        <w:rPr>
          <w:rFonts w:hint="eastAsia" w:ascii="宋体" w:hAnsi="宋体" w:eastAsia="宋体" w:cs="宋体"/>
          <w:kern w:val="0"/>
          <w:sz w:val="27"/>
          <w:szCs w:val="27"/>
          <w:lang w:val="en-US" w:eastAsia="zh-CN"/>
        </w:rPr>
        <w:t>公务执法车辆购置：</w:t>
      </w:r>
      <w:r>
        <w:rPr>
          <w:rFonts w:hint="eastAsia" w:ascii="宋体" w:hAnsi="宋体" w:eastAsia="宋体" w:cs="宋体"/>
          <w:i w:val="0"/>
          <w:kern w:val="0"/>
          <w:sz w:val="27"/>
          <w:szCs w:val="27"/>
          <w:highlight w:val="none"/>
          <w:u w:val="none"/>
          <w:lang w:val="en-US" w:eastAsia="zh-CN" w:bidi="ar-SA"/>
        </w:rPr>
        <w:t>现有执法车辆老旧，经政府批准购置3辆新能源车</w:t>
      </w:r>
    </w:p>
    <w:p w14:paraId="07DDDD91">
      <w:pPr>
        <w:keepNext w:val="0"/>
        <w:keepLines w:val="0"/>
        <w:pageBreakBefore w:val="0"/>
        <w:widowControl w:val="0"/>
        <w:numPr>
          <w:ilvl w:val="0"/>
          <w:numId w:val="0"/>
        </w:numPr>
        <w:kinsoku/>
        <w:wordWrap/>
        <w:overflowPunct/>
        <w:topLinePunct w:val="0"/>
        <w:autoSpaceDE w:val="0"/>
        <w:autoSpaceDN w:val="0"/>
        <w:bidi w:val="0"/>
        <w:adjustRightInd/>
        <w:snapToGrid/>
        <w:spacing w:before="149" w:line="500" w:lineRule="exact"/>
        <w:jc w:val="both"/>
        <w:textAlignment w:val="auto"/>
        <w:rPr>
          <w:rFonts w:hint="eastAsia" w:ascii="宋体" w:hAnsi="宋体" w:eastAsia="宋体" w:cs="宋体"/>
          <w:color w:val="auto"/>
          <w:sz w:val="27"/>
          <w:szCs w:val="27"/>
          <w:highlight w:val="none"/>
          <w:u w:val="none"/>
        </w:rPr>
      </w:pPr>
      <w:r>
        <w:rPr>
          <w:rFonts w:hint="eastAsia" w:ascii="宋体" w:hAnsi="宋体" w:eastAsia="宋体" w:cs="宋体"/>
          <w:color w:val="auto"/>
          <w:sz w:val="27"/>
          <w:szCs w:val="27"/>
          <w:highlight w:val="none"/>
        </w:rPr>
        <w:t>采购项目预（概）</w:t>
      </w:r>
      <w:r>
        <w:rPr>
          <w:rFonts w:hint="eastAsia" w:ascii="宋体" w:hAnsi="宋体" w:eastAsia="宋体" w:cs="宋体"/>
          <w:color w:val="auto"/>
          <w:sz w:val="27"/>
          <w:szCs w:val="27"/>
          <w:highlight w:val="none"/>
          <w:u w:val="none"/>
        </w:rPr>
        <w:t>算</w:t>
      </w:r>
      <w:bookmarkStart w:id="2" w:name="_GoBack"/>
      <w:bookmarkEnd w:id="2"/>
    </w:p>
    <w:p w14:paraId="0BF783D0">
      <w:pPr>
        <w:keepNext w:val="0"/>
        <w:keepLines w:val="0"/>
        <w:pageBreakBefore w:val="0"/>
        <w:widowControl w:val="0"/>
        <w:kinsoku/>
        <w:wordWrap/>
        <w:overflowPunct/>
        <w:topLinePunct w:val="0"/>
        <w:autoSpaceDE w:val="0"/>
        <w:autoSpaceDN w:val="0"/>
        <w:bidi w:val="0"/>
        <w:adjustRightInd/>
        <w:snapToGrid/>
        <w:spacing w:before="149" w:line="500" w:lineRule="exact"/>
        <w:ind w:firstLine="270" w:firstLineChars="100"/>
        <w:jc w:val="both"/>
        <w:textAlignment w:val="auto"/>
        <w:rPr>
          <w:rFonts w:hint="eastAsia" w:ascii="宋体" w:hAnsi="宋体" w:eastAsia="宋体" w:cs="宋体"/>
          <w:color w:val="auto"/>
          <w:kern w:val="0"/>
          <w:sz w:val="27"/>
          <w:szCs w:val="27"/>
          <w:highlight w:val="none"/>
          <w:lang w:val="en-US" w:eastAsia="zh-CN"/>
        </w:rPr>
      </w:pPr>
      <w:r>
        <w:rPr>
          <w:rFonts w:hint="eastAsia" w:ascii="宋体" w:hAnsi="宋体" w:eastAsia="宋体" w:cs="宋体"/>
          <w:color w:val="auto"/>
          <w:kern w:val="0"/>
          <w:sz w:val="27"/>
          <w:szCs w:val="27"/>
          <w:highlight w:val="none"/>
          <w:lang w:val="en-US" w:eastAsia="zh-CN"/>
        </w:rPr>
        <w:t xml:space="preserve">预算金额：300000.00元 </w:t>
      </w:r>
    </w:p>
    <w:p w14:paraId="3F9DD680">
      <w:pPr>
        <w:keepNext w:val="0"/>
        <w:keepLines w:val="0"/>
        <w:pageBreakBefore w:val="0"/>
        <w:widowControl w:val="0"/>
        <w:kinsoku/>
        <w:wordWrap/>
        <w:overflowPunct/>
        <w:topLinePunct w:val="0"/>
        <w:autoSpaceDE w:val="0"/>
        <w:autoSpaceDN w:val="0"/>
        <w:bidi w:val="0"/>
        <w:adjustRightInd/>
        <w:snapToGrid/>
        <w:spacing w:before="149" w:line="500" w:lineRule="exact"/>
        <w:ind w:firstLine="270" w:firstLineChars="100"/>
        <w:jc w:val="both"/>
        <w:textAlignment w:val="auto"/>
        <w:rPr>
          <w:rFonts w:hint="eastAsia" w:ascii="宋体" w:hAnsi="宋体" w:eastAsia="宋体" w:cs="宋体"/>
          <w:kern w:val="0"/>
          <w:sz w:val="27"/>
          <w:szCs w:val="27"/>
          <w:highlight w:val="yellow"/>
          <w:lang w:val="en-US" w:eastAsia="zh-CN"/>
        </w:rPr>
      </w:pPr>
      <w:r>
        <w:rPr>
          <w:rFonts w:hint="eastAsia" w:ascii="宋体" w:hAnsi="宋体" w:eastAsia="宋体" w:cs="宋体"/>
          <w:color w:val="auto"/>
          <w:kern w:val="0"/>
          <w:sz w:val="27"/>
          <w:szCs w:val="27"/>
          <w:highlight w:val="none"/>
          <w:lang w:val="en-US" w:eastAsia="zh-CN"/>
        </w:rPr>
        <w:t>最高限价：300000.00元</w:t>
      </w:r>
      <w:r>
        <w:rPr>
          <w:rFonts w:hint="eastAsia" w:ascii="宋体" w:hAnsi="宋体" w:eastAsia="宋体" w:cs="宋体"/>
          <w:color w:val="FF0000"/>
          <w:kern w:val="0"/>
          <w:sz w:val="27"/>
          <w:szCs w:val="27"/>
          <w:highlight w:val="none"/>
          <w:lang w:val="en-US" w:eastAsia="zh-CN"/>
        </w:rPr>
        <w:t xml:space="preserve"> </w:t>
      </w:r>
    </w:p>
    <w:p w14:paraId="1810C171">
      <w:pPr>
        <w:keepNext w:val="0"/>
        <w:keepLines w:val="0"/>
        <w:pageBreakBefore w:val="0"/>
        <w:widowControl w:val="0"/>
        <w:numPr>
          <w:ilvl w:val="0"/>
          <w:numId w:val="0"/>
        </w:numPr>
        <w:kinsoku/>
        <w:wordWrap/>
        <w:overflowPunct/>
        <w:topLinePunct w:val="0"/>
        <w:autoSpaceDE w:val="0"/>
        <w:autoSpaceDN w:val="0"/>
        <w:bidi w:val="0"/>
        <w:adjustRightInd/>
        <w:snapToGrid/>
        <w:spacing w:before="149" w:line="500" w:lineRule="exact"/>
        <w:textAlignment w:val="auto"/>
        <w:rPr>
          <w:rFonts w:hint="eastAsia" w:ascii="宋体" w:hAnsi="宋体" w:eastAsia="宋体" w:cs="宋体"/>
          <w:color w:val="auto"/>
          <w:sz w:val="27"/>
          <w:szCs w:val="27"/>
          <w:highlight w:val="none"/>
          <w:lang w:eastAsia="zh-CN"/>
        </w:rPr>
      </w:pPr>
      <w:r>
        <w:rPr>
          <w:rFonts w:hint="eastAsia" w:ascii="宋体" w:hAnsi="宋体" w:eastAsia="宋体" w:cs="宋体"/>
          <w:color w:val="auto"/>
          <w:sz w:val="27"/>
          <w:szCs w:val="27"/>
          <w:highlight w:val="none"/>
          <w:lang w:eastAsia="zh-CN"/>
        </w:rPr>
        <w:t>采购标的汇总表</w:t>
      </w:r>
    </w:p>
    <w:p w14:paraId="64C943BC">
      <w:pPr>
        <w:pStyle w:val="2"/>
        <w:numPr>
          <w:ilvl w:val="0"/>
          <w:numId w:val="0"/>
        </w:numPr>
        <w:ind w:leftChars="200"/>
        <w:rPr>
          <w:rFonts w:hint="eastAsia" w:ascii="宋体" w:hAnsi="宋体" w:eastAsia="宋体" w:cs="宋体"/>
          <w:sz w:val="27"/>
          <w:szCs w:val="27"/>
          <w:lang w:eastAsia="zh-CN"/>
        </w:rPr>
      </w:pPr>
    </w:p>
    <w:tbl>
      <w:tblPr>
        <w:tblStyle w:val="4"/>
        <w:tblW w:w="802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51"/>
        <w:gridCol w:w="1446"/>
        <w:gridCol w:w="554"/>
        <w:gridCol w:w="871"/>
        <w:gridCol w:w="1415"/>
        <w:gridCol w:w="1009"/>
        <w:gridCol w:w="1179"/>
      </w:tblGrid>
      <w:tr w14:paraId="5FC962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2" w:hRule="atLeast"/>
          <w:jc w:val="center"/>
        </w:trPr>
        <w:tc>
          <w:tcPr>
            <w:tcW w:w="1551" w:type="dxa"/>
            <w:vAlign w:val="center"/>
          </w:tcPr>
          <w:p w14:paraId="7BB8DD4B">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标的名称</w:t>
            </w:r>
          </w:p>
        </w:tc>
        <w:tc>
          <w:tcPr>
            <w:tcW w:w="1446" w:type="dxa"/>
            <w:vAlign w:val="center"/>
          </w:tcPr>
          <w:p w14:paraId="019F8496">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品目分类</w:t>
            </w:r>
          </w:p>
          <w:p w14:paraId="641B57B9">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编码</w:t>
            </w:r>
          </w:p>
        </w:tc>
        <w:tc>
          <w:tcPr>
            <w:tcW w:w="554" w:type="dxa"/>
            <w:vAlign w:val="center"/>
          </w:tcPr>
          <w:p w14:paraId="4CC79BA8">
            <w:pPr>
              <w:keepNext w:val="0"/>
              <w:keepLines w:val="0"/>
              <w:pageBreakBefore w:val="0"/>
              <w:widowControl w:val="0"/>
              <w:kinsoku/>
              <w:wordWrap/>
              <w:overflowPunct/>
              <w:topLinePunct w:val="0"/>
              <w:autoSpaceDE w:val="0"/>
              <w:autoSpaceDN w:val="0"/>
              <w:bidi w:val="0"/>
              <w:adjustRightInd/>
              <w:snapToGrid/>
              <w:spacing w:before="149" w:line="500" w:lineRule="exact"/>
              <w:jc w:val="both"/>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单位</w:t>
            </w:r>
          </w:p>
        </w:tc>
        <w:tc>
          <w:tcPr>
            <w:tcW w:w="871" w:type="dxa"/>
            <w:vAlign w:val="center"/>
          </w:tcPr>
          <w:p w14:paraId="1160C605">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数量</w:t>
            </w:r>
          </w:p>
        </w:tc>
        <w:tc>
          <w:tcPr>
            <w:tcW w:w="1415" w:type="dxa"/>
            <w:vAlign w:val="center"/>
          </w:tcPr>
          <w:p w14:paraId="363A79ED">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预算金额（元）</w:t>
            </w:r>
          </w:p>
        </w:tc>
        <w:tc>
          <w:tcPr>
            <w:tcW w:w="1009" w:type="dxa"/>
            <w:vAlign w:val="center"/>
          </w:tcPr>
          <w:p w14:paraId="1F203ADB">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是否进口</w:t>
            </w:r>
          </w:p>
        </w:tc>
        <w:tc>
          <w:tcPr>
            <w:tcW w:w="1179" w:type="dxa"/>
            <w:vAlign w:val="center"/>
          </w:tcPr>
          <w:p w14:paraId="7B2B2F69">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分包</w:t>
            </w:r>
          </w:p>
          <w:p w14:paraId="16E9B017">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要求</w:t>
            </w:r>
          </w:p>
        </w:tc>
      </w:tr>
      <w:tr w14:paraId="001E6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5" w:hRule="atLeast"/>
          <w:jc w:val="center"/>
        </w:trPr>
        <w:tc>
          <w:tcPr>
            <w:tcW w:w="1551" w:type="dxa"/>
            <w:vAlign w:val="center"/>
          </w:tcPr>
          <w:p w14:paraId="2E5944DF">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公务执法车辆购置</w:t>
            </w:r>
          </w:p>
        </w:tc>
        <w:tc>
          <w:tcPr>
            <w:tcW w:w="1446" w:type="dxa"/>
            <w:vAlign w:val="center"/>
          </w:tcPr>
          <w:p w14:paraId="157C80B7">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A02030501</w:t>
            </w:r>
          </w:p>
        </w:tc>
        <w:tc>
          <w:tcPr>
            <w:tcW w:w="554" w:type="dxa"/>
            <w:vAlign w:val="center"/>
          </w:tcPr>
          <w:p w14:paraId="6BE3F3A3">
            <w:pPr>
              <w:keepNext w:val="0"/>
              <w:keepLines w:val="0"/>
              <w:pageBreakBefore w:val="0"/>
              <w:widowControl w:val="0"/>
              <w:kinsoku/>
              <w:wordWrap/>
              <w:overflowPunct/>
              <w:topLinePunct w:val="0"/>
              <w:autoSpaceDE w:val="0"/>
              <w:autoSpaceDN w:val="0"/>
              <w:bidi w:val="0"/>
              <w:adjustRightInd/>
              <w:snapToGrid/>
              <w:spacing w:before="149" w:line="500" w:lineRule="exact"/>
              <w:jc w:val="center"/>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辆</w:t>
            </w:r>
          </w:p>
        </w:tc>
        <w:tc>
          <w:tcPr>
            <w:tcW w:w="871" w:type="dxa"/>
            <w:vAlign w:val="center"/>
          </w:tcPr>
          <w:p w14:paraId="07A19419">
            <w:pPr>
              <w:keepNext w:val="0"/>
              <w:keepLines w:val="0"/>
              <w:pageBreakBefore w:val="0"/>
              <w:widowControl w:val="0"/>
              <w:kinsoku/>
              <w:wordWrap/>
              <w:overflowPunct/>
              <w:topLinePunct w:val="0"/>
              <w:autoSpaceDE w:val="0"/>
              <w:autoSpaceDN w:val="0"/>
              <w:bidi w:val="0"/>
              <w:adjustRightInd/>
              <w:snapToGrid/>
              <w:spacing w:before="149" w:line="500" w:lineRule="exact"/>
              <w:ind w:firstLine="270" w:firstLineChars="100"/>
              <w:jc w:val="both"/>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3</w:t>
            </w:r>
          </w:p>
        </w:tc>
        <w:tc>
          <w:tcPr>
            <w:tcW w:w="1415" w:type="dxa"/>
            <w:vAlign w:val="center"/>
          </w:tcPr>
          <w:p w14:paraId="7FA486BF">
            <w:pPr>
              <w:keepNext w:val="0"/>
              <w:keepLines w:val="0"/>
              <w:pageBreakBefore w:val="0"/>
              <w:widowControl w:val="0"/>
              <w:kinsoku/>
              <w:wordWrap/>
              <w:overflowPunct/>
              <w:topLinePunct w:val="0"/>
              <w:autoSpaceDE w:val="0"/>
              <w:autoSpaceDN w:val="0"/>
              <w:bidi w:val="0"/>
              <w:adjustRightInd/>
              <w:snapToGrid/>
              <w:spacing w:before="149" w:line="500" w:lineRule="exact"/>
              <w:jc w:val="both"/>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300000.00</w:t>
            </w:r>
          </w:p>
        </w:tc>
        <w:tc>
          <w:tcPr>
            <w:tcW w:w="1009" w:type="dxa"/>
            <w:vAlign w:val="center"/>
          </w:tcPr>
          <w:p w14:paraId="5F1C9527">
            <w:pPr>
              <w:keepNext w:val="0"/>
              <w:keepLines w:val="0"/>
              <w:pageBreakBefore w:val="0"/>
              <w:widowControl w:val="0"/>
              <w:kinsoku/>
              <w:wordWrap/>
              <w:overflowPunct/>
              <w:topLinePunct w:val="0"/>
              <w:autoSpaceDE w:val="0"/>
              <w:autoSpaceDN w:val="0"/>
              <w:bidi w:val="0"/>
              <w:adjustRightInd/>
              <w:snapToGrid/>
              <w:spacing w:before="149" w:line="500" w:lineRule="exact"/>
              <w:ind w:firstLine="270" w:firstLineChars="100"/>
              <w:jc w:val="both"/>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否</w:t>
            </w:r>
          </w:p>
        </w:tc>
        <w:tc>
          <w:tcPr>
            <w:tcW w:w="1179" w:type="dxa"/>
            <w:vAlign w:val="center"/>
          </w:tcPr>
          <w:p w14:paraId="3E12081C">
            <w:pPr>
              <w:keepNext w:val="0"/>
              <w:keepLines w:val="0"/>
              <w:pageBreakBefore w:val="0"/>
              <w:widowControl w:val="0"/>
              <w:kinsoku/>
              <w:wordWrap/>
              <w:overflowPunct/>
              <w:topLinePunct w:val="0"/>
              <w:autoSpaceDE w:val="0"/>
              <w:autoSpaceDN w:val="0"/>
              <w:bidi w:val="0"/>
              <w:adjustRightInd/>
              <w:snapToGrid/>
              <w:spacing w:before="149" w:line="500" w:lineRule="exact"/>
              <w:jc w:val="both"/>
              <w:textAlignment w:val="auto"/>
              <w:rPr>
                <w:rFonts w:hint="eastAsia" w:ascii="宋体" w:hAnsi="宋体" w:eastAsia="宋体" w:cs="宋体"/>
                <w:kern w:val="0"/>
                <w:sz w:val="27"/>
                <w:szCs w:val="27"/>
                <w:highlight w:val="none"/>
                <w:lang w:val="en-US" w:eastAsia="zh-CN"/>
              </w:rPr>
            </w:pPr>
            <w:r>
              <w:rPr>
                <w:rFonts w:hint="eastAsia" w:ascii="宋体" w:hAnsi="宋体" w:eastAsia="宋体" w:cs="宋体"/>
                <w:kern w:val="0"/>
                <w:sz w:val="27"/>
                <w:szCs w:val="27"/>
                <w:highlight w:val="none"/>
                <w:lang w:val="en-US" w:eastAsia="zh-CN"/>
              </w:rPr>
              <w:t>不允许分包</w:t>
            </w:r>
          </w:p>
        </w:tc>
      </w:tr>
    </w:tbl>
    <w:p w14:paraId="52E93809">
      <w:pPr>
        <w:pageBreakBefore w:val="0"/>
        <w:widowControl w:val="0"/>
        <w:wordWrap/>
        <w:overflowPunct/>
        <w:topLinePunct w:val="0"/>
        <w:bidi w:val="0"/>
        <w:spacing w:line="258" w:lineRule="auto"/>
        <w:rPr>
          <w:color w:val="auto"/>
          <w:highlight w:val="none"/>
        </w:rPr>
      </w:pPr>
    </w:p>
    <w:p w14:paraId="18C8A55F">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p>
    <w:p w14:paraId="3D4D1F4C">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t>技术需求：</w:t>
      </w:r>
    </w:p>
    <w:p w14:paraId="4FF6B9C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1"/>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t>3辆插电式混合动力执法执勤轿车</w:t>
      </w:r>
    </w:p>
    <w:p w14:paraId="3A51A849">
      <w:pPr>
        <w:pageBreakBefore w:val="0"/>
        <w:widowControl w:val="0"/>
        <w:wordWrap/>
        <w:overflowPunct/>
        <w:topLinePunct w:val="0"/>
        <w:bidi w:val="0"/>
        <w:spacing w:line="242" w:lineRule="auto"/>
        <w:rPr>
          <w:color w:val="auto"/>
          <w:highlight w:val="none"/>
        </w:rPr>
      </w:pPr>
    </w:p>
    <w:p w14:paraId="3B262DC5">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 xml:space="preserve">（一）、基本参数 </w:t>
      </w:r>
    </w:p>
    <w:p w14:paraId="1D7C9E28">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420" w:leftChars="20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能源类型：</w:t>
      </w:r>
      <w:r>
        <w:rPr>
          <w:rFonts w:ascii="宋体" w:hAnsi="宋体" w:eastAsia="宋体" w:cs="宋体"/>
          <w:b w:val="0"/>
          <w:bCs w:val="0"/>
          <w:snapToGrid w:val="0"/>
          <w:color w:val="auto"/>
          <w:spacing w:val="0"/>
          <w:position w:val="0"/>
          <w:sz w:val="24"/>
          <w:szCs w:val="24"/>
          <w:highlight w:val="none"/>
          <w:lang w:val="en-US" w:eastAsia="zh-CN" w:bidi="ar-SA"/>
        </w:rPr>
        <w:t>插电式混合动力（油电混动）</w:t>
      </w:r>
    </w:p>
    <w:p w14:paraId="032E5051">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车辆类型：</w:t>
      </w:r>
      <w:r>
        <w:rPr>
          <w:rFonts w:ascii="宋体" w:hAnsi="宋体" w:eastAsia="宋体" w:cs="宋体"/>
          <w:b w:val="0"/>
          <w:bCs w:val="0"/>
          <w:snapToGrid w:val="0"/>
          <w:color w:val="auto"/>
          <w:spacing w:val="0"/>
          <w:position w:val="0"/>
          <w:sz w:val="24"/>
          <w:szCs w:val="24"/>
          <w:highlight w:val="none"/>
          <w:lang w:val="en-US" w:eastAsia="zh-CN" w:bidi="ar-SA"/>
        </w:rPr>
        <w:t>4门5座三厢乘用车，承载式车身，平开门</w:t>
      </w:r>
    </w:p>
    <w:p w14:paraId="271675B5">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排量：</w:t>
      </w:r>
      <w:r>
        <w:rPr>
          <w:rFonts w:ascii="宋体" w:hAnsi="宋体" w:eastAsia="宋体" w:cs="宋体"/>
          <w:b w:val="0"/>
          <w:bCs w:val="0"/>
          <w:snapToGrid w:val="0"/>
          <w:color w:val="auto"/>
          <w:spacing w:val="0"/>
          <w:position w:val="0"/>
          <w:sz w:val="24"/>
          <w:szCs w:val="24"/>
          <w:highlight w:val="none"/>
          <w:lang w:val="en-US" w:eastAsia="zh-CN" w:bidi="ar-SA"/>
        </w:rPr>
        <w:t>1.</w:t>
      </w:r>
      <w:r>
        <w:rPr>
          <w:rFonts w:hint="eastAsia" w:ascii="宋体" w:hAnsi="宋体" w:eastAsia="宋体" w:cs="宋体"/>
          <w:b w:val="0"/>
          <w:bCs w:val="0"/>
          <w:snapToGrid w:val="0"/>
          <w:color w:val="auto"/>
          <w:spacing w:val="0"/>
          <w:position w:val="0"/>
          <w:sz w:val="24"/>
          <w:szCs w:val="24"/>
          <w:highlight w:val="none"/>
          <w:lang w:val="en-US" w:eastAsia="zh-CN" w:bidi="ar-SA"/>
        </w:rPr>
        <w:t>6</w:t>
      </w:r>
      <w:r>
        <w:rPr>
          <w:rFonts w:ascii="宋体" w:hAnsi="宋体" w:eastAsia="宋体" w:cs="宋体"/>
          <w:b w:val="0"/>
          <w:bCs w:val="0"/>
          <w:snapToGrid w:val="0"/>
          <w:color w:val="auto"/>
          <w:spacing w:val="0"/>
          <w:position w:val="0"/>
          <w:sz w:val="24"/>
          <w:szCs w:val="24"/>
          <w:highlight w:val="none"/>
          <w:lang w:val="en-US" w:eastAsia="zh-CN" w:bidi="ar-SA"/>
        </w:rPr>
        <w:t>L（1</w:t>
      </w:r>
      <w:r>
        <w:rPr>
          <w:rFonts w:hint="eastAsia" w:ascii="宋体" w:hAnsi="宋体" w:eastAsia="宋体" w:cs="宋体"/>
          <w:b w:val="0"/>
          <w:bCs w:val="0"/>
          <w:snapToGrid w:val="0"/>
          <w:color w:val="auto"/>
          <w:spacing w:val="0"/>
          <w:position w:val="0"/>
          <w:sz w:val="24"/>
          <w:szCs w:val="24"/>
          <w:highlight w:val="none"/>
          <w:lang w:val="en-US" w:eastAsia="zh-CN" w:bidi="ar-SA"/>
        </w:rPr>
        <w:t>6</w:t>
      </w:r>
      <w:r>
        <w:rPr>
          <w:rFonts w:ascii="宋体" w:hAnsi="宋体" w:eastAsia="宋体" w:cs="宋体"/>
          <w:b w:val="0"/>
          <w:bCs w:val="0"/>
          <w:snapToGrid w:val="0"/>
          <w:color w:val="auto"/>
          <w:spacing w:val="0"/>
          <w:position w:val="0"/>
          <w:sz w:val="24"/>
          <w:szCs w:val="24"/>
          <w:highlight w:val="none"/>
          <w:lang w:val="en-US" w:eastAsia="zh-CN" w:bidi="ar-SA"/>
        </w:rPr>
        <w:t>00mL），直列四缸（L4），自然吸气</w:t>
      </w:r>
    </w:p>
    <w:p w14:paraId="78F3839F">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环保标准：</w:t>
      </w:r>
      <w:r>
        <w:rPr>
          <w:rFonts w:ascii="宋体" w:hAnsi="宋体" w:eastAsia="宋体" w:cs="宋体"/>
          <w:b w:val="0"/>
          <w:bCs w:val="0"/>
          <w:snapToGrid w:val="0"/>
          <w:color w:val="auto"/>
          <w:spacing w:val="0"/>
          <w:position w:val="0"/>
          <w:sz w:val="24"/>
          <w:szCs w:val="24"/>
          <w:highlight w:val="none"/>
          <w:lang w:val="en-US" w:eastAsia="zh-CN" w:bidi="ar-SA"/>
        </w:rPr>
        <w:t>国 VIb</w:t>
      </w:r>
    </w:p>
    <w:p w14:paraId="7E584438">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车身尺寸 (长 × 宽 × 高)：</w:t>
      </w:r>
      <w:r>
        <w:rPr>
          <w:rFonts w:ascii="宋体" w:hAnsi="宋体" w:eastAsia="宋体" w:cs="宋体"/>
          <w:b w:val="0"/>
          <w:bCs w:val="0"/>
          <w:snapToGrid w:val="0"/>
          <w:color w:val="auto"/>
          <w:spacing w:val="0"/>
          <w:position w:val="0"/>
          <w:sz w:val="24"/>
          <w:szCs w:val="24"/>
          <w:highlight w:val="none"/>
          <w:lang w:val="en-US" w:eastAsia="zh-CN" w:bidi="ar-SA"/>
        </w:rPr>
        <w:t>≥4800mm×1800mm×1450mm</w:t>
      </w:r>
    </w:p>
    <w:p w14:paraId="0D4561DD">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最高车速：</w:t>
      </w:r>
      <w:r>
        <w:rPr>
          <w:rFonts w:ascii="宋体" w:hAnsi="宋体" w:eastAsia="宋体" w:cs="宋体"/>
          <w:b w:val="0"/>
          <w:bCs w:val="0"/>
          <w:snapToGrid w:val="0"/>
          <w:color w:val="auto"/>
          <w:spacing w:val="0"/>
          <w:position w:val="0"/>
          <w:sz w:val="24"/>
          <w:szCs w:val="24"/>
          <w:highlight w:val="none"/>
          <w:lang w:val="en-US" w:eastAsia="zh-CN" w:bidi="ar-SA"/>
        </w:rPr>
        <w:t>≥170km/h</w:t>
      </w:r>
    </w:p>
    <w:p w14:paraId="2E2C895F">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整备质量：</w:t>
      </w:r>
      <w:r>
        <w:rPr>
          <w:rFonts w:ascii="宋体" w:hAnsi="宋体" w:eastAsia="宋体" w:cs="宋体"/>
          <w:b w:val="0"/>
          <w:bCs w:val="0"/>
          <w:snapToGrid w:val="0"/>
          <w:color w:val="auto"/>
          <w:spacing w:val="0"/>
          <w:position w:val="0"/>
          <w:sz w:val="24"/>
          <w:szCs w:val="24"/>
          <w:highlight w:val="none"/>
          <w:lang w:val="en-US" w:eastAsia="zh-CN" w:bidi="ar-SA"/>
        </w:rPr>
        <w:t>1300kg-1600kg，满载质量：1800kg-2000kg</w:t>
      </w:r>
    </w:p>
    <w:p w14:paraId="6054DBAD">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油箱容积：</w:t>
      </w:r>
      <w:r>
        <w:rPr>
          <w:rFonts w:ascii="宋体" w:hAnsi="宋体" w:eastAsia="宋体" w:cs="宋体"/>
          <w:b w:val="0"/>
          <w:bCs w:val="0"/>
          <w:snapToGrid w:val="0"/>
          <w:color w:val="auto"/>
          <w:spacing w:val="0"/>
          <w:position w:val="0"/>
          <w:sz w:val="24"/>
          <w:szCs w:val="24"/>
          <w:highlight w:val="none"/>
          <w:lang w:val="en-US" w:eastAsia="zh-CN" w:bidi="ar-SA"/>
        </w:rPr>
        <w:t>50L-55L，燃油标号：92# 及以上汽油</w:t>
      </w:r>
    </w:p>
    <w:p w14:paraId="788453B6">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（二）、发动机参数</w:t>
      </w:r>
    </w:p>
    <w:p w14:paraId="10547EB3">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发动机最大马力：≥110Ps，最大功率：75kW-85kW</w:t>
      </w:r>
    </w:p>
    <w:p w14:paraId="65503E3F">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最大扭矩：135N・m-145N・m，配 VVT 可变气门正时技术</w:t>
      </w:r>
    </w:p>
    <w:p w14:paraId="20E4E586">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供油方式：多点电喷，缸盖 / 缸体均为铝合金材质</w:t>
      </w:r>
    </w:p>
    <w:p w14:paraId="088AF131">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发动机热效率：≥45%</w:t>
      </w:r>
    </w:p>
    <w:p w14:paraId="21E62CE9">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（三）、驱动电机系统</w:t>
      </w:r>
    </w:p>
    <w:p w14:paraId="656F163C">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电机类型：</w:t>
      </w:r>
      <w:r>
        <w:rPr>
          <w:rFonts w:ascii="宋体" w:hAnsi="宋体" w:eastAsia="宋体" w:cs="宋体"/>
          <w:b w:val="0"/>
          <w:bCs w:val="0"/>
          <w:snapToGrid w:val="0"/>
          <w:color w:val="auto"/>
          <w:spacing w:val="0"/>
          <w:position w:val="0"/>
          <w:sz w:val="24"/>
          <w:szCs w:val="24"/>
          <w:highlight w:val="none"/>
          <w:lang w:val="en-US" w:eastAsia="zh-CN" w:bidi="ar-SA"/>
        </w:rPr>
        <w:t>永磁同步前置单电机</w:t>
      </w:r>
    </w:p>
    <w:p w14:paraId="1C06E936">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电机总功率：</w:t>
      </w:r>
      <w:r>
        <w:rPr>
          <w:rFonts w:ascii="宋体" w:hAnsi="宋体" w:eastAsia="宋体" w:cs="宋体"/>
          <w:b w:val="0"/>
          <w:bCs w:val="0"/>
          <w:snapToGrid w:val="0"/>
          <w:color w:val="auto"/>
          <w:spacing w:val="0"/>
          <w:position w:val="0"/>
          <w:sz w:val="24"/>
          <w:szCs w:val="24"/>
          <w:highlight w:val="none"/>
          <w:lang w:val="en-US" w:eastAsia="zh-CN" w:bidi="ar-SA"/>
        </w:rPr>
        <w:t>115kW-130kW，总马力：155Ps-165Ps</w:t>
      </w:r>
    </w:p>
    <w:p w14:paraId="17695557">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电机总扭矩：</w:t>
      </w:r>
      <w:r>
        <w:rPr>
          <w:rFonts w:ascii="宋体" w:hAnsi="宋体" w:eastAsia="宋体" w:cs="宋体"/>
          <w:b w:val="0"/>
          <w:bCs w:val="0"/>
          <w:snapToGrid w:val="0"/>
          <w:color w:val="auto"/>
          <w:spacing w:val="0"/>
          <w:position w:val="0"/>
          <w:sz w:val="24"/>
          <w:szCs w:val="24"/>
          <w:highlight w:val="none"/>
          <w:lang w:val="en-US" w:eastAsia="zh-CN" w:bidi="ar-SA"/>
        </w:rPr>
        <w:t>205N・m-215N・m，驱动方式：前置前驱</w:t>
      </w:r>
    </w:p>
    <w:p w14:paraId="7EDCDAD0">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变速箱：</w:t>
      </w:r>
      <w:r>
        <w:rPr>
          <w:rFonts w:ascii="宋体" w:hAnsi="宋体" w:eastAsia="宋体" w:cs="宋体"/>
          <w:b w:val="0"/>
          <w:bCs w:val="0"/>
          <w:snapToGrid w:val="0"/>
          <w:color w:val="auto"/>
          <w:spacing w:val="0"/>
          <w:position w:val="0"/>
          <w:sz w:val="24"/>
          <w:szCs w:val="24"/>
          <w:highlight w:val="none"/>
          <w:lang w:val="en-US" w:eastAsia="zh-CN" w:bidi="ar-SA"/>
        </w:rPr>
        <w:t>1 挡 DHT 混合动力专用变速箱</w:t>
      </w:r>
    </w:p>
    <w:p w14:paraId="55201D58">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yellow"/>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（四）、电池及充电系统</w:t>
      </w:r>
    </w:p>
    <w:p w14:paraId="2A472CD2">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Autospacing="0" w:line="360" w:lineRule="auto"/>
        <w:ind w:left="420" w:leftChars="20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电池类型：</w:t>
      </w:r>
      <w:r>
        <w:rPr>
          <w:rFonts w:ascii="宋体" w:hAnsi="宋体" w:eastAsia="宋体" w:cs="宋体"/>
          <w:b w:val="0"/>
          <w:bCs w:val="0"/>
          <w:snapToGrid w:val="0"/>
          <w:color w:val="auto"/>
          <w:spacing w:val="0"/>
          <w:position w:val="0"/>
          <w:sz w:val="24"/>
          <w:szCs w:val="24"/>
          <w:highlight w:val="none"/>
          <w:lang w:val="en-US" w:eastAsia="zh-CN" w:bidi="ar-SA"/>
        </w:rPr>
        <w:t>磷酸铁锂电池，配备低温加热 + 液态冷却温控系统</w:t>
      </w:r>
    </w:p>
    <w:p w14:paraId="56C87E63">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CLTC 纯电续航里程：</w:t>
      </w:r>
      <w:r>
        <w:rPr>
          <w:rFonts w:ascii="宋体" w:hAnsi="宋体" w:eastAsia="宋体" w:cs="宋体"/>
          <w:b w:val="0"/>
          <w:bCs w:val="0"/>
          <w:snapToGrid w:val="0"/>
          <w:color w:val="auto"/>
          <w:spacing w:val="0"/>
          <w:position w:val="0"/>
          <w:sz w:val="24"/>
          <w:szCs w:val="24"/>
          <w:highlight w:val="none"/>
          <w:lang w:val="en-US" w:eastAsia="zh-CN" w:bidi="ar-SA"/>
        </w:rPr>
        <w:t>≥125km；工信部纯电续航：≥100km</w:t>
      </w:r>
    </w:p>
    <w:p w14:paraId="06935A88">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综合续航里程：</w:t>
      </w:r>
      <w:r>
        <w:rPr>
          <w:rFonts w:ascii="宋体" w:hAnsi="宋体" w:eastAsia="宋体" w:cs="宋体"/>
          <w:b w:val="0"/>
          <w:bCs w:val="0"/>
          <w:snapToGrid w:val="0"/>
          <w:color w:val="auto"/>
          <w:spacing w:val="0"/>
          <w:position w:val="0"/>
          <w:sz w:val="24"/>
          <w:szCs w:val="24"/>
          <w:highlight w:val="none"/>
          <w:lang w:val="en-US" w:eastAsia="zh-CN" w:bidi="ar-SA"/>
        </w:rPr>
        <w:t>≥1700km</w:t>
      </w:r>
    </w:p>
    <w:p w14:paraId="567D8332">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高压平台：</w:t>
      </w:r>
      <w:r>
        <w:rPr>
          <w:rFonts w:ascii="宋体" w:hAnsi="宋体" w:eastAsia="宋体" w:cs="宋体"/>
          <w:b w:val="0"/>
          <w:bCs w:val="0"/>
          <w:snapToGrid w:val="0"/>
          <w:color w:val="auto"/>
          <w:spacing w:val="0"/>
          <w:position w:val="0"/>
          <w:sz w:val="24"/>
          <w:szCs w:val="24"/>
          <w:highlight w:val="none"/>
          <w:lang w:val="en-US" w:eastAsia="zh-CN" w:bidi="ar-SA"/>
        </w:rPr>
        <w:t>380V-450V，电池容量：15kWh-25kWh</w:t>
      </w:r>
    </w:p>
    <w:p w14:paraId="5B549296">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hint="eastAsia" w:ascii="宋体" w:hAnsi="宋体" w:eastAsia="宋体" w:cs="宋体"/>
          <w:i w:val="0"/>
          <w:iCs w:val="0"/>
          <w:caps w:val="0"/>
          <w:snapToGrid w:val="0"/>
          <w:color w:val="383838"/>
          <w:spacing w:val="0"/>
          <w:sz w:val="24"/>
          <w:szCs w:val="24"/>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30%-80% 快充时长：≤0.35 小时；慢充时长：5-6小时；最大快充功率：30kW-40kW。</w:t>
      </w:r>
    </w:p>
    <w:p w14:paraId="7BDC4E24">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（五）、能耗参数</w:t>
      </w:r>
    </w:p>
    <w:p w14:paraId="5FEA47F6">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WLTC 综合油耗：1.0-2.0L/100km</w:t>
      </w:r>
    </w:p>
    <w:p w14:paraId="713686F3">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CLTC 最低荷电油耗：2.5-3.5L/100km，WLTC 最低荷电油耗：3.5-4.5L/100km</w:t>
      </w:r>
    </w:p>
    <w:p w14:paraId="5EB50022">
      <w:pPr>
        <w:keepNext w:val="0"/>
        <w:keepLines w:val="0"/>
        <w:pageBreakBefore w:val="0"/>
        <w:widowControl w:val="0"/>
        <w:numPr>
          <w:ilvl w:val="0"/>
          <w:numId w:val="6"/>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百公里耗电量：11.5-13kWh/100km</w:t>
      </w:r>
    </w:p>
    <w:p w14:paraId="0893C4CF">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（六）、底盘、悬挂与制动</w:t>
      </w:r>
    </w:p>
    <w:p w14:paraId="09387AD3">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前悬挂：麦弗逊式独立悬挂；后悬挂：纵臂扭转梁式非独立悬挂</w:t>
      </w:r>
    </w:p>
    <w:p w14:paraId="301E7E79">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转向系统：电动助力转向</w:t>
      </w:r>
    </w:p>
    <w:p w14:paraId="594EDEFB">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前制动器：通风盘式；后制动器：实心盘式</w:t>
      </w:r>
    </w:p>
    <w:p w14:paraId="0C00EDFB">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驻车制动：电子驻车，标配自动驻车、上坡辅助、制动能量回收</w:t>
      </w:r>
    </w:p>
    <w:p w14:paraId="7990A6FC">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default" w:ascii="宋体" w:hAnsi="宋体" w:eastAsia="宋体" w:cs="宋体"/>
          <w:b w:val="0"/>
          <w:bCs w:val="0"/>
          <w:snapToGrid w:val="0"/>
          <w:color w:val="auto"/>
          <w:spacing w:val="0"/>
          <w:position w:val="0"/>
          <w:sz w:val="24"/>
          <w:szCs w:val="24"/>
          <w:highlight w:val="yellow"/>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（七）、主被动安全配置</w:t>
      </w:r>
    </w:p>
    <w:p w14:paraId="2B4AA295">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标配 ABS 防抱死、EBD 制动力分配、EBA 刹车辅助、TCS 牵引力控制、ESP 车身稳定系统</w:t>
      </w:r>
    </w:p>
    <w:p w14:paraId="61FB9D49">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安全气囊：主副驾安全气囊、前排侧气囊、前后排侧气帘</w:t>
      </w:r>
    </w:p>
    <w:p w14:paraId="725042D9">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胎压监测：胎压报警系统，前排安全带未系提示</w:t>
      </w:r>
    </w:p>
    <w:p w14:paraId="6889A82A">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标配 ISOFIX 儿童座椅接口、低速行车警示音</w:t>
      </w:r>
    </w:p>
    <w:p w14:paraId="2E332B19">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（八）、智能、舒适与便利配置</w:t>
      </w:r>
    </w:p>
    <w:p w14:paraId="792F3B98">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仪表：</w:t>
      </w:r>
      <w:r>
        <w:rPr>
          <w:rFonts w:ascii="宋体" w:hAnsi="宋体" w:eastAsia="宋体" w:cs="宋体"/>
          <w:b w:val="0"/>
          <w:bCs w:val="0"/>
          <w:snapToGrid w:val="0"/>
          <w:color w:val="auto"/>
          <w:spacing w:val="0"/>
          <w:position w:val="0"/>
          <w:sz w:val="24"/>
          <w:szCs w:val="24"/>
          <w:highlight w:val="none"/>
          <w:lang w:val="en-US" w:eastAsia="zh-CN" w:bidi="ar-SA"/>
        </w:rPr>
        <w:t>10.25 英寸液晶组合仪表；中控屏：10.1 英寸触控屏</w:t>
      </w:r>
    </w:p>
    <w:p w14:paraId="4F1DBB9E">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灯光：</w:t>
      </w:r>
      <w:r>
        <w:rPr>
          <w:rFonts w:ascii="宋体" w:hAnsi="宋体" w:eastAsia="宋体" w:cs="宋体"/>
          <w:b w:val="0"/>
          <w:bCs w:val="0"/>
          <w:snapToGrid w:val="0"/>
          <w:color w:val="auto"/>
          <w:spacing w:val="0"/>
          <w:position w:val="0"/>
          <w:sz w:val="24"/>
          <w:szCs w:val="24"/>
          <w:highlight w:val="none"/>
          <w:lang w:val="en-US" w:eastAsia="zh-CN" w:bidi="ar-SA"/>
        </w:rPr>
        <w:t>全系 LED 远近光灯、日间行车灯、自动大灯、大灯高度调节、延时关闭</w:t>
      </w:r>
    </w:p>
    <w:p w14:paraId="671BE64D">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车窗：</w:t>
      </w:r>
      <w:r>
        <w:rPr>
          <w:rFonts w:ascii="宋体" w:hAnsi="宋体" w:eastAsia="宋体" w:cs="宋体"/>
          <w:b w:val="0"/>
          <w:bCs w:val="0"/>
          <w:snapToGrid w:val="0"/>
          <w:color w:val="auto"/>
          <w:spacing w:val="0"/>
          <w:position w:val="0"/>
          <w:sz w:val="24"/>
          <w:szCs w:val="24"/>
          <w:highlight w:val="none"/>
          <w:lang w:val="en-US" w:eastAsia="zh-CN" w:bidi="ar-SA"/>
        </w:rPr>
        <w:t>全车电动车窗、一键升降、防夹手功能；外后视镜电动调节 + 加热</w:t>
      </w:r>
    </w:p>
    <w:p w14:paraId="62FC8996">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钥匙系统：</w:t>
      </w:r>
      <w:r>
        <w:rPr>
          <w:rFonts w:ascii="宋体" w:hAnsi="宋体" w:eastAsia="宋体" w:cs="宋体"/>
          <w:b w:val="0"/>
          <w:bCs w:val="0"/>
          <w:snapToGrid w:val="0"/>
          <w:color w:val="auto"/>
          <w:spacing w:val="0"/>
          <w:position w:val="0"/>
          <w:sz w:val="24"/>
          <w:szCs w:val="24"/>
          <w:highlight w:val="none"/>
          <w:lang w:val="en-US" w:eastAsia="zh-CN" w:bidi="ar-SA"/>
        </w:rPr>
        <w:t>智能遥控钥匙、手机蓝牙钥匙，主驾无钥匙进入 + 无钥匙启动、远程启动</w:t>
      </w:r>
    </w:p>
    <w:p w14:paraId="0036B132">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车机：</w:t>
      </w:r>
      <w:r>
        <w:rPr>
          <w:rFonts w:ascii="宋体" w:hAnsi="宋体" w:eastAsia="宋体" w:cs="宋体"/>
          <w:b w:val="0"/>
          <w:bCs w:val="0"/>
          <w:snapToGrid w:val="0"/>
          <w:color w:val="auto"/>
          <w:spacing w:val="0"/>
          <w:position w:val="0"/>
          <w:sz w:val="24"/>
          <w:szCs w:val="24"/>
          <w:highlight w:val="none"/>
          <w:lang w:val="en-US" w:eastAsia="zh-CN" w:bidi="ar-SA"/>
        </w:rPr>
        <w:t>卫星导航（支持路况显示）、蓝牙、手机互联、车联网、4G 网络、OTA 升级、语音识别控制系统</w:t>
      </w:r>
    </w:p>
    <w:p w14:paraId="7714309B">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座椅：</w:t>
      </w:r>
      <w:r>
        <w:rPr>
          <w:rFonts w:ascii="宋体" w:hAnsi="宋体" w:eastAsia="宋体" w:cs="宋体"/>
          <w:b w:val="0"/>
          <w:bCs w:val="0"/>
          <w:snapToGrid w:val="0"/>
          <w:color w:val="auto"/>
          <w:spacing w:val="0"/>
          <w:position w:val="0"/>
          <w:sz w:val="24"/>
          <w:szCs w:val="24"/>
          <w:highlight w:val="none"/>
          <w:lang w:val="en-US" w:eastAsia="zh-CN" w:bidi="ar-SA"/>
        </w:rPr>
        <w:t>仿皮座椅，主/副驾座椅手动调节，后排座椅可整排放倒，前排中央扶手</w:t>
      </w:r>
    </w:p>
    <w:p w14:paraId="52B8AA17">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Autospacing="0" w:line="360" w:lineRule="auto"/>
        <w:ind w:left="720" w:leftChars="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i w:val="0"/>
          <w:iCs w:val="0"/>
          <w:caps w:val="0"/>
          <w:snapToGrid w:val="0"/>
          <w:color w:val="383838"/>
          <w:spacing w:val="0"/>
          <w:sz w:val="24"/>
          <w:szCs w:val="24"/>
          <w:lang w:val="en-US" w:eastAsia="zh-CN" w:bidi="ar-SA"/>
        </w:rPr>
        <w:t>其他：</w:t>
      </w:r>
      <w:r>
        <w:rPr>
          <w:rFonts w:ascii="宋体" w:hAnsi="宋体" w:eastAsia="宋体" w:cs="宋体"/>
          <w:b w:val="0"/>
          <w:bCs w:val="0"/>
          <w:snapToGrid w:val="0"/>
          <w:color w:val="auto"/>
          <w:spacing w:val="0"/>
          <w:position w:val="0"/>
          <w:sz w:val="24"/>
          <w:szCs w:val="24"/>
          <w:highlight w:val="none"/>
          <w:lang w:val="en-US" w:eastAsia="zh-CN" w:bidi="ar-SA"/>
        </w:rPr>
        <w:t>主动闭合式进气格栅、发动机电子防盗、车内中控锁、6 扬声器、USB/Type-C 接口</w:t>
      </w:r>
    </w:p>
    <w:p w14:paraId="716D344F">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（九）、执法专用配置</w:t>
      </w:r>
    </w:p>
    <w:p w14:paraId="6FC1E82D">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beforeAutospacing="0" w:line="360" w:lineRule="auto"/>
        <w:ind w:left="420" w:leftChars="20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车</w:t>
      </w:r>
      <w:r>
        <w:rPr>
          <w:rFonts w:hint="eastAsia" w:ascii="宋体" w:hAnsi="宋体" w:eastAsia="宋体" w:cs="宋体"/>
          <w:b w:val="0"/>
          <w:bCs w:val="0"/>
          <w:snapToGrid w:val="0"/>
          <w:color w:val="auto"/>
          <w:spacing w:val="0"/>
          <w:position w:val="0"/>
          <w:sz w:val="24"/>
          <w:szCs w:val="24"/>
          <w:highlight w:val="none"/>
          <w:lang w:val="en-US" w:eastAsia="zh-CN" w:bidi="ar-SA"/>
        </w:rPr>
        <w:t>预留</w:t>
      </w:r>
      <w:r>
        <w:rPr>
          <w:rFonts w:ascii="宋体" w:hAnsi="宋体" w:eastAsia="宋体" w:cs="宋体"/>
          <w:b w:val="0"/>
          <w:bCs w:val="0"/>
          <w:snapToGrid w:val="0"/>
          <w:color w:val="auto"/>
          <w:spacing w:val="0"/>
          <w:position w:val="0"/>
          <w:sz w:val="24"/>
          <w:szCs w:val="24"/>
          <w:highlight w:val="none"/>
          <w:lang w:val="en-US" w:eastAsia="zh-CN" w:bidi="ar-SA"/>
        </w:rPr>
        <w:t>专用线路预埋，车身预留执法制式标识喷涂区域；</w:t>
      </w:r>
    </w:p>
    <w:p w14:paraId="49A6E4C3">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整车电路优化，支持外接执法设备取电，线路布局规整、绝缘防护达标；</w:t>
      </w:r>
    </w:p>
    <w:p w14:paraId="156C9581">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车辆为非营运公务执法乘用车，完全符合国家机动车注册登记标准，可正常办理执法车辆上牌手续。</w:t>
      </w:r>
    </w:p>
    <w:p w14:paraId="468CEEED">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textAlignment w:val="baseline"/>
        <w:outlineLvl w:val="1"/>
        <w:rPr>
          <w:rFonts w:hint="eastAsia"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 xml:space="preserve">（十）、质保与商务要求 </w:t>
      </w:r>
    </w:p>
    <w:p w14:paraId="1F8F1B0F">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420" w:leftChars="20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整车保修期限：6 年或 15 万公里（以先到为准）</w:t>
      </w:r>
      <w:r>
        <w:rPr>
          <w:rFonts w:hint="eastAsia" w:ascii="宋体" w:hAnsi="宋体" w:eastAsia="宋体" w:cs="宋体"/>
          <w:b w:val="0"/>
          <w:bCs w:val="0"/>
          <w:snapToGrid w:val="0"/>
          <w:color w:val="auto"/>
          <w:spacing w:val="0"/>
          <w:position w:val="0"/>
          <w:sz w:val="24"/>
          <w:szCs w:val="24"/>
          <w:highlight w:val="none"/>
          <w:lang w:val="en-US" w:eastAsia="zh-CN" w:bidi="ar-SA"/>
        </w:rPr>
        <w:t>；</w:t>
      </w:r>
    </w:p>
    <w:p w14:paraId="1FED756D">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bCs/>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整车、</w:t>
      </w:r>
      <w:r>
        <w:rPr>
          <w:rFonts w:ascii="宋体" w:hAnsi="宋体" w:eastAsia="宋体" w:cs="宋体"/>
          <w:b w:val="0"/>
          <w:bCs w:val="0"/>
          <w:snapToGrid w:val="0"/>
          <w:color w:val="auto"/>
          <w:spacing w:val="0"/>
          <w:position w:val="0"/>
          <w:sz w:val="24"/>
          <w:szCs w:val="24"/>
          <w:highlight w:val="none"/>
          <w:lang w:val="en-US" w:eastAsia="zh-CN" w:bidi="ar-SA"/>
        </w:rPr>
        <w:t>三电系统质保不低于整车质保标准</w:t>
      </w:r>
      <w:r>
        <w:rPr>
          <w:rFonts w:hint="eastAsia" w:ascii="宋体" w:hAnsi="宋体" w:eastAsia="宋体" w:cs="宋体"/>
          <w:b w:val="0"/>
          <w:bCs w:val="0"/>
          <w:snapToGrid w:val="0"/>
          <w:color w:val="auto"/>
          <w:spacing w:val="0"/>
          <w:position w:val="0"/>
          <w:sz w:val="24"/>
          <w:szCs w:val="24"/>
          <w:highlight w:val="none"/>
          <w:lang w:val="en-US" w:eastAsia="zh-CN" w:bidi="ar-SA"/>
        </w:rPr>
        <w:t>，</w:t>
      </w:r>
      <w:r>
        <w:rPr>
          <w:rFonts w:hint="eastAsia" w:ascii="宋体" w:hAnsi="宋体" w:eastAsia="宋体" w:cs="宋体"/>
          <w:b/>
          <w:bCs/>
          <w:snapToGrid w:val="0"/>
          <w:color w:val="auto"/>
          <w:spacing w:val="0"/>
          <w:position w:val="0"/>
          <w:sz w:val="24"/>
          <w:szCs w:val="24"/>
          <w:highlight w:val="none"/>
          <w:lang w:val="en-US" w:eastAsia="zh-CN" w:bidi="ar-SA"/>
        </w:rPr>
        <w:t>提供</w:t>
      </w:r>
      <w:r>
        <w:rPr>
          <w:rFonts w:ascii="宋体" w:hAnsi="宋体" w:eastAsia="宋体" w:cs="宋体"/>
          <w:b/>
          <w:bCs/>
          <w:snapToGrid w:val="0"/>
          <w:color w:val="auto"/>
          <w:spacing w:val="0"/>
          <w:position w:val="0"/>
          <w:sz w:val="24"/>
          <w:szCs w:val="24"/>
          <w:highlight w:val="none"/>
          <w:lang w:val="en-US" w:eastAsia="zh-CN" w:bidi="ar-SA"/>
        </w:rPr>
        <w:t>书面承诺函</w:t>
      </w:r>
      <w:r>
        <w:rPr>
          <w:rFonts w:hint="eastAsia" w:ascii="宋体" w:hAnsi="宋体" w:eastAsia="宋体" w:cs="宋体"/>
          <w:b/>
          <w:bCs/>
          <w:snapToGrid w:val="0"/>
          <w:color w:val="auto"/>
          <w:spacing w:val="0"/>
          <w:position w:val="0"/>
          <w:sz w:val="24"/>
          <w:szCs w:val="24"/>
          <w:highlight w:val="none"/>
          <w:lang w:val="en-US" w:eastAsia="zh-CN" w:bidi="ar-SA"/>
        </w:rPr>
        <w:t>（承诺函格式自拟），未提供或提供不符合要求作无效响应处理；</w:t>
      </w:r>
    </w:p>
    <w:p w14:paraId="6AB2168A">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hint="eastAsia" w:ascii="宋体" w:hAnsi="宋体" w:eastAsia="宋体" w:cs="宋体"/>
          <w:b w:val="0"/>
          <w:bCs w:val="0"/>
          <w:snapToGrid w:val="0"/>
          <w:color w:val="auto"/>
          <w:spacing w:val="0"/>
          <w:position w:val="0"/>
          <w:sz w:val="24"/>
          <w:szCs w:val="24"/>
          <w:highlight w:val="none"/>
          <w:lang w:val="en-US" w:eastAsia="zh-CN" w:bidi="ar-SA"/>
        </w:rPr>
        <w:t>成交</w:t>
      </w:r>
      <w:r>
        <w:rPr>
          <w:rFonts w:ascii="宋体" w:hAnsi="宋体" w:eastAsia="宋体" w:cs="宋体"/>
          <w:b w:val="0"/>
          <w:bCs w:val="0"/>
          <w:snapToGrid w:val="0"/>
          <w:color w:val="auto"/>
          <w:spacing w:val="0"/>
          <w:position w:val="0"/>
          <w:sz w:val="24"/>
          <w:szCs w:val="24"/>
          <w:highlight w:val="none"/>
          <w:lang w:val="en-US" w:eastAsia="zh-CN" w:bidi="ar-SA"/>
        </w:rPr>
        <w:t>供应商售后服务</w:t>
      </w:r>
      <w:r>
        <w:rPr>
          <w:rFonts w:hint="eastAsia" w:ascii="宋体" w:hAnsi="宋体" w:eastAsia="宋体" w:cs="宋体"/>
          <w:b w:val="0"/>
          <w:bCs w:val="0"/>
          <w:snapToGrid w:val="0"/>
          <w:color w:val="auto"/>
          <w:spacing w:val="0"/>
          <w:position w:val="0"/>
          <w:sz w:val="24"/>
          <w:szCs w:val="24"/>
          <w:highlight w:val="none"/>
          <w:lang w:val="en-US" w:eastAsia="zh-CN" w:bidi="ar-SA"/>
        </w:rPr>
        <w:t>：</w:t>
      </w:r>
      <w:r>
        <w:rPr>
          <w:rFonts w:ascii="宋体" w:hAnsi="宋体" w:eastAsia="宋体" w:cs="宋体"/>
          <w:b w:val="0"/>
          <w:bCs w:val="0"/>
          <w:snapToGrid w:val="0"/>
          <w:color w:val="auto"/>
          <w:spacing w:val="0"/>
          <w:position w:val="0"/>
          <w:sz w:val="24"/>
          <w:szCs w:val="24"/>
          <w:highlight w:val="none"/>
          <w:lang w:val="en-US" w:eastAsia="zh-CN" w:bidi="ar-SA"/>
        </w:rPr>
        <w:t>提供24小时应急救援、维修保养服务；</w:t>
      </w:r>
    </w:p>
    <w:p w14:paraId="04563558">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交付时提供完整车辆合格证、3C、环保、新能源目录、保养手册、三包凭证全套资料</w:t>
      </w:r>
      <w:r>
        <w:rPr>
          <w:rFonts w:hint="eastAsia" w:ascii="宋体" w:hAnsi="宋体" w:eastAsia="宋体" w:cs="宋体"/>
          <w:b w:val="0"/>
          <w:bCs w:val="0"/>
          <w:snapToGrid w:val="0"/>
          <w:color w:val="auto"/>
          <w:spacing w:val="0"/>
          <w:position w:val="0"/>
          <w:sz w:val="24"/>
          <w:szCs w:val="24"/>
          <w:highlight w:val="none"/>
          <w:lang w:val="en-US" w:eastAsia="zh-CN" w:bidi="ar-SA"/>
        </w:rPr>
        <w:t>；</w:t>
      </w:r>
    </w:p>
    <w:p w14:paraId="5D680F2A">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hint="default" w:ascii="宋体" w:hAnsi="宋体" w:eastAsia="宋体" w:cs="宋体"/>
          <w:b w:val="0"/>
          <w:bCs w:val="0"/>
          <w:snapToGrid w:val="0"/>
          <w:color w:val="auto"/>
          <w:spacing w:val="0"/>
          <w:position w:val="0"/>
          <w:sz w:val="24"/>
          <w:szCs w:val="24"/>
          <w:highlight w:val="none"/>
          <w:lang w:val="en-US" w:eastAsia="zh-CN" w:bidi="ar-SA"/>
        </w:rPr>
      </w:pPr>
      <w:r>
        <w:rPr>
          <w:rFonts w:ascii="宋体" w:hAnsi="宋体" w:eastAsia="宋体" w:cs="宋体"/>
          <w:b w:val="0"/>
          <w:bCs w:val="0"/>
          <w:snapToGrid w:val="0"/>
          <w:color w:val="auto"/>
          <w:spacing w:val="0"/>
          <w:position w:val="0"/>
          <w:sz w:val="24"/>
          <w:szCs w:val="24"/>
          <w:highlight w:val="none"/>
          <w:lang w:val="en-US" w:eastAsia="zh-CN" w:bidi="ar-SA"/>
        </w:rPr>
        <w:t>免费完成车辆基础检测、执法线路调试，交付前完成全车清洁、功能全检</w:t>
      </w:r>
      <w:r>
        <w:rPr>
          <w:rFonts w:hint="eastAsia" w:ascii="宋体" w:hAnsi="宋体" w:eastAsia="宋体" w:cs="宋体"/>
          <w:b w:val="0"/>
          <w:bCs w:val="0"/>
          <w:snapToGrid w:val="0"/>
          <w:color w:val="auto"/>
          <w:spacing w:val="0"/>
          <w:position w:val="0"/>
          <w:sz w:val="24"/>
          <w:szCs w:val="24"/>
          <w:highlight w:val="none"/>
          <w:lang w:val="en-US" w:eastAsia="zh-CN" w:bidi="ar-SA"/>
        </w:rPr>
        <w:t>；</w:t>
      </w:r>
    </w:p>
    <w:p w14:paraId="7C8F5AB5">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hint="default" w:ascii="宋体" w:hAnsi="宋体" w:eastAsia="宋体" w:cs="宋体"/>
          <w:b w:val="0"/>
          <w:bCs w:val="0"/>
          <w:snapToGrid w:val="0"/>
          <w:color w:val="auto"/>
          <w:spacing w:val="0"/>
          <w:position w:val="0"/>
          <w:sz w:val="24"/>
          <w:szCs w:val="24"/>
          <w:highlight w:val="none"/>
          <w:lang w:val="en-US" w:eastAsia="zh-CN" w:bidi="ar-SA"/>
        </w:rPr>
      </w:pPr>
      <w:r>
        <w:rPr>
          <w:rFonts w:hint="default" w:ascii="宋体" w:hAnsi="宋体" w:eastAsia="宋体" w:cs="宋体"/>
          <w:b w:val="0"/>
          <w:bCs w:val="0"/>
          <w:snapToGrid w:val="0"/>
          <w:color w:val="auto"/>
          <w:spacing w:val="0"/>
          <w:position w:val="0"/>
          <w:sz w:val="24"/>
          <w:szCs w:val="24"/>
          <w:highlight w:val="none"/>
          <w:lang w:val="en-US" w:eastAsia="zh-CN" w:bidi="ar-SA"/>
        </w:rPr>
        <w:t>在赣州市范围内设有固定授权售后服务网点，提供网点地址、维保场地证明</w:t>
      </w:r>
      <w:r>
        <w:rPr>
          <w:rFonts w:hint="eastAsia" w:ascii="宋体" w:hAnsi="宋体" w:eastAsia="宋体" w:cs="宋体"/>
          <w:b w:val="0"/>
          <w:bCs w:val="0"/>
          <w:snapToGrid w:val="0"/>
          <w:color w:val="auto"/>
          <w:spacing w:val="0"/>
          <w:position w:val="0"/>
          <w:sz w:val="24"/>
          <w:szCs w:val="24"/>
          <w:highlight w:val="none"/>
          <w:lang w:val="en-US" w:eastAsia="zh-CN" w:bidi="ar-SA"/>
        </w:rPr>
        <w:t>；</w:t>
      </w:r>
    </w:p>
    <w:p w14:paraId="38F5DCEE">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bCs/>
          <w:snapToGrid w:val="0"/>
          <w:color w:val="auto"/>
          <w:spacing w:val="0"/>
          <w:position w:val="0"/>
          <w:sz w:val="24"/>
          <w:szCs w:val="24"/>
          <w:highlight w:val="none"/>
          <w:lang w:val="en-US" w:eastAsia="zh-CN" w:bidi="ar-SA"/>
        </w:rPr>
      </w:pPr>
      <w:r>
        <w:rPr>
          <w:rFonts w:ascii="宋体" w:hAnsi="宋体" w:eastAsia="宋体" w:cs="宋体"/>
          <w:b/>
          <w:bCs/>
          <w:snapToGrid w:val="0"/>
          <w:color w:val="auto"/>
          <w:spacing w:val="0"/>
          <w:position w:val="0"/>
          <w:sz w:val="24"/>
          <w:szCs w:val="24"/>
          <w:highlight w:val="none"/>
          <w:lang w:val="en-US" w:eastAsia="zh-CN" w:bidi="ar-SA"/>
        </w:rPr>
        <w:t>所投车辆车型具备</w:t>
      </w:r>
      <w:r>
        <w:rPr>
          <w:rFonts w:hint="eastAsia" w:ascii="宋体" w:hAnsi="宋体" w:eastAsia="宋体" w:cs="宋体"/>
          <w:b/>
          <w:bCs/>
          <w:snapToGrid w:val="0"/>
          <w:color w:val="auto"/>
          <w:spacing w:val="0"/>
          <w:position w:val="0"/>
          <w:sz w:val="24"/>
          <w:szCs w:val="24"/>
          <w:highlight w:val="none"/>
          <w:lang w:val="en-US" w:eastAsia="zh-CN" w:bidi="ar-SA"/>
        </w:rPr>
        <w:t>车辆工信部公告、3C 认证、国 VI b 环保认证、新能源目录截图、响应文件中提供所述截图或证书扫描件加盖章响应供应商公章，未提供或提供不符合要求作无效响应处理。</w:t>
      </w:r>
    </w:p>
    <w:p w14:paraId="43349E50">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hint="eastAsia" w:ascii="宋体" w:hAnsi="宋体" w:eastAsia="宋体" w:cs="宋体"/>
          <w:b/>
          <w:bCs/>
          <w:snapToGrid w:val="0"/>
          <w:color w:val="auto"/>
          <w:spacing w:val="0"/>
          <w:position w:val="0"/>
          <w:sz w:val="24"/>
          <w:szCs w:val="24"/>
          <w:highlight w:val="none"/>
          <w:lang w:val="en-US" w:eastAsia="zh-CN" w:bidi="ar-SA"/>
        </w:rPr>
      </w:pPr>
      <w:r>
        <w:rPr>
          <w:rFonts w:hint="eastAsia" w:ascii="宋体" w:hAnsi="宋体" w:eastAsia="宋体" w:cs="宋体"/>
          <w:b/>
          <w:bCs/>
          <w:snapToGrid w:val="0"/>
          <w:color w:val="auto"/>
          <w:spacing w:val="0"/>
          <w:position w:val="0"/>
          <w:sz w:val="24"/>
          <w:szCs w:val="24"/>
          <w:highlight w:val="none"/>
          <w:lang w:val="en-US" w:eastAsia="zh-CN" w:bidi="ar-SA"/>
        </w:rPr>
        <w:t>响应文件中提供车辆产品宣传册、实车配置说明加盖章响应供应商公章，未提供或提供不符合要求作无效响应处理。</w:t>
      </w:r>
    </w:p>
    <w:p w14:paraId="6186C2FF">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beforeAutospacing="0" w:line="360" w:lineRule="auto"/>
        <w:ind w:left="780" w:leftChars="200" w:hanging="360" w:firstLineChars="0"/>
        <w:textAlignment w:val="baseline"/>
        <w:outlineLvl w:val="2"/>
        <w:rPr>
          <w:rFonts w:ascii="宋体" w:hAnsi="宋体" w:eastAsia="宋体" w:cs="宋体"/>
          <w:b/>
          <w:bCs/>
          <w:snapToGrid w:val="0"/>
          <w:color w:val="auto"/>
          <w:spacing w:val="0"/>
          <w:position w:val="0"/>
          <w:sz w:val="24"/>
          <w:szCs w:val="24"/>
          <w:highlight w:val="none"/>
          <w:lang w:val="en-US" w:eastAsia="zh-CN" w:bidi="ar-SA"/>
        </w:rPr>
      </w:pPr>
      <w:r>
        <w:rPr>
          <w:rFonts w:hint="eastAsia" w:ascii="宋体" w:hAnsi="宋体" w:eastAsia="宋体" w:cs="宋体"/>
          <w:b/>
          <w:bCs/>
          <w:snapToGrid w:val="0"/>
          <w:color w:val="auto"/>
          <w:spacing w:val="0"/>
          <w:position w:val="0"/>
          <w:sz w:val="24"/>
          <w:szCs w:val="24"/>
          <w:highlight w:val="none"/>
          <w:lang w:val="en-US" w:eastAsia="zh-CN" w:bidi="ar-SA"/>
        </w:rPr>
        <w:t>响应文件中提供电池温控、电机、混动系统技术说明材料加盖章响应供应商公章，未提供或提供不符合要求作无效响应处理。</w:t>
      </w:r>
    </w:p>
    <w:p w14:paraId="0D66944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Chars="200"/>
        <w:textAlignment w:val="baseline"/>
        <w:outlineLvl w:val="2"/>
        <w:rPr>
          <w:rFonts w:hint="default" w:ascii="宋体" w:hAnsi="宋体" w:eastAsia="宋体" w:cs="宋体"/>
          <w:b w:val="0"/>
          <w:bCs w:val="0"/>
          <w:snapToGrid w:val="0"/>
          <w:color w:val="auto"/>
          <w:spacing w:val="0"/>
          <w:position w:val="0"/>
          <w:sz w:val="24"/>
          <w:szCs w:val="24"/>
          <w:highlight w:val="none"/>
          <w:lang w:val="en-US" w:eastAsia="zh-CN" w:bidi="ar-SA"/>
        </w:rPr>
      </w:pPr>
    </w:p>
    <w:p w14:paraId="5CDAFF74">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jc w:val="center"/>
        <w:textAlignment w:val="baseline"/>
        <w:outlineLvl w:val="1"/>
        <w:rPr>
          <w:rFonts w:hint="eastAsia" w:ascii="宋体" w:hAnsi="宋体" w:eastAsia="宋体" w:cs="宋体"/>
          <w:snapToGrid w:val="0"/>
          <w:color w:val="auto"/>
          <w:spacing w:val="0"/>
          <w:position w:val="0"/>
          <w:sz w:val="24"/>
          <w:szCs w:val="24"/>
          <w:highlight w:val="yellow"/>
          <w:lang w:val="en-US" w:eastAsia="zh-CN" w:bidi="ar-SA"/>
          <w14:textOutline w14:w="4356" w14:cap="sq" w14:cmpd="sng" w14:algn="ctr">
            <w14:solidFill>
              <w14:srgbClr w14:val="000000"/>
            </w14:solidFill>
            <w14:prstDash w14:val="solid"/>
            <w14:bevel/>
          </w14:textOutline>
        </w:rPr>
      </w:pPr>
    </w:p>
    <w:p w14:paraId="32E4DCA3">
      <w:pPr>
        <w:keepNext w:val="0"/>
        <w:keepLines w:val="0"/>
        <w:pageBreakBefore w:val="0"/>
        <w:widowControl w:val="0"/>
        <w:kinsoku w:val="0"/>
        <w:wordWrap/>
        <w:overflowPunct/>
        <w:topLinePunct w:val="0"/>
        <w:autoSpaceDE w:val="0"/>
        <w:autoSpaceDN w:val="0"/>
        <w:bidi w:val="0"/>
        <w:adjustRightInd w:val="0"/>
        <w:snapToGrid w:val="0"/>
        <w:spacing w:line="360" w:lineRule="auto"/>
        <w:ind w:left="107" w:leftChars="0"/>
        <w:jc w:val="center"/>
        <w:textAlignment w:val="baseline"/>
        <w:outlineLvl w:val="1"/>
        <w:rPr>
          <w:rFonts w:hint="default"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t>商 务 条 款</w:t>
      </w:r>
    </w:p>
    <w:p w14:paraId="2CB43DA2">
      <w:pPr>
        <w:pageBreakBefore w:val="0"/>
        <w:widowControl w:val="0"/>
        <w:wordWrap/>
        <w:overflowPunct/>
        <w:topLinePunct w:val="0"/>
        <w:bidi w:val="0"/>
        <w:spacing w:line="249" w:lineRule="auto"/>
        <w:rPr>
          <w:color w:val="auto"/>
          <w:highlight w:val="none"/>
          <w:lang w:eastAsia="zh-CN"/>
        </w:rPr>
      </w:pPr>
    </w:p>
    <w:p w14:paraId="75DAF58B">
      <w:pPr>
        <w:pageBreakBefore w:val="0"/>
        <w:widowControl w:val="0"/>
        <w:wordWrap/>
        <w:overflowPunct/>
        <w:topLinePunct w:val="0"/>
        <w:bidi w:val="0"/>
        <w:spacing w:line="249" w:lineRule="auto"/>
        <w:rPr>
          <w:color w:val="auto"/>
          <w:highlight w:val="none"/>
          <w:lang w:eastAsia="zh-CN"/>
        </w:rPr>
      </w:pPr>
    </w:p>
    <w:tbl>
      <w:tblPr>
        <w:tblStyle w:val="4"/>
        <w:tblW w:w="96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1"/>
        <w:gridCol w:w="2164"/>
        <w:gridCol w:w="6547"/>
      </w:tblGrid>
      <w:tr w14:paraId="451F9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26BC5576">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7"/>
                <w:szCs w:val="27"/>
              </w:rPr>
            </w:pPr>
            <w:r>
              <w:rPr>
                <w:rFonts w:hint="eastAsia" w:ascii="宋体" w:hAnsi="宋体" w:eastAsia="宋体" w:cs="宋体"/>
                <w:b/>
                <w:sz w:val="27"/>
                <w:szCs w:val="27"/>
              </w:rPr>
              <w:t>序号</w:t>
            </w:r>
          </w:p>
        </w:tc>
        <w:tc>
          <w:tcPr>
            <w:tcW w:w="2164" w:type="dxa"/>
            <w:noWrap w:val="0"/>
            <w:vAlign w:val="center"/>
          </w:tcPr>
          <w:p w14:paraId="5544C1F7">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7"/>
                <w:szCs w:val="27"/>
              </w:rPr>
            </w:pPr>
            <w:r>
              <w:rPr>
                <w:rFonts w:hint="eastAsia" w:ascii="宋体" w:hAnsi="宋体" w:eastAsia="宋体" w:cs="宋体"/>
                <w:b/>
                <w:sz w:val="27"/>
                <w:szCs w:val="27"/>
              </w:rPr>
              <w:t>条款名称</w:t>
            </w:r>
          </w:p>
        </w:tc>
        <w:tc>
          <w:tcPr>
            <w:tcW w:w="6547" w:type="dxa"/>
            <w:noWrap w:val="0"/>
            <w:vAlign w:val="top"/>
          </w:tcPr>
          <w:p w14:paraId="7D68C04E">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7"/>
                <w:szCs w:val="27"/>
              </w:rPr>
            </w:pPr>
            <w:r>
              <w:rPr>
                <w:rFonts w:hint="eastAsia" w:ascii="宋体" w:hAnsi="宋体" w:eastAsia="宋体" w:cs="宋体"/>
                <w:b/>
                <w:sz w:val="27"/>
                <w:szCs w:val="27"/>
              </w:rPr>
              <w:t>条款内容</w:t>
            </w:r>
          </w:p>
        </w:tc>
      </w:tr>
      <w:tr w14:paraId="3A7F3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3A03DBFC">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7"/>
                <w:szCs w:val="27"/>
                <w:highlight w:val="none"/>
              </w:rPr>
            </w:pPr>
            <w:r>
              <w:rPr>
                <w:rFonts w:hint="eastAsia" w:ascii="宋体" w:hAnsi="宋体" w:eastAsia="宋体" w:cs="宋体"/>
                <w:b/>
                <w:sz w:val="27"/>
                <w:szCs w:val="27"/>
                <w:highlight w:val="none"/>
              </w:rPr>
              <w:t>1</w:t>
            </w:r>
          </w:p>
        </w:tc>
        <w:tc>
          <w:tcPr>
            <w:tcW w:w="2164" w:type="dxa"/>
            <w:noWrap w:val="0"/>
            <w:vAlign w:val="center"/>
          </w:tcPr>
          <w:p w14:paraId="155B51A1">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7"/>
                <w:szCs w:val="27"/>
                <w:highlight w:val="none"/>
              </w:rPr>
            </w:pPr>
            <w:r>
              <w:rPr>
                <w:rFonts w:hint="eastAsia" w:ascii="宋体" w:hAnsi="宋体" w:eastAsia="宋体" w:cs="宋体"/>
                <w:bCs/>
                <w:sz w:val="27"/>
                <w:szCs w:val="27"/>
                <w:highlight w:val="none"/>
                <w:lang w:val="en-US" w:eastAsia="zh-CN"/>
              </w:rPr>
              <w:t>交货</w:t>
            </w:r>
            <w:r>
              <w:rPr>
                <w:rFonts w:hint="eastAsia" w:ascii="宋体" w:hAnsi="宋体" w:eastAsia="宋体" w:cs="宋体"/>
                <w:bCs/>
                <w:sz w:val="27"/>
                <w:szCs w:val="27"/>
                <w:highlight w:val="none"/>
              </w:rPr>
              <w:t>地点</w:t>
            </w:r>
          </w:p>
        </w:tc>
        <w:tc>
          <w:tcPr>
            <w:tcW w:w="6547" w:type="dxa"/>
            <w:noWrap w:val="0"/>
            <w:vAlign w:val="top"/>
          </w:tcPr>
          <w:p w14:paraId="03BAA233">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sz w:val="27"/>
                <w:szCs w:val="27"/>
                <w:highlight w:val="none"/>
                <w:lang w:eastAsia="zh-CN"/>
              </w:rPr>
            </w:pPr>
            <w:r>
              <w:rPr>
                <w:rFonts w:hint="eastAsia" w:ascii="宋体" w:hAnsi="宋体" w:eastAsia="宋体" w:cs="宋体"/>
                <w:sz w:val="27"/>
                <w:szCs w:val="27"/>
                <w:highlight w:val="none"/>
                <w:lang w:eastAsia="zh-CN"/>
              </w:rPr>
              <w:t>采购人</w:t>
            </w:r>
            <w:r>
              <w:rPr>
                <w:rFonts w:hint="eastAsia" w:ascii="宋体" w:hAnsi="宋体" w:eastAsia="宋体" w:cs="宋体"/>
                <w:sz w:val="27"/>
                <w:szCs w:val="27"/>
                <w:highlight w:val="none"/>
              </w:rPr>
              <w:t>指定的地点。</w:t>
            </w:r>
          </w:p>
        </w:tc>
      </w:tr>
      <w:tr w14:paraId="70C32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45C391F5">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color w:val="auto"/>
                <w:sz w:val="27"/>
                <w:szCs w:val="27"/>
                <w:highlight w:val="none"/>
              </w:rPr>
            </w:pPr>
            <w:r>
              <w:rPr>
                <w:rFonts w:hint="eastAsia" w:ascii="宋体" w:hAnsi="宋体" w:eastAsia="宋体" w:cs="宋体"/>
                <w:b/>
                <w:color w:val="auto"/>
                <w:sz w:val="27"/>
                <w:szCs w:val="27"/>
                <w:highlight w:val="none"/>
              </w:rPr>
              <w:t>2</w:t>
            </w:r>
          </w:p>
        </w:tc>
        <w:tc>
          <w:tcPr>
            <w:tcW w:w="2164" w:type="dxa"/>
            <w:noWrap w:val="0"/>
            <w:vAlign w:val="center"/>
          </w:tcPr>
          <w:p w14:paraId="1689CEE7">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color w:val="auto"/>
                <w:sz w:val="27"/>
                <w:szCs w:val="27"/>
                <w:highlight w:val="none"/>
                <w:lang w:eastAsia="zh-CN"/>
              </w:rPr>
            </w:pPr>
            <w:r>
              <w:rPr>
                <w:rFonts w:hint="eastAsia" w:ascii="宋体" w:hAnsi="宋体" w:eastAsia="宋体" w:cs="宋体"/>
                <w:bCs/>
                <w:color w:val="auto"/>
                <w:sz w:val="27"/>
                <w:szCs w:val="27"/>
                <w:highlight w:val="none"/>
                <w:lang w:val="en-US" w:eastAsia="zh-CN"/>
              </w:rPr>
              <w:t>交货</w:t>
            </w:r>
            <w:r>
              <w:rPr>
                <w:rFonts w:hint="eastAsia" w:ascii="宋体" w:hAnsi="宋体" w:eastAsia="宋体" w:cs="宋体"/>
                <w:bCs/>
                <w:color w:val="auto"/>
                <w:sz w:val="27"/>
                <w:szCs w:val="27"/>
                <w:highlight w:val="none"/>
                <w:lang w:eastAsia="zh-CN"/>
              </w:rPr>
              <w:t>期</w:t>
            </w:r>
          </w:p>
        </w:tc>
        <w:tc>
          <w:tcPr>
            <w:tcW w:w="6547" w:type="dxa"/>
            <w:noWrap w:val="0"/>
            <w:vAlign w:val="center"/>
          </w:tcPr>
          <w:p w14:paraId="0530DD01">
            <w:pPr>
              <w:keepNext w:val="0"/>
              <w:keepLines w:val="0"/>
              <w:pageBreakBefore w:val="0"/>
              <w:kinsoku/>
              <w:wordWrap/>
              <w:overflowPunct/>
              <w:topLinePunct w:val="0"/>
              <w:autoSpaceDE w:val="0"/>
              <w:autoSpaceDN w:val="0"/>
              <w:bidi w:val="0"/>
              <w:adjustRightInd/>
              <w:snapToGrid/>
              <w:spacing w:line="500" w:lineRule="exact"/>
              <w:jc w:val="left"/>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color w:val="auto"/>
                <w:sz w:val="27"/>
                <w:szCs w:val="27"/>
                <w:highlight w:val="none"/>
                <w:lang w:val="en-US" w:eastAsia="zh-CN"/>
              </w:rPr>
              <w:t>合同签订后一个月内先交货2辆执法车辆，剩余一辆在2026年12月前完成交货。</w:t>
            </w:r>
          </w:p>
        </w:tc>
      </w:tr>
      <w:tr w14:paraId="660D3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971" w:type="dxa"/>
            <w:noWrap w:val="0"/>
            <w:vAlign w:val="center"/>
          </w:tcPr>
          <w:p w14:paraId="548115D5">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color w:val="auto"/>
                <w:kern w:val="0"/>
                <w:sz w:val="27"/>
                <w:szCs w:val="27"/>
                <w:highlight w:val="none"/>
                <w:lang w:eastAsia="zh-CN"/>
              </w:rPr>
            </w:pPr>
            <w:r>
              <w:rPr>
                <w:rFonts w:hint="eastAsia" w:ascii="宋体" w:hAnsi="宋体" w:eastAsia="宋体" w:cs="宋体"/>
                <w:b/>
                <w:color w:val="auto"/>
                <w:sz w:val="27"/>
                <w:szCs w:val="27"/>
                <w:highlight w:val="none"/>
                <w:lang w:val="en-US" w:eastAsia="zh-CN"/>
              </w:rPr>
              <w:t>3</w:t>
            </w:r>
          </w:p>
        </w:tc>
        <w:tc>
          <w:tcPr>
            <w:tcW w:w="2164" w:type="dxa"/>
            <w:noWrap w:val="0"/>
            <w:vAlign w:val="center"/>
          </w:tcPr>
          <w:p w14:paraId="3C9EAD91">
            <w:pPr>
              <w:keepNext w:val="0"/>
              <w:keepLines w:val="0"/>
              <w:pageBreakBefore w:val="0"/>
              <w:kinsoku/>
              <w:wordWrap/>
              <w:overflowPunct/>
              <w:topLinePunct w:val="0"/>
              <w:autoSpaceDE w:val="0"/>
              <w:autoSpaceDN w:val="0"/>
              <w:bidi w:val="0"/>
              <w:adjustRightInd/>
              <w:snapToGrid/>
              <w:spacing w:line="500" w:lineRule="exact"/>
              <w:jc w:val="left"/>
              <w:textAlignment w:val="auto"/>
              <w:rPr>
                <w:rFonts w:hint="eastAsia" w:ascii="宋体" w:hAnsi="宋体" w:eastAsia="宋体" w:cs="宋体"/>
                <w:color w:val="auto"/>
                <w:sz w:val="27"/>
                <w:szCs w:val="27"/>
                <w:highlight w:val="none"/>
                <w:lang w:val="zh-CN" w:eastAsia="zh-CN"/>
              </w:rPr>
            </w:pPr>
            <w:r>
              <w:rPr>
                <w:rFonts w:hint="eastAsia" w:ascii="宋体" w:hAnsi="宋体" w:eastAsia="宋体" w:cs="宋体"/>
                <w:color w:val="auto"/>
                <w:sz w:val="27"/>
                <w:szCs w:val="27"/>
                <w:highlight w:val="none"/>
                <w:lang w:val="en-US" w:eastAsia="zh-CN"/>
              </w:rPr>
              <w:t>付款方式</w:t>
            </w:r>
          </w:p>
        </w:tc>
        <w:tc>
          <w:tcPr>
            <w:tcW w:w="6547" w:type="dxa"/>
            <w:noWrap w:val="0"/>
            <w:vAlign w:val="top"/>
          </w:tcPr>
          <w:p w14:paraId="4875849C">
            <w:pPr>
              <w:keepNext w:val="0"/>
              <w:keepLines w:val="0"/>
              <w:pageBreakBefore w:val="0"/>
              <w:kinsoku/>
              <w:wordWrap/>
              <w:overflowPunct/>
              <w:topLinePunct w:val="0"/>
              <w:autoSpaceDE w:val="0"/>
              <w:autoSpaceDN w:val="0"/>
              <w:bidi w:val="0"/>
              <w:adjustRightInd/>
              <w:snapToGrid/>
              <w:spacing w:line="500" w:lineRule="exact"/>
              <w:jc w:val="left"/>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color w:val="auto"/>
                <w:sz w:val="27"/>
                <w:szCs w:val="27"/>
                <w:highlight w:val="none"/>
                <w:lang w:val="en-US" w:eastAsia="zh-CN"/>
              </w:rPr>
              <w:t>签订合同后付30%，前2辆交付后再付款30%，全部交货完成后再支付剩余的40%。</w:t>
            </w:r>
          </w:p>
        </w:tc>
      </w:tr>
      <w:tr w14:paraId="7B785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6296C36C">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color w:val="auto"/>
                <w:kern w:val="0"/>
                <w:sz w:val="27"/>
                <w:szCs w:val="27"/>
                <w:highlight w:val="none"/>
                <w:lang w:eastAsia="zh-CN"/>
              </w:rPr>
            </w:pPr>
            <w:r>
              <w:rPr>
                <w:rFonts w:hint="eastAsia" w:ascii="宋体" w:hAnsi="宋体" w:eastAsia="宋体" w:cs="宋体"/>
                <w:b/>
                <w:color w:val="auto"/>
                <w:kern w:val="0"/>
                <w:sz w:val="27"/>
                <w:szCs w:val="27"/>
                <w:highlight w:val="none"/>
                <w:lang w:val="en-US" w:eastAsia="zh-CN"/>
              </w:rPr>
              <w:t>4</w:t>
            </w:r>
          </w:p>
        </w:tc>
        <w:tc>
          <w:tcPr>
            <w:tcW w:w="2164" w:type="dxa"/>
            <w:noWrap w:val="0"/>
            <w:vAlign w:val="center"/>
          </w:tcPr>
          <w:p w14:paraId="7D74CC39">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color w:val="auto"/>
                <w:kern w:val="0"/>
                <w:sz w:val="27"/>
                <w:szCs w:val="27"/>
                <w:highlight w:val="none"/>
                <w:lang w:val="zh-CN"/>
              </w:rPr>
            </w:pPr>
            <w:r>
              <w:rPr>
                <w:rFonts w:hint="eastAsia" w:ascii="宋体" w:hAnsi="宋体" w:eastAsia="宋体" w:cs="宋体"/>
                <w:bCs/>
                <w:color w:val="auto"/>
                <w:sz w:val="27"/>
                <w:szCs w:val="27"/>
                <w:highlight w:val="none"/>
              </w:rPr>
              <w:t>报价方式</w:t>
            </w:r>
          </w:p>
        </w:tc>
        <w:tc>
          <w:tcPr>
            <w:tcW w:w="6547" w:type="dxa"/>
            <w:noWrap w:val="0"/>
            <w:vAlign w:val="top"/>
          </w:tcPr>
          <w:p w14:paraId="74C431D1">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b w:val="0"/>
                <w:bCs/>
                <w:color w:val="auto"/>
                <w:sz w:val="28"/>
                <w:szCs w:val="28"/>
                <w:highlight w:val="none"/>
              </w:rPr>
            </w:pPr>
            <w:r>
              <w:rPr>
                <w:rFonts w:hint="eastAsia" w:ascii="宋体" w:hAnsi="宋体" w:eastAsia="宋体" w:cs="宋体"/>
                <w:bCs/>
                <w:color w:val="auto"/>
                <w:kern w:val="0"/>
                <w:sz w:val="27"/>
                <w:szCs w:val="27"/>
                <w:highlight w:val="none"/>
              </w:rPr>
              <w:t>以人民币报价，</w:t>
            </w:r>
            <w:r>
              <w:rPr>
                <w:rFonts w:hint="eastAsia" w:ascii="宋体" w:hAnsi="宋体" w:eastAsia="宋体"/>
                <w:b w:val="0"/>
                <w:bCs/>
                <w:color w:val="auto"/>
                <w:sz w:val="28"/>
                <w:szCs w:val="28"/>
                <w:highlight w:val="none"/>
              </w:rPr>
              <w:t>响应供应商报价中应包括项目全部内容的费用和合理的商业利润。报价条目的费用无</w:t>
            </w:r>
          </w:p>
          <w:p w14:paraId="13160AB9">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bCs/>
                <w:color w:val="auto"/>
                <w:kern w:val="0"/>
                <w:sz w:val="27"/>
                <w:szCs w:val="27"/>
                <w:highlight w:val="none"/>
                <w:lang w:val="zh-CN" w:eastAsia="zh-CN"/>
              </w:rPr>
            </w:pPr>
            <w:r>
              <w:rPr>
                <w:rFonts w:hint="eastAsia" w:ascii="宋体" w:hAnsi="宋体" w:eastAsia="宋体"/>
                <w:b w:val="0"/>
                <w:bCs/>
                <w:color w:val="auto"/>
                <w:sz w:val="28"/>
                <w:szCs w:val="28"/>
                <w:highlight w:val="none"/>
              </w:rPr>
              <w:t>论是否已在响应供应商的响应文件中单独列出，均视为在总报价中已包括该报价条目的</w:t>
            </w:r>
            <w:r>
              <w:rPr>
                <w:rFonts w:hint="eastAsia" w:ascii="宋体" w:hAnsi="宋体" w:eastAsia="宋体"/>
                <w:b w:val="0"/>
                <w:bCs/>
                <w:color w:val="auto"/>
                <w:sz w:val="28"/>
                <w:szCs w:val="28"/>
                <w:highlight w:val="none"/>
                <w:lang w:val="en-US" w:eastAsia="zh-CN"/>
              </w:rPr>
              <w:t>费</w:t>
            </w:r>
            <w:r>
              <w:rPr>
                <w:rFonts w:hint="eastAsia" w:ascii="宋体" w:hAnsi="宋体" w:eastAsia="宋体"/>
                <w:b w:val="0"/>
                <w:bCs/>
                <w:color w:val="auto"/>
                <w:sz w:val="28"/>
                <w:szCs w:val="28"/>
                <w:highlight w:val="none"/>
              </w:rPr>
              <w:t>用</w:t>
            </w:r>
            <w:r>
              <w:rPr>
                <w:rFonts w:hint="eastAsia" w:ascii="宋体" w:hAnsi="宋体" w:eastAsia="宋体"/>
                <w:b w:val="0"/>
                <w:bCs/>
                <w:color w:val="auto"/>
                <w:sz w:val="28"/>
                <w:szCs w:val="28"/>
                <w:highlight w:val="none"/>
                <w:lang w:eastAsia="zh-CN"/>
              </w:rPr>
              <w:t>（</w:t>
            </w:r>
            <w:r>
              <w:rPr>
                <w:rFonts w:hint="eastAsia" w:ascii="宋体" w:hAnsi="宋体" w:eastAsia="宋体"/>
                <w:b w:val="0"/>
                <w:bCs/>
                <w:color w:val="auto"/>
                <w:sz w:val="28"/>
                <w:szCs w:val="28"/>
                <w:highlight w:val="none"/>
                <w:lang w:val="en-US" w:eastAsia="zh-CN"/>
              </w:rPr>
              <w:t>不含上牌和保险费用）。</w:t>
            </w:r>
          </w:p>
        </w:tc>
      </w:tr>
      <w:tr w14:paraId="450AF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39222C93">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default" w:ascii="宋体" w:hAnsi="宋体" w:eastAsia="宋体" w:cs="宋体"/>
                <w:b/>
                <w:color w:val="auto"/>
                <w:sz w:val="27"/>
                <w:szCs w:val="27"/>
                <w:highlight w:val="none"/>
                <w:lang w:val="en-US" w:eastAsia="zh-CN"/>
              </w:rPr>
            </w:pPr>
            <w:r>
              <w:rPr>
                <w:rFonts w:hint="eastAsia" w:ascii="宋体" w:hAnsi="宋体" w:eastAsia="宋体" w:cs="宋体"/>
                <w:b/>
                <w:color w:val="auto"/>
                <w:sz w:val="27"/>
                <w:szCs w:val="27"/>
                <w:highlight w:val="none"/>
                <w:lang w:val="en-US" w:eastAsia="zh-CN"/>
              </w:rPr>
              <w:t>5</w:t>
            </w:r>
          </w:p>
        </w:tc>
        <w:tc>
          <w:tcPr>
            <w:tcW w:w="2164" w:type="dxa"/>
            <w:noWrap w:val="0"/>
            <w:vAlign w:val="center"/>
          </w:tcPr>
          <w:p w14:paraId="56FD08C9">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color w:val="auto"/>
                <w:sz w:val="27"/>
                <w:szCs w:val="27"/>
                <w:highlight w:val="none"/>
                <w:lang w:eastAsia="zh-CN"/>
              </w:rPr>
            </w:pPr>
            <w:r>
              <w:rPr>
                <w:rFonts w:hint="eastAsia" w:ascii="宋体" w:hAnsi="宋体" w:eastAsia="宋体" w:cs="宋体"/>
                <w:color w:val="auto"/>
                <w:sz w:val="27"/>
                <w:szCs w:val="27"/>
                <w:highlight w:val="none"/>
                <w:lang w:eastAsia="zh-CN"/>
              </w:rPr>
              <w:t>履约保证金</w:t>
            </w:r>
          </w:p>
        </w:tc>
        <w:tc>
          <w:tcPr>
            <w:tcW w:w="6547" w:type="dxa"/>
            <w:noWrap w:val="0"/>
            <w:vAlign w:val="top"/>
          </w:tcPr>
          <w:p w14:paraId="3B02781A">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sz w:val="27"/>
                <w:szCs w:val="27"/>
                <w:highlight w:val="none"/>
                <w:lang w:val="en-US" w:eastAsia="zh-CN"/>
              </w:rPr>
              <w:t>本项目按成交金额</w:t>
            </w:r>
            <w:r>
              <w:rPr>
                <w:rFonts w:hint="eastAsia" w:ascii="宋体" w:hAnsi="宋体" w:eastAsia="宋体" w:cs="宋体"/>
                <w:color w:val="auto"/>
                <w:sz w:val="27"/>
                <w:szCs w:val="27"/>
                <w:highlight w:val="none"/>
                <w:lang w:val="en-US" w:eastAsia="zh-CN"/>
              </w:rPr>
              <w:t>的5%收</w:t>
            </w:r>
            <w:r>
              <w:rPr>
                <w:rFonts w:hint="eastAsia" w:ascii="宋体" w:hAnsi="宋体" w:eastAsia="宋体" w:cs="宋体"/>
                <w:sz w:val="27"/>
                <w:szCs w:val="27"/>
                <w:highlight w:val="none"/>
                <w:lang w:val="en-US" w:eastAsia="zh-CN"/>
              </w:rPr>
              <w:t>取履约保证金</w:t>
            </w:r>
            <w:r>
              <w:rPr>
                <w:rFonts w:hint="eastAsia" w:ascii="宋体" w:hAnsi="宋体" w:eastAsia="宋体" w:cs="宋体"/>
                <w:sz w:val="27"/>
                <w:szCs w:val="27"/>
                <w:highlight w:val="none"/>
                <w:lang w:val="zh-CN" w:eastAsia="zh-CN"/>
              </w:rPr>
              <w:t>。</w:t>
            </w:r>
          </w:p>
        </w:tc>
      </w:tr>
      <w:tr w14:paraId="15318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37E54306">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default" w:ascii="宋体" w:hAnsi="宋体" w:eastAsia="宋体" w:cs="宋体"/>
                <w:b/>
                <w:color w:val="auto"/>
                <w:sz w:val="27"/>
                <w:szCs w:val="27"/>
                <w:highlight w:val="none"/>
                <w:lang w:val="en-US" w:eastAsia="zh-CN"/>
              </w:rPr>
            </w:pPr>
            <w:r>
              <w:rPr>
                <w:rFonts w:hint="eastAsia" w:ascii="宋体" w:hAnsi="宋体" w:eastAsia="宋体" w:cs="宋体"/>
                <w:b/>
                <w:color w:val="auto"/>
                <w:sz w:val="27"/>
                <w:szCs w:val="27"/>
                <w:highlight w:val="none"/>
                <w:lang w:val="en-US" w:eastAsia="zh-CN"/>
              </w:rPr>
              <w:t>6</w:t>
            </w:r>
          </w:p>
        </w:tc>
        <w:tc>
          <w:tcPr>
            <w:tcW w:w="2164" w:type="dxa"/>
            <w:noWrap w:val="0"/>
            <w:vAlign w:val="center"/>
          </w:tcPr>
          <w:p w14:paraId="54DC40C3">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color w:val="auto"/>
                <w:sz w:val="27"/>
                <w:szCs w:val="27"/>
                <w:highlight w:val="none"/>
                <w:lang w:val="en-US" w:eastAsia="zh-CN"/>
              </w:rPr>
              <w:t>验收</w:t>
            </w:r>
          </w:p>
        </w:tc>
        <w:tc>
          <w:tcPr>
            <w:tcW w:w="6547" w:type="dxa"/>
            <w:noWrap w:val="0"/>
            <w:vAlign w:val="top"/>
          </w:tcPr>
          <w:p w14:paraId="50B21A50">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val="0"/>
                <w:bCs w:val="0"/>
                <w:i w:val="0"/>
                <w:color w:val="auto"/>
                <w:kern w:val="0"/>
                <w:sz w:val="27"/>
                <w:szCs w:val="27"/>
                <w:highlight w:val="none"/>
                <w:u w:val="none" w:color="auto"/>
                <w:lang w:val="en-US" w:eastAsia="zh-CN" w:bidi="ar-SA"/>
              </w:rPr>
            </w:pPr>
            <w:r>
              <w:rPr>
                <w:rFonts w:hint="eastAsia" w:ascii="宋体" w:hAnsi="宋体" w:eastAsia="宋体" w:cs="宋体"/>
                <w:b w:val="0"/>
                <w:bCs w:val="0"/>
                <w:i w:val="0"/>
                <w:color w:val="auto"/>
                <w:kern w:val="0"/>
                <w:sz w:val="27"/>
                <w:szCs w:val="27"/>
                <w:u w:val="none" w:color="auto"/>
                <w:lang w:val="zh-CN" w:eastAsia="zh-CN" w:bidi="ar-SA"/>
              </w:rPr>
              <w:t>成交供应商按照采购需求规定的</w:t>
            </w:r>
            <w:r>
              <w:rPr>
                <w:rFonts w:hint="eastAsia" w:ascii="宋体" w:hAnsi="宋体" w:eastAsia="宋体" w:cs="宋体"/>
                <w:b w:val="0"/>
                <w:bCs w:val="0"/>
                <w:i w:val="0"/>
                <w:color w:val="auto"/>
                <w:kern w:val="0"/>
                <w:sz w:val="27"/>
                <w:szCs w:val="27"/>
                <w:u w:val="none" w:color="auto"/>
                <w:lang w:val="en-US" w:eastAsia="zh-CN" w:bidi="ar-SA"/>
              </w:rPr>
              <w:t>货物</w:t>
            </w:r>
            <w:r>
              <w:rPr>
                <w:rFonts w:hint="eastAsia" w:ascii="宋体" w:hAnsi="宋体" w:eastAsia="宋体" w:cs="宋体"/>
                <w:b w:val="0"/>
                <w:bCs w:val="0"/>
                <w:i w:val="0"/>
                <w:color w:val="auto"/>
                <w:kern w:val="0"/>
                <w:sz w:val="27"/>
                <w:szCs w:val="27"/>
                <w:u w:val="none" w:color="auto"/>
                <w:lang w:val="zh-CN" w:eastAsia="zh-CN" w:bidi="ar-SA"/>
              </w:rPr>
              <w:t>技术要求和商务要求完成服务后向采购人提出项目验收建议，采购人在收到供应商项目验收建议之日起</w:t>
            </w:r>
            <w:r>
              <w:rPr>
                <w:rFonts w:hint="eastAsia" w:ascii="宋体" w:hAnsi="宋体" w:eastAsia="宋体" w:cs="宋体"/>
                <w:b w:val="0"/>
                <w:bCs w:val="0"/>
                <w:i w:val="0"/>
                <w:color w:val="auto"/>
                <w:kern w:val="0"/>
                <w:sz w:val="27"/>
                <w:szCs w:val="27"/>
                <w:u w:val="none" w:color="auto"/>
                <w:lang w:val="en-US" w:eastAsia="zh-CN" w:bidi="ar-SA"/>
              </w:rPr>
              <w:t>7</w:t>
            </w:r>
            <w:r>
              <w:rPr>
                <w:rFonts w:hint="eastAsia" w:ascii="宋体" w:hAnsi="宋体" w:eastAsia="宋体" w:cs="宋体"/>
                <w:b w:val="0"/>
                <w:bCs w:val="0"/>
                <w:i w:val="0"/>
                <w:color w:val="auto"/>
                <w:kern w:val="0"/>
                <w:sz w:val="27"/>
                <w:szCs w:val="27"/>
                <w:u w:val="none" w:color="auto"/>
                <w:lang w:val="zh-CN" w:eastAsia="zh-CN" w:bidi="ar-SA"/>
              </w:rPr>
              <w:t>个工作日内对采购项目进行实质</w:t>
            </w:r>
            <w:r>
              <w:rPr>
                <w:rFonts w:hint="eastAsia" w:ascii="宋体" w:hAnsi="宋体" w:eastAsia="宋体" w:cs="宋体"/>
                <w:b w:val="0"/>
                <w:bCs w:val="0"/>
                <w:i w:val="0"/>
                <w:color w:val="auto"/>
                <w:kern w:val="0"/>
                <w:sz w:val="27"/>
                <w:szCs w:val="27"/>
                <w:highlight w:val="none"/>
                <w:u w:val="none" w:color="auto"/>
                <w:lang w:val="zh-CN" w:eastAsia="zh-CN" w:bidi="ar-SA"/>
              </w:rPr>
              <w:t>性验收：</w:t>
            </w:r>
          </w:p>
          <w:p w14:paraId="6BF1D46F">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b w:val="0"/>
                <w:bCs w:val="0"/>
                <w:i w:val="0"/>
                <w:color w:val="auto"/>
                <w:kern w:val="0"/>
                <w:sz w:val="27"/>
                <w:szCs w:val="27"/>
                <w:highlight w:val="none"/>
                <w:u w:val="none" w:color="auto"/>
                <w:lang w:val="en-US"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1、验收的主体：采购人自行组织进行验收</w:t>
            </w:r>
          </w:p>
          <w:p w14:paraId="2E56B475">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b w:val="0"/>
                <w:bCs w:val="0"/>
                <w:i w:val="0"/>
                <w:color w:val="auto"/>
                <w:kern w:val="0"/>
                <w:sz w:val="27"/>
                <w:szCs w:val="27"/>
                <w:highlight w:val="none"/>
                <w:u w:val="none" w:color="auto"/>
                <w:lang w:val="en-US"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2、验收的时间：成交供应商按照采购需求规定的货物要求和商务要求完成服务后向采购人提出项目验收建议，采购人在收到供应商项目验收建议之日起7个工作日内对采购项目进行实质性验收。</w:t>
            </w:r>
          </w:p>
          <w:p w14:paraId="68DC5BB5">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b w:val="0"/>
                <w:bCs w:val="0"/>
                <w:i w:val="0"/>
                <w:color w:val="auto"/>
                <w:kern w:val="0"/>
                <w:sz w:val="27"/>
                <w:szCs w:val="27"/>
                <w:highlight w:val="none"/>
                <w:u w:val="none" w:color="auto"/>
                <w:lang w:val="en-US"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3、验收方式：成交供应商按照采购文件要求完成服务后，由采购人组织的验收小组对</w:t>
            </w:r>
            <w:r>
              <w:rPr>
                <w:rFonts w:hint="eastAsia" w:ascii="宋体" w:hAnsi="宋体" w:eastAsia="宋体" w:cs="宋体"/>
                <w:b w:val="0"/>
                <w:bCs w:val="0"/>
                <w:i w:val="0"/>
                <w:color w:val="auto"/>
                <w:kern w:val="0"/>
                <w:sz w:val="27"/>
                <w:szCs w:val="27"/>
                <w:highlight w:val="none"/>
                <w:u w:val="none" w:color="auto"/>
                <w:lang w:val="en-US" w:eastAsia="zh-CN" w:bidi="ar-SA"/>
              </w:rPr>
              <w:t>货物与</w:t>
            </w:r>
            <w:r>
              <w:rPr>
                <w:rFonts w:hint="default" w:ascii="宋体" w:hAnsi="宋体" w:eastAsia="宋体" w:cs="宋体"/>
                <w:b w:val="0"/>
                <w:bCs w:val="0"/>
                <w:i w:val="0"/>
                <w:color w:val="auto"/>
                <w:kern w:val="0"/>
                <w:sz w:val="27"/>
                <w:szCs w:val="27"/>
                <w:highlight w:val="none"/>
                <w:u w:val="none" w:color="auto"/>
                <w:lang w:val="en-US" w:eastAsia="zh-CN" w:bidi="ar-SA"/>
              </w:rPr>
              <w:t>服务质量进行验收。</w:t>
            </w:r>
          </w:p>
          <w:p w14:paraId="263737D3">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b w:val="0"/>
                <w:bCs w:val="0"/>
                <w:i w:val="0"/>
                <w:color w:val="auto"/>
                <w:kern w:val="0"/>
                <w:sz w:val="27"/>
                <w:szCs w:val="27"/>
                <w:highlight w:val="none"/>
                <w:u w:val="none" w:color="auto"/>
                <w:lang w:val="en-US"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4、验收内容：验收内容包括每一项技术要求的履约情况。</w:t>
            </w:r>
          </w:p>
          <w:p w14:paraId="25677B9B">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b w:val="0"/>
                <w:bCs w:val="0"/>
                <w:i w:val="0"/>
                <w:color w:val="auto"/>
                <w:kern w:val="0"/>
                <w:sz w:val="27"/>
                <w:szCs w:val="27"/>
                <w:highlight w:val="none"/>
                <w:u w:val="none" w:color="auto"/>
                <w:lang w:val="en-US"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5、验收标准：采购人根据采购项目需求包括的每一项技术要求的履约情况进行验收，成交供应商履约事项全部符合采购项目需求及采购合同约定的事项，视为验收合格。</w:t>
            </w:r>
          </w:p>
          <w:p w14:paraId="6A3E55D2">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val="0"/>
                <w:bCs w:val="0"/>
                <w:i w:val="0"/>
                <w:color w:val="auto"/>
                <w:kern w:val="0"/>
                <w:sz w:val="27"/>
                <w:szCs w:val="27"/>
                <w:highlight w:val="none"/>
                <w:u w:val="none" w:color="auto"/>
                <w:lang w:val="zh-CN" w:eastAsia="zh-CN" w:bidi="ar-SA"/>
              </w:rPr>
            </w:pPr>
            <w:r>
              <w:rPr>
                <w:rFonts w:hint="default" w:ascii="宋体" w:hAnsi="宋体" w:eastAsia="宋体" w:cs="宋体"/>
                <w:b w:val="0"/>
                <w:bCs w:val="0"/>
                <w:i w:val="0"/>
                <w:color w:val="auto"/>
                <w:kern w:val="0"/>
                <w:sz w:val="27"/>
                <w:szCs w:val="27"/>
                <w:highlight w:val="none"/>
                <w:u w:val="none" w:color="auto"/>
                <w:lang w:val="en-US" w:eastAsia="zh-CN" w:bidi="ar-SA"/>
              </w:rPr>
              <w:t>6、验收程序：①成交供应商按照采购需求规定的技术要求和商务要求完成服务后向采购人提出项目验收建议，采购人在收到供应商项目验收建议之日起7个工作日内对采购项目进行实质性验收。②采购人自行组织人员进行验收。③采购人根据采购项目需求包括的每一项技术要求的履约情况进行验收，成交供应商履约事项全部符合采购项目需求及采购合同约定的事项，视为验收合格。④所有参与验收的人员应当签字表示对验收结果负责。</w:t>
            </w:r>
          </w:p>
        </w:tc>
      </w:tr>
      <w:tr w14:paraId="5ABD5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 w:type="dxa"/>
            <w:noWrap w:val="0"/>
            <w:vAlign w:val="center"/>
          </w:tcPr>
          <w:p w14:paraId="63B815E3">
            <w:pPr>
              <w:keepNext w:val="0"/>
              <w:keepLines w:val="0"/>
              <w:pageBreakBefore w:val="0"/>
              <w:tabs>
                <w:tab w:val="center" w:pos="437"/>
                <w:tab w:val="left" w:pos="581"/>
              </w:tabs>
              <w:kinsoku/>
              <w:wordWrap/>
              <w:overflowPunct/>
              <w:topLinePunct w:val="0"/>
              <w:autoSpaceDE w:val="0"/>
              <w:autoSpaceDN w:val="0"/>
              <w:bidi w:val="0"/>
              <w:adjustRightInd/>
              <w:snapToGrid/>
              <w:spacing w:line="500" w:lineRule="exact"/>
              <w:jc w:val="left"/>
              <w:textAlignment w:val="auto"/>
              <w:rPr>
                <w:rFonts w:hint="default" w:ascii="宋体" w:hAnsi="宋体" w:eastAsia="宋体" w:cs="宋体"/>
                <w:b/>
                <w:color w:val="auto"/>
                <w:sz w:val="27"/>
                <w:szCs w:val="27"/>
                <w:highlight w:val="none"/>
                <w:lang w:val="en-US" w:eastAsia="zh-CN"/>
              </w:rPr>
            </w:pPr>
            <w:r>
              <w:rPr>
                <w:rFonts w:hint="eastAsia" w:ascii="宋体" w:hAnsi="宋体" w:eastAsia="宋体" w:cs="宋体"/>
                <w:b/>
                <w:color w:val="auto"/>
                <w:sz w:val="27"/>
                <w:szCs w:val="27"/>
                <w:highlight w:val="none"/>
                <w:lang w:val="en-US" w:eastAsia="zh-CN"/>
              </w:rPr>
              <w:tab/>
            </w:r>
            <w:r>
              <w:rPr>
                <w:rFonts w:hint="eastAsia" w:ascii="宋体" w:hAnsi="宋体" w:eastAsia="宋体" w:cs="宋体"/>
                <w:b/>
                <w:color w:val="auto"/>
                <w:sz w:val="27"/>
                <w:szCs w:val="27"/>
                <w:highlight w:val="none"/>
                <w:lang w:val="en-US" w:eastAsia="zh-CN"/>
              </w:rPr>
              <w:t>7</w:t>
            </w:r>
          </w:p>
        </w:tc>
        <w:tc>
          <w:tcPr>
            <w:tcW w:w="2164" w:type="dxa"/>
            <w:noWrap w:val="0"/>
            <w:vAlign w:val="center"/>
          </w:tcPr>
          <w:p w14:paraId="421E1C25">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color w:val="auto"/>
                <w:sz w:val="27"/>
                <w:szCs w:val="27"/>
                <w:highlight w:val="none"/>
                <w:lang w:val="en-US" w:eastAsia="zh-CN"/>
              </w:rPr>
              <w:t>其他要求</w:t>
            </w:r>
          </w:p>
        </w:tc>
        <w:tc>
          <w:tcPr>
            <w:tcW w:w="6547" w:type="dxa"/>
            <w:noWrap w:val="0"/>
            <w:vAlign w:val="top"/>
          </w:tcPr>
          <w:p w14:paraId="11A1C302">
            <w:pPr>
              <w:keepNext w:val="0"/>
              <w:keepLines w:val="0"/>
              <w:pageBreakBefore w:val="0"/>
              <w:kinsoku/>
              <w:wordWrap/>
              <w:overflowPunct/>
              <w:topLinePunct w:val="0"/>
              <w:autoSpaceDE w:val="0"/>
              <w:autoSpaceDN w:val="0"/>
              <w:bidi w:val="0"/>
              <w:adjustRightInd/>
              <w:snapToGrid/>
              <w:spacing w:line="500" w:lineRule="exact"/>
              <w:textAlignment w:val="auto"/>
              <w:rPr>
                <w:rFonts w:hint="default" w:ascii="宋体" w:hAnsi="宋体" w:eastAsia="宋体" w:cs="宋体"/>
                <w:color w:val="auto"/>
                <w:sz w:val="27"/>
                <w:szCs w:val="27"/>
                <w:highlight w:val="none"/>
                <w:lang w:val="en-US" w:eastAsia="zh-CN"/>
              </w:rPr>
            </w:pPr>
            <w:r>
              <w:rPr>
                <w:rFonts w:hint="eastAsia" w:ascii="宋体" w:hAnsi="宋体" w:eastAsia="宋体" w:cs="宋体"/>
                <w:color w:val="auto"/>
                <w:sz w:val="27"/>
                <w:szCs w:val="27"/>
                <w:highlight w:val="none"/>
              </w:rPr>
              <w:t>本</w:t>
            </w:r>
            <w:r>
              <w:rPr>
                <w:rFonts w:hint="eastAsia" w:ascii="宋体" w:hAnsi="宋体" w:eastAsia="宋体" w:cs="宋体"/>
                <w:color w:val="auto"/>
                <w:sz w:val="27"/>
                <w:szCs w:val="27"/>
                <w:highlight w:val="none"/>
                <w:lang w:val="en-US" w:eastAsia="zh-CN"/>
              </w:rPr>
              <w:t>品目不允许分包。</w:t>
            </w:r>
          </w:p>
        </w:tc>
      </w:tr>
    </w:tbl>
    <w:p w14:paraId="760C5233">
      <w:pPr>
        <w:pageBreakBefore w:val="0"/>
        <w:widowControl w:val="0"/>
        <w:wordWrap/>
        <w:overflowPunct/>
        <w:topLinePunct w:val="0"/>
        <w:bidi w:val="0"/>
        <w:spacing w:line="249" w:lineRule="auto"/>
        <w:rPr>
          <w:color w:val="auto"/>
          <w:highlight w:val="none"/>
          <w:lang w:eastAsia="zh-CN"/>
        </w:rPr>
      </w:pPr>
    </w:p>
    <w:p w14:paraId="72CCA2AF">
      <w:pPr>
        <w:keepNext w:val="0"/>
        <w:keepLines w:val="0"/>
        <w:pageBreakBefore w:val="0"/>
        <w:widowControl/>
        <w:kinsoku/>
        <w:wordWrap/>
        <w:overflowPunct/>
        <w:topLinePunct w:val="0"/>
        <w:bidi w:val="0"/>
        <w:snapToGrid/>
        <w:spacing w:line="500" w:lineRule="exact"/>
        <w:jc w:val="left"/>
        <w:textAlignment w:val="auto"/>
        <w:rPr>
          <w:rFonts w:hint="eastAsia" w:ascii="宋体" w:hAnsi="宋体" w:eastAsia="宋体" w:cs="宋体"/>
          <w:b/>
          <w:sz w:val="27"/>
          <w:szCs w:val="27"/>
          <w:highlight w:val="none"/>
          <w:lang w:eastAsia="zh-CN"/>
        </w:rPr>
      </w:pPr>
      <w:r>
        <w:rPr>
          <w:rFonts w:hint="eastAsia" w:ascii="宋体" w:hAnsi="宋体" w:eastAsia="宋体" w:cs="宋体"/>
          <w:b/>
          <w:bCs/>
          <w:color w:val="000000"/>
          <w:kern w:val="0"/>
          <w:sz w:val="27"/>
          <w:szCs w:val="27"/>
          <w:highlight w:val="none"/>
          <w:lang w:val="en-US" w:eastAsia="zh-CN" w:bidi="ar-SA"/>
        </w:rPr>
        <w:t>注：采购要求的技术要求及商务要求为实质性要求，必须完全满足或优于，否则响应无效。</w:t>
      </w:r>
    </w:p>
    <w:p w14:paraId="46BA1275">
      <w:pPr>
        <w:pStyle w:val="2"/>
        <w:rPr>
          <w:color w:val="auto"/>
          <w:highlight w:val="none"/>
          <w:lang w:eastAsia="zh-CN"/>
        </w:rPr>
      </w:pPr>
    </w:p>
    <w:p w14:paraId="7EE5EBFD">
      <w:pPr>
        <w:pageBreakBefore w:val="0"/>
        <w:widowControl w:val="0"/>
        <w:wordWrap/>
        <w:overflowPunct/>
        <w:topLinePunct w:val="0"/>
        <w:bidi w:val="0"/>
        <w:spacing w:line="283" w:lineRule="auto"/>
        <w:rPr>
          <w:color w:val="auto"/>
          <w:highlight w:val="none"/>
          <w:lang w:eastAsia="zh-CN"/>
        </w:rPr>
      </w:pPr>
    </w:p>
    <w:p w14:paraId="3CB2DD1C">
      <w:pPr>
        <w:pageBreakBefore w:val="0"/>
        <w:widowControl w:val="0"/>
        <w:wordWrap/>
        <w:overflowPunct/>
        <w:topLinePunct w:val="0"/>
        <w:bidi w:val="0"/>
        <w:spacing w:line="283" w:lineRule="auto"/>
        <w:rPr>
          <w:color w:val="auto"/>
          <w:highlight w:val="none"/>
          <w:lang w:eastAsia="zh-CN"/>
        </w:rPr>
      </w:pPr>
    </w:p>
    <w:p w14:paraId="0CEA72F5">
      <w:pPr>
        <w:pageBreakBefore w:val="0"/>
        <w:widowControl w:val="0"/>
        <w:wordWrap/>
        <w:overflowPunct/>
        <w:topLinePunct w:val="0"/>
        <w:bidi w:val="0"/>
        <w:spacing w:line="283" w:lineRule="auto"/>
        <w:rPr>
          <w:color w:val="auto"/>
          <w:highlight w:val="none"/>
          <w:lang w:eastAsia="zh-CN"/>
        </w:rPr>
      </w:pPr>
    </w:p>
    <w:p w14:paraId="1D09CF3B">
      <w:pPr>
        <w:pageBreakBefore w:val="0"/>
        <w:widowControl w:val="0"/>
        <w:wordWrap/>
        <w:overflowPunct/>
        <w:topLinePunct w:val="0"/>
        <w:bidi w:val="0"/>
        <w:spacing w:line="283" w:lineRule="auto"/>
        <w:rPr>
          <w:color w:val="auto"/>
          <w:highlight w:val="none"/>
          <w:lang w:eastAsia="zh-CN"/>
        </w:rPr>
      </w:pPr>
    </w:p>
    <w:p w14:paraId="452AB6E6">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提示：</w:t>
      </w:r>
      <w:r>
        <w:rPr>
          <w:rFonts w:ascii="宋体" w:hAnsi="宋体" w:eastAsia="宋体" w:cs="宋体"/>
          <w:color w:val="auto"/>
          <w:spacing w:val="-1"/>
          <w:sz w:val="24"/>
          <w:szCs w:val="24"/>
          <w:highlight w:val="none"/>
          <w:lang w:eastAsia="zh-CN"/>
        </w:rPr>
        <w:t>采购需求应当完整、明确，包括以下内容：</w:t>
      </w:r>
    </w:p>
    <w:p w14:paraId="704270AC">
      <w:pPr>
        <w:pageBreakBefore w:val="0"/>
        <w:widowControl w:val="0"/>
        <w:wordWrap/>
        <w:overflowPunct/>
        <w:topLinePunct w:val="0"/>
        <w:bidi w:val="0"/>
        <w:spacing w:before="183" w:line="360" w:lineRule="auto"/>
        <w:ind w:right="10"/>
        <w:jc w:val="left"/>
        <w:rPr>
          <w:rFonts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（一）采购标的需实现的功能或者目标，以及为落实政府采购政策需满足的要求；</w:t>
      </w:r>
    </w:p>
    <w:p w14:paraId="0B0A2107">
      <w:pPr>
        <w:pageBreakBefore w:val="0"/>
        <w:widowControl w:val="0"/>
        <w:wordWrap/>
        <w:overflowPunct/>
        <w:topLinePunct w:val="0"/>
        <w:bidi w:val="0"/>
        <w:spacing w:before="1"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（二）采购标的需执行的国家相关标准、行业标准、地方标准或者其他标准、规范；</w:t>
      </w:r>
    </w:p>
    <w:p w14:paraId="1588B1CA">
      <w:pPr>
        <w:pageBreakBefore w:val="0"/>
        <w:widowControl w:val="0"/>
        <w:wordWrap/>
        <w:overflowPunct/>
        <w:topLinePunct w:val="0"/>
        <w:bidi w:val="0"/>
        <w:spacing w:before="181"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（三）采购标的需满足的质量、安全、技术规格、物理特性等要求；</w:t>
      </w:r>
    </w:p>
    <w:p w14:paraId="373D321E">
      <w:pPr>
        <w:pageBreakBefore w:val="0"/>
        <w:widowControl w:val="0"/>
        <w:wordWrap/>
        <w:overflowPunct/>
        <w:topLinePunct w:val="0"/>
        <w:bidi w:val="0"/>
        <w:spacing w:before="1"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（四）采购标的的数量、采购项目交付或者实施的时间和地点；</w:t>
      </w:r>
    </w:p>
    <w:p w14:paraId="2828FA6F">
      <w:pPr>
        <w:pageBreakBefore w:val="0"/>
        <w:widowControl w:val="0"/>
        <w:wordWrap/>
        <w:overflowPunct/>
        <w:topLinePunct w:val="0"/>
        <w:bidi w:val="0"/>
        <w:spacing w:before="182"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（五）采购标的需满足的服务标准、期限、效率等要求；</w:t>
      </w:r>
    </w:p>
    <w:p w14:paraId="2E875D53">
      <w:pPr>
        <w:pageBreakBefore w:val="0"/>
        <w:widowControl w:val="0"/>
        <w:wordWrap/>
        <w:overflowPunct/>
        <w:topLinePunct w:val="0"/>
        <w:bidi w:val="0"/>
        <w:spacing w:before="1"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（六）采购标的的验收标准；</w:t>
      </w:r>
    </w:p>
    <w:p w14:paraId="7F15F7AE">
      <w:pPr>
        <w:pageBreakBefore w:val="0"/>
        <w:widowControl w:val="0"/>
        <w:wordWrap/>
        <w:overflowPunct/>
        <w:topLinePunct w:val="0"/>
        <w:bidi w:val="0"/>
        <w:spacing w:before="183" w:line="360" w:lineRule="auto"/>
        <w:jc w:val="left"/>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（七）采购标的的其他技术、服务等要求。</w:t>
      </w:r>
    </w:p>
    <w:p w14:paraId="7CF4869A">
      <w:pPr>
        <w:pageBreakBefore w:val="0"/>
        <w:widowControl w:val="0"/>
        <w:wordWrap/>
        <w:overflowPunct/>
        <w:topLinePunct w:val="0"/>
        <w:bidi w:val="0"/>
        <w:spacing w:before="185" w:line="360" w:lineRule="auto"/>
        <w:ind w:left="480"/>
        <w:outlineLvl w:val="0"/>
        <w:rPr>
          <w:rFonts w:ascii="宋体" w:hAnsi="宋体" w:eastAsia="宋体" w:cs="宋体"/>
          <w:color w:val="auto"/>
          <w:spacing w:val="-1"/>
          <w:sz w:val="24"/>
          <w:szCs w:val="24"/>
          <w:highlight w:val="none"/>
          <w:lang w:eastAsia="zh-CN"/>
        </w:rPr>
      </w:pPr>
      <w:bookmarkStart w:id="0" w:name="_Toc23071"/>
      <w:r>
        <w:rPr>
          <w:rFonts w:ascii="宋体" w:hAnsi="宋体" w:eastAsia="宋体" w:cs="宋体"/>
          <w:color w:val="auto"/>
          <w:spacing w:val="-1"/>
          <w:sz w:val="24"/>
          <w:szCs w:val="24"/>
          <w:highlight w:val="none"/>
          <w:lang w:eastAsia="zh-CN"/>
        </w:rPr>
        <w:t>（明确对中小企业在资金支付期限、预付款比例等方面的优惠措施）</w:t>
      </w:r>
      <w:bookmarkEnd w:id="0"/>
      <w:bookmarkStart w:id="1" w:name="bookmark82"/>
      <w:bookmarkEnd w:id="1"/>
    </w:p>
    <w:p w14:paraId="46D170E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339F5C"/>
    <w:multiLevelType w:val="multilevel"/>
    <w:tmpl w:val="91339F5C"/>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
    <w:nsid w:val="B73E7554"/>
    <w:multiLevelType w:val="singleLevel"/>
    <w:tmpl w:val="B73E7554"/>
    <w:lvl w:ilvl="0" w:tentative="0">
      <w:start w:val="1"/>
      <w:numFmt w:val="chineseCounting"/>
      <w:suff w:val="nothing"/>
      <w:lvlText w:val="%1、"/>
      <w:lvlJc w:val="left"/>
      <w:rPr>
        <w:rFonts w:hint="eastAsia"/>
      </w:rPr>
    </w:lvl>
  </w:abstractNum>
  <w:abstractNum w:abstractNumId="2">
    <w:nsid w:val="D682C2AE"/>
    <w:multiLevelType w:val="multilevel"/>
    <w:tmpl w:val="D682C2AE"/>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3">
    <w:nsid w:val="EA5C734C"/>
    <w:multiLevelType w:val="multilevel"/>
    <w:tmpl w:val="EA5C734C"/>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4">
    <w:nsid w:val="06D44A22"/>
    <w:multiLevelType w:val="multilevel"/>
    <w:tmpl w:val="06D44A22"/>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5">
    <w:nsid w:val="26A57CF1"/>
    <w:multiLevelType w:val="multilevel"/>
    <w:tmpl w:val="26A57CF1"/>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6">
    <w:nsid w:val="3FD39D70"/>
    <w:multiLevelType w:val="multilevel"/>
    <w:tmpl w:val="3FD39D70"/>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7">
    <w:nsid w:val="425F5111"/>
    <w:multiLevelType w:val="multilevel"/>
    <w:tmpl w:val="425F5111"/>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8">
    <w:nsid w:val="5D3687CD"/>
    <w:multiLevelType w:val="multilevel"/>
    <w:tmpl w:val="5D3687CD"/>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9">
    <w:nsid w:val="669C9699"/>
    <w:multiLevelType w:val="multilevel"/>
    <w:tmpl w:val="669C9699"/>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0">
    <w:nsid w:val="6CC3675F"/>
    <w:multiLevelType w:val="multilevel"/>
    <w:tmpl w:val="6CC3675F"/>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num w:numId="1">
    <w:abstractNumId w:val="1"/>
  </w:num>
  <w:num w:numId="2">
    <w:abstractNumId w:val="2"/>
  </w:num>
  <w:num w:numId="3">
    <w:abstractNumId w:val="6"/>
  </w:num>
  <w:num w:numId="4">
    <w:abstractNumId w:val="9"/>
  </w:num>
  <w:num w:numId="5">
    <w:abstractNumId w:val="10"/>
  </w:num>
  <w:num w:numId="6">
    <w:abstractNumId w:val="7"/>
  </w:num>
  <w:num w:numId="7">
    <w:abstractNumId w:val="8"/>
  </w:num>
  <w:num w:numId="8">
    <w:abstractNumId w:val="3"/>
  </w:num>
  <w:num w:numId="9">
    <w:abstractNumId w:val="0"/>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A21C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2026-07-03T07:41:24Z</dcterms:created>
  <dc:creator>Administrator</dc:creator>
  <cp:lastModifiedBy>Administrator</cp:lastModifiedBy>
  <dcterms:modified xsi:type="dcterms:W3CDTF">2026-07-03T07:42:14Z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eyJoZGlkIjoiMjc1YjRhYjJhNGQwZTdiNzdmNmJmZTQ0NGE0MmI4OTUiLCJ1c2VySWQiOiI0MDk2ODMyODcifQ==</vt:lpwstr>
  </property>
  <property fmtid="{D5CDD505-2E9C-101B-9397-08002B2CF9AE}" pid="4" name="ICV">
    <vt:lpwstr>E7AD91AB951E455EA518410FE6BB0BEF_12</vt:lpwstr>
  </property>
</Properties>
</file>