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C3AA64">
      <w:pPr>
        <w:pStyle w:val="8"/>
        <w:keepNext w:val="0"/>
        <w:keepLines w:val="0"/>
        <w:pageBreakBefore w:val="0"/>
        <w:widowControl/>
        <w:tabs>
          <w:tab w:val="right" w:leader="dot" w:pos="9071"/>
        </w:tabs>
        <w:kinsoku/>
        <w:wordWrap/>
        <w:overflowPunct/>
        <w:topLinePunct w:val="0"/>
        <w:autoSpaceDE/>
        <w:autoSpaceDN/>
        <w:bidi w:val="0"/>
        <w:adjustRightInd/>
        <w:snapToGrid/>
        <w:spacing w:line="360" w:lineRule="auto"/>
        <w:ind w:left="0" w:leftChars="0"/>
        <w:jc w:val="center"/>
        <w:textAlignment w:val="auto"/>
        <w:rPr>
          <w:rFonts w:ascii="宋体" w:hAnsi="宋体" w:eastAsia="宋体" w:cs="宋体"/>
          <w:color w:val="auto"/>
          <w:sz w:val="30"/>
          <w:szCs w:val="30"/>
          <w:highlight w:val="none"/>
        </w:rPr>
      </w:pPr>
      <w:r>
        <w:rPr>
          <w:color w:val="auto"/>
          <w:sz w:val="30"/>
          <w:szCs w:val="30"/>
          <w:highlight w:val="none"/>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0" t="0" r="11430" b="1905"/>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bookmarkStart w:id="10" w:name="_GoBack"/>
      <w:r>
        <w:rPr>
          <w:color w:val="auto"/>
          <w:sz w:val="30"/>
          <w:szCs w:val="30"/>
          <w:highlight w:val="none"/>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0" t="0" r="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bookmarkEnd w:id="10"/>
      <w:r>
        <w:rPr>
          <w:rFonts w:ascii="宋体" w:hAnsi="宋体" w:eastAsia="宋体" w:cs="宋体"/>
          <w:color w:val="auto"/>
          <w:spacing w:val="8"/>
          <w:sz w:val="30"/>
          <w:szCs w:val="30"/>
          <w:highlight w:val="none"/>
          <w14:textOutline w14:w="5791" w14:cap="sq" w14:cmpd="sng" w14:algn="ctr">
            <w14:solidFill>
              <w14:srgbClr w14:val="000000"/>
            </w14:solidFill>
            <w14:prstDash w14:val="solid"/>
            <w14:bevel/>
          </w14:textOutline>
        </w:rPr>
        <w:t>第一章</w:t>
      </w:r>
      <w:r>
        <w:rPr>
          <w:rFonts w:ascii="宋体" w:hAnsi="宋体" w:eastAsia="宋体" w:cs="宋体"/>
          <w:color w:val="auto"/>
          <w:spacing w:val="8"/>
          <w:sz w:val="30"/>
          <w:szCs w:val="30"/>
          <w:highlight w:val="none"/>
        </w:rPr>
        <w:t xml:space="preserve">  </w:t>
      </w:r>
      <w:r>
        <w:rPr>
          <w:rFonts w:hint="eastAsia" w:ascii="宋体" w:hAnsi="宋体" w:eastAsia="宋体" w:cs="宋体"/>
          <w:color w:val="auto"/>
          <w:spacing w:val="8"/>
          <w:sz w:val="30"/>
          <w:szCs w:val="30"/>
          <w:highlight w:val="none"/>
          <w:lang w:val="en-US" w:eastAsia="zh-CN"/>
          <w14:textOutline w14:w="5791" w14:cap="sq" w14:cmpd="sng" w14:algn="ctr">
            <w14:solidFill>
              <w14:srgbClr w14:val="000000"/>
            </w14:solidFill>
            <w14:prstDash w14:val="solid"/>
            <w14:bevel/>
          </w14:textOutline>
        </w:rPr>
        <w:t>谈判</w:t>
      </w:r>
      <w:r>
        <w:rPr>
          <w:rFonts w:ascii="宋体" w:hAnsi="宋体" w:eastAsia="宋体" w:cs="宋体"/>
          <w:color w:val="auto"/>
          <w:spacing w:val="8"/>
          <w:sz w:val="30"/>
          <w:szCs w:val="30"/>
          <w:highlight w:val="none"/>
          <w14:textOutline w14:w="5791" w14:cap="sq" w14:cmpd="sng" w14:algn="ctr">
            <w14:solidFill>
              <w14:srgbClr w14:val="000000"/>
            </w14:solidFill>
            <w14:prstDash w14:val="solid"/>
            <w14:bevel/>
          </w14:textOutline>
        </w:rPr>
        <w:t>邀请</w:t>
      </w:r>
    </w:p>
    <w:p w14:paraId="55133CC3">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position w:val="0"/>
          <w:highlight w:val="none"/>
        </w:rPr>
      </w:pPr>
    </w:p>
    <w:p w14:paraId="5714BDE7">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color w:val="auto"/>
          <w:spacing w:val="0"/>
          <w:position w:val="0"/>
          <w:highlight w:val="none"/>
          <w:lang w:eastAsia="zh-CN"/>
        </w:rPr>
      </w:pPr>
      <w:r>
        <w:rPr>
          <w:rFonts w:hint="eastAsia" w:ascii="宋体" w:hAnsi="宋体" w:eastAsia="宋体" w:cs="宋体"/>
          <w:color w:val="auto"/>
          <w:spacing w:val="0"/>
          <w:kern w:val="0"/>
          <w:position w:val="0"/>
          <w:sz w:val="24"/>
          <w:szCs w:val="24"/>
          <w:highlight w:val="none"/>
          <w:u w:val="single"/>
          <w:shd w:val="clear" w:color="auto" w:fill="FFFFFF"/>
          <w:lang w:val="en-US" w:eastAsia="zh-CN"/>
        </w:rPr>
        <w:t xml:space="preserve"> 欠发达国有林场巩固提升项目一乡土树种造林苗木培育 </w:t>
      </w:r>
      <w:r>
        <w:rPr>
          <w:rFonts w:hint="eastAsia" w:ascii="宋体" w:hAnsi="宋体" w:eastAsia="宋体" w:cs="宋体"/>
          <w:color w:val="auto"/>
          <w:spacing w:val="0"/>
          <w:kern w:val="0"/>
          <w:position w:val="0"/>
          <w:sz w:val="24"/>
          <w:szCs w:val="24"/>
          <w:highlight w:val="none"/>
          <w:u w:val="none"/>
          <w:shd w:val="clear" w:color="auto" w:fill="FFFFFF"/>
          <w:lang w:val="en-US" w:eastAsia="zh-CN"/>
        </w:rPr>
        <w:t>项目</w:t>
      </w:r>
      <w:r>
        <w:rPr>
          <w:rFonts w:hint="eastAsia" w:ascii="宋体" w:hAnsi="宋体" w:eastAsia="宋体" w:cs="宋体"/>
          <w:color w:val="auto"/>
          <w:spacing w:val="0"/>
          <w:kern w:val="0"/>
          <w:position w:val="0"/>
          <w:sz w:val="24"/>
          <w:szCs w:val="24"/>
          <w:highlight w:val="none"/>
          <w:shd w:val="clear" w:color="auto" w:fill="FFFFFF"/>
        </w:rPr>
        <w:t>的</w:t>
      </w:r>
      <w:r>
        <w:rPr>
          <w:rFonts w:hint="eastAsia" w:ascii="宋体" w:hAnsi="宋体" w:eastAsia="宋体" w:cs="宋体"/>
          <w:color w:val="auto"/>
          <w:spacing w:val="0"/>
          <w:kern w:val="0"/>
          <w:position w:val="0"/>
          <w:sz w:val="24"/>
          <w:szCs w:val="24"/>
          <w:highlight w:val="none"/>
        </w:rPr>
        <w:t>潜在</w:t>
      </w:r>
      <w:r>
        <w:rPr>
          <w:rFonts w:hint="eastAsia" w:ascii="宋体" w:hAnsi="宋体" w:eastAsia="宋体" w:cs="宋体"/>
          <w:color w:val="auto"/>
          <w:spacing w:val="0"/>
          <w:kern w:val="0"/>
          <w:position w:val="0"/>
          <w:sz w:val="24"/>
          <w:szCs w:val="24"/>
          <w:highlight w:val="none"/>
          <w:lang w:eastAsia="zh-CN"/>
        </w:rPr>
        <w:t>供应商</w:t>
      </w:r>
      <w:r>
        <w:rPr>
          <w:rFonts w:hint="eastAsia" w:ascii="宋体" w:hAnsi="宋体" w:eastAsia="宋体" w:cs="宋体"/>
          <w:color w:val="auto"/>
          <w:spacing w:val="0"/>
          <w:kern w:val="0"/>
          <w:position w:val="0"/>
          <w:sz w:val="24"/>
          <w:szCs w:val="24"/>
          <w:highlight w:val="none"/>
        </w:rPr>
        <w:t>应在</w:t>
      </w:r>
      <w:r>
        <w:rPr>
          <w:rFonts w:hint="eastAsia" w:ascii="宋体" w:hAnsi="宋体" w:eastAsia="宋体" w:cs="宋体"/>
          <w:color w:val="auto"/>
          <w:spacing w:val="0"/>
          <w:kern w:val="0"/>
          <w:position w:val="0"/>
          <w:sz w:val="24"/>
          <w:szCs w:val="24"/>
          <w:highlight w:val="none"/>
          <w:u w:val="none"/>
        </w:rPr>
        <w:t>江西省公共资源交易</w:t>
      </w:r>
      <w:r>
        <w:rPr>
          <w:rFonts w:hint="eastAsia" w:ascii="宋体" w:hAnsi="宋体" w:eastAsia="宋体" w:cs="宋体"/>
          <w:color w:val="auto"/>
          <w:spacing w:val="0"/>
          <w:kern w:val="0"/>
          <w:position w:val="0"/>
          <w:sz w:val="24"/>
          <w:szCs w:val="24"/>
          <w:highlight w:val="none"/>
          <w:u w:val="none"/>
          <w:lang w:val="en-US" w:eastAsia="zh-CN"/>
        </w:rPr>
        <w:t>平台确认并</w:t>
      </w:r>
      <w:r>
        <w:rPr>
          <w:rFonts w:hint="eastAsia" w:ascii="宋体" w:hAnsi="宋体" w:eastAsia="宋体" w:cs="宋体"/>
          <w:color w:val="auto"/>
          <w:spacing w:val="0"/>
          <w:kern w:val="0"/>
          <w:position w:val="0"/>
          <w:sz w:val="24"/>
          <w:szCs w:val="24"/>
          <w:highlight w:val="none"/>
        </w:rPr>
        <w:t>获取</w:t>
      </w:r>
      <w:r>
        <w:rPr>
          <w:rFonts w:hint="eastAsia" w:ascii="宋体" w:hAnsi="宋体" w:eastAsia="宋体" w:cs="宋体"/>
          <w:color w:val="auto"/>
          <w:spacing w:val="0"/>
          <w:kern w:val="0"/>
          <w:position w:val="0"/>
          <w:sz w:val="24"/>
          <w:szCs w:val="24"/>
          <w:highlight w:val="none"/>
          <w:lang w:eastAsia="zh-CN"/>
        </w:rPr>
        <w:t>谈判文件</w:t>
      </w:r>
      <w:r>
        <w:rPr>
          <w:rFonts w:hint="eastAsia" w:ascii="宋体" w:hAnsi="宋体" w:eastAsia="宋体" w:cs="宋体"/>
          <w:color w:val="auto"/>
          <w:spacing w:val="0"/>
          <w:kern w:val="0"/>
          <w:position w:val="0"/>
          <w:sz w:val="24"/>
          <w:szCs w:val="24"/>
          <w:highlight w:val="none"/>
        </w:rPr>
        <w:t>，并于</w:t>
      </w:r>
      <w:r>
        <w:rPr>
          <w:rFonts w:hint="eastAsia" w:ascii="宋体" w:hAnsi="宋体" w:eastAsia="宋体" w:cs="宋体"/>
          <w:color w:val="auto"/>
          <w:spacing w:val="0"/>
          <w:kern w:val="0"/>
          <w:position w:val="0"/>
          <w:sz w:val="24"/>
          <w:szCs w:val="24"/>
          <w:highlight w:val="none"/>
          <w:u w:val="single"/>
          <w:lang w:val="en-US" w:eastAsia="zh-CN"/>
        </w:rPr>
        <w:t xml:space="preserve"> 2026 </w:t>
      </w:r>
      <w:r>
        <w:rPr>
          <w:rFonts w:hint="eastAsia" w:ascii="宋体" w:hAnsi="宋体" w:eastAsia="宋体" w:cs="宋体"/>
          <w:color w:val="auto"/>
          <w:spacing w:val="0"/>
          <w:kern w:val="0"/>
          <w:position w:val="0"/>
          <w:sz w:val="24"/>
          <w:szCs w:val="24"/>
          <w:highlight w:val="none"/>
        </w:rPr>
        <w:t>年</w:t>
      </w:r>
      <w:r>
        <w:rPr>
          <w:rFonts w:hint="eastAsia" w:ascii="宋体" w:hAnsi="宋体" w:eastAsia="宋体" w:cs="宋体"/>
          <w:color w:val="auto"/>
          <w:spacing w:val="0"/>
          <w:kern w:val="0"/>
          <w:position w:val="0"/>
          <w:sz w:val="24"/>
          <w:szCs w:val="24"/>
          <w:highlight w:val="none"/>
          <w:u w:val="single"/>
          <w:lang w:val="en-US" w:eastAsia="zh-CN"/>
        </w:rPr>
        <w:t xml:space="preserve"> 7 </w:t>
      </w:r>
      <w:r>
        <w:rPr>
          <w:rFonts w:hint="eastAsia" w:ascii="宋体" w:hAnsi="宋体" w:eastAsia="宋体" w:cs="宋体"/>
          <w:color w:val="auto"/>
          <w:spacing w:val="0"/>
          <w:kern w:val="0"/>
          <w:position w:val="0"/>
          <w:sz w:val="24"/>
          <w:szCs w:val="24"/>
          <w:highlight w:val="none"/>
        </w:rPr>
        <w:t>月</w:t>
      </w:r>
      <w:r>
        <w:rPr>
          <w:rFonts w:hint="eastAsia" w:ascii="宋体" w:hAnsi="宋体" w:eastAsia="宋体" w:cs="宋体"/>
          <w:color w:val="auto"/>
          <w:spacing w:val="0"/>
          <w:kern w:val="0"/>
          <w:position w:val="0"/>
          <w:sz w:val="24"/>
          <w:szCs w:val="24"/>
          <w:highlight w:val="none"/>
          <w:u w:val="single"/>
          <w:lang w:val="en-US" w:eastAsia="zh-CN"/>
        </w:rPr>
        <w:t xml:space="preserve"> 14 </w:t>
      </w:r>
      <w:r>
        <w:rPr>
          <w:rFonts w:hint="eastAsia" w:ascii="宋体" w:hAnsi="宋体" w:eastAsia="宋体" w:cs="宋体"/>
          <w:color w:val="auto"/>
          <w:spacing w:val="0"/>
          <w:kern w:val="0"/>
          <w:position w:val="0"/>
          <w:sz w:val="24"/>
          <w:szCs w:val="24"/>
          <w:highlight w:val="none"/>
        </w:rPr>
        <w:t>日</w:t>
      </w:r>
      <w:r>
        <w:rPr>
          <w:rFonts w:hint="eastAsia" w:ascii="宋体" w:hAnsi="宋体" w:eastAsia="宋体" w:cs="宋体"/>
          <w:color w:val="auto"/>
          <w:spacing w:val="0"/>
          <w:kern w:val="0"/>
          <w:position w:val="0"/>
          <w:sz w:val="24"/>
          <w:szCs w:val="24"/>
          <w:highlight w:val="none"/>
          <w:u w:val="single"/>
          <w:lang w:val="en-US" w:eastAsia="zh-CN"/>
        </w:rPr>
        <w:t xml:space="preserve"> 9 </w:t>
      </w:r>
      <w:r>
        <w:rPr>
          <w:rFonts w:hint="eastAsia" w:ascii="宋体" w:hAnsi="宋体" w:eastAsia="宋体" w:cs="宋体"/>
          <w:color w:val="auto"/>
          <w:spacing w:val="0"/>
          <w:kern w:val="0"/>
          <w:position w:val="0"/>
          <w:sz w:val="24"/>
          <w:szCs w:val="24"/>
          <w:highlight w:val="none"/>
        </w:rPr>
        <w:t>点</w:t>
      </w:r>
      <w:r>
        <w:rPr>
          <w:rFonts w:hint="eastAsia" w:ascii="宋体" w:hAnsi="宋体" w:eastAsia="宋体" w:cs="宋体"/>
          <w:color w:val="auto"/>
          <w:spacing w:val="0"/>
          <w:kern w:val="0"/>
          <w:position w:val="0"/>
          <w:sz w:val="24"/>
          <w:szCs w:val="24"/>
          <w:highlight w:val="none"/>
          <w:u w:val="single"/>
          <w:lang w:val="en-US" w:eastAsia="zh-CN"/>
        </w:rPr>
        <w:t xml:space="preserve"> 30 </w:t>
      </w:r>
      <w:r>
        <w:rPr>
          <w:rFonts w:hint="eastAsia" w:ascii="宋体" w:hAnsi="宋体" w:eastAsia="宋体" w:cs="宋体"/>
          <w:color w:val="auto"/>
          <w:spacing w:val="0"/>
          <w:kern w:val="0"/>
          <w:position w:val="0"/>
          <w:sz w:val="24"/>
          <w:szCs w:val="24"/>
          <w:highlight w:val="none"/>
        </w:rPr>
        <w:t>分（北京时间）前递交</w:t>
      </w:r>
      <w:r>
        <w:rPr>
          <w:rFonts w:hint="eastAsia" w:ascii="宋体" w:hAnsi="宋体" w:eastAsia="宋体" w:cs="宋体"/>
          <w:color w:val="auto"/>
          <w:spacing w:val="0"/>
          <w:kern w:val="0"/>
          <w:position w:val="0"/>
          <w:sz w:val="24"/>
          <w:szCs w:val="24"/>
          <w:highlight w:val="none"/>
          <w:lang w:eastAsia="zh-CN"/>
        </w:rPr>
        <w:t>响应文件</w:t>
      </w:r>
      <w:r>
        <w:rPr>
          <w:rFonts w:hint="eastAsia" w:ascii="宋体" w:hAnsi="宋体" w:eastAsia="宋体" w:cs="宋体"/>
          <w:color w:val="auto"/>
          <w:spacing w:val="0"/>
          <w:kern w:val="0"/>
          <w:position w:val="0"/>
          <w:sz w:val="24"/>
          <w:szCs w:val="24"/>
          <w:highlight w:val="none"/>
        </w:rPr>
        <w:t>。</w:t>
      </w:r>
    </w:p>
    <w:p w14:paraId="44AB1DCF">
      <w:pPr>
        <w:keepNext w:val="0"/>
        <w:keepLines w:val="0"/>
        <w:pageBreakBefore w:val="0"/>
        <w:widowControl w:val="0"/>
        <w:kinsoku w:val="0"/>
        <w:wordWrap/>
        <w:overflowPunct/>
        <w:topLinePunct w:val="0"/>
        <w:autoSpaceDE w:val="0"/>
        <w:autoSpaceDN w:val="0"/>
        <w:bidi w:val="0"/>
        <w:adjustRightInd w:val="0"/>
        <w:snapToGrid w:val="0"/>
        <w:spacing w:line="360" w:lineRule="auto"/>
        <w:ind w:left="107"/>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0" w:name="_Toc8055"/>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一、项目基本情况</w:t>
      </w:r>
      <w:bookmarkEnd w:id="0"/>
    </w:p>
    <w:p w14:paraId="44289801">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项目编号：</w:t>
      </w:r>
      <w:r>
        <w:rPr>
          <w:rFonts w:hint="eastAsia" w:ascii="宋体" w:hAnsi="宋体" w:eastAsia="宋体" w:cs="宋体"/>
          <w:color w:val="auto"/>
          <w:spacing w:val="0"/>
          <w:position w:val="0"/>
          <w:sz w:val="24"/>
          <w:szCs w:val="24"/>
          <w:highlight w:val="none"/>
          <w:u w:val="single"/>
          <w:lang w:val="en-US" w:eastAsia="zh-CN"/>
        </w:rPr>
        <w:t xml:space="preserve"> JXYH-2026-CG003 </w:t>
      </w:r>
    </w:p>
    <w:p w14:paraId="75638BB8">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项目名称：</w:t>
      </w:r>
      <w:r>
        <w:rPr>
          <w:rFonts w:hint="eastAsia" w:ascii="宋体" w:hAnsi="宋体" w:eastAsia="宋体" w:cs="宋体"/>
          <w:color w:val="auto"/>
          <w:spacing w:val="0"/>
          <w:position w:val="0"/>
          <w:sz w:val="24"/>
          <w:szCs w:val="24"/>
          <w:highlight w:val="none"/>
          <w:u w:val="single"/>
          <w:lang w:val="en-US" w:eastAsia="zh-CN"/>
        </w:rPr>
        <w:t xml:space="preserve"> 欠发达国有林场巩固提升项目一乡土树种造林苗木培育 </w:t>
      </w:r>
    </w:p>
    <w:p w14:paraId="113A581C">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预算金额： </w:t>
      </w:r>
      <w:r>
        <w:rPr>
          <w:rFonts w:hint="eastAsia" w:ascii="宋体" w:hAnsi="宋体" w:eastAsia="宋体" w:cs="宋体"/>
          <w:color w:val="auto"/>
          <w:spacing w:val="0"/>
          <w:position w:val="0"/>
          <w:sz w:val="24"/>
          <w:szCs w:val="24"/>
          <w:highlight w:val="none"/>
          <w:u w:val="single"/>
          <w:lang w:val="en-US" w:eastAsia="zh-CN"/>
        </w:rPr>
        <w:t xml:space="preserve"> 810000 </w:t>
      </w:r>
      <w:r>
        <w:rPr>
          <w:rFonts w:ascii="宋体" w:hAnsi="宋体" w:eastAsia="宋体" w:cs="宋体"/>
          <w:color w:val="auto"/>
          <w:spacing w:val="0"/>
          <w:position w:val="0"/>
          <w:sz w:val="24"/>
          <w:szCs w:val="24"/>
          <w:highlight w:val="none"/>
          <w:lang w:eastAsia="zh-CN"/>
        </w:rPr>
        <w:t>元人民币</w:t>
      </w:r>
    </w:p>
    <w:p w14:paraId="52C508B8">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最高限价（如有）： </w:t>
      </w:r>
      <w:r>
        <w:rPr>
          <w:rFonts w:hint="eastAsia" w:ascii="宋体" w:hAnsi="宋体" w:eastAsia="宋体" w:cs="宋体"/>
          <w:color w:val="auto"/>
          <w:spacing w:val="0"/>
          <w:position w:val="0"/>
          <w:sz w:val="24"/>
          <w:szCs w:val="24"/>
          <w:highlight w:val="none"/>
          <w:u w:val="single"/>
          <w:lang w:val="en-US" w:eastAsia="zh-CN"/>
        </w:rPr>
        <w:t xml:space="preserve"> 810000 </w:t>
      </w:r>
      <w:r>
        <w:rPr>
          <w:rFonts w:ascii="宋体" w:hAnsi="宋体" w:eastAsia="宋体" w:cs="宋体"/>
          <w:color w:val="auto"/>
          <w:spacing w:val="0"/>
          <w:position w:val="0"/>
          <w:sz w:val="24"/>
          <w:szCs w:val="24"/>
          <w:highlight w:val="none"/>
          <w:lang w:eastAsia="zh-CN"/>
        </w:rPr>
        <w:t>元人民币</w:t>
      </w:r>
    </w:p>
    <w:p w14:paraId="32381D8F">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color w:val="auto"/>
          <w:spacing w:val="0"/>
          <w:position w:val="0"/>
          <w:highlight w:val="none"/>
        </w:rPr>
      </w:pPr>
      <w:r>
        <w:rPr>
          <w:rFonts w:ascii="宋体" w:hAnsi="宋体" w:eastAsia="宋体" w:cs="宋体"/>
          <w:color w:val="auto"/>
          <w:spacing w:val="0"/>
          <w:position w:val="0"/>
          <w:sz w:val="24"/>
          <w:szCs w:val="24"/>
          <w:highlight w:val="none"/>
        </w:rPr>
        <w:t>采购需求：</w:t>
      </w:r>
    </w:p>
    <w:tbl>
      <w:tblPr>
        <w:tblStyle w:val="9"/>
        <w:tblpPr w:leftFromText="180" w:rightFromText="180" w:vertAnchor="text" w:horzAnchor="page" w:tblpX="1473" w:tblpY="159"/>
        <w:tblOverlap w:val="never"/>
        <w:tblW w:w="911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34"/>
        <w:gridCol w:w="2561"/>
        <w:gridCol w:w="755"/>
        <w:gridCol w:w="1002"/>
        <w:gridCol w:w="2358"/>
      </w:tblGrid>
      <w:tr w14:paraId="50999E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7" w:hRule="atLeast"/>
        </w:trPr>
        <w:tc>
          <w:tcPr>
            <w:tcW w:w="2434" w:type="dxa"/>
            <w:vAlign w:val="center"/>
          </w:tcPr>
          <w:p w14:paraId="46A89609">
            <w:pPr>
              <w:keepNext w:val="0"/>
              <w:keepLines w:val="0"/>
              <w:pageBreakBefore w:val="0"/>
              <w:widowControl w:val="0"/>
              <w:wordWrap/>
              <w:overflowPunct/>
              <w:topLinePunct w:val="0"/>
              <w:bidi w:val="0"/>
              <w:spacing w:line="360" w:lineRule="auto"/>
              <w:ind w:left="691" w:leftChars="0" w:hanging="691" w:hangingChars="288"/>
              <w:jc w:val="center"/>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采购</w:t>
            </w:r>
            <w:r>
              <w:rPr>
                <w:rFonts w:hint="eastAsia" w:ascii="宋体" w:hAnsi="宋体" w:eastAsia="宋体" w:cs="宋体"/>
                <w:color w:val="auto"/>
                <w:spacing w:val="0"/>
                <w:position w:val="0"/>
                <w:sz w:val="24"/>
                <w:szCs w:val="24"/>
                <w:highlight w:val="none"/>
                <w:lang w:val="en-US" w:eastAsia="zh-CN"/>
              </w:rPr>
              <w:t>条目</w:t>
            </w:r>
            <w:r>
              <w:rPr>
                <w:rFonts w:ascii="宋体" w:hAnsi="宋体" w:eastAsia="宋体" w:cs="宋体"/>
                <w:color w:val="auto"/>
                <w:spacing w:val="0"/>
                <w:position w:val="0"/>
                <w:sz w:val="24"/>
                <w:szCs w:val="24"/>
                <w:highlight w:val="none"/>
              </w:rPr>
              <w:t>编号</w:t>
            </w:r>
          </w:p>
        </w:tc>
        <w:tc>
          <w:tcPr>
            <w:tcW w:w="2561" w:type="dxa"/>
            <w:vAlign w:val="center"/>
          </w:tcPr>
          <w:p w14:paraId="2B3889FE">
            <w:pPr>
              <w:keepNext w:val="0"/>
              <w:keepLines w:val="0"/>
              <w:pageBreakBefore w:val="0"/>
              <w:widowControl w:val="0"/>
              <w:wordWrap/>
              <w:overflowPunct/>
              <w:topLinePunct w:val="0"/>
              <w:bidi w:val="0"/>
              <w:spacing w:line="360" w:lineRule="auto"/>
              <w:ind w:left="369" w:leftChars="0" w:hanging="369" w:hangingChars="154"/>
              <w:jc w:val="center"/>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采购</w:t>
            </w:r>
            <w:r>
              <w:rPr>
                <w:rFonts w:hint="eastAsia" w:ascii="宋体" w:hAnsi="宋体" w:eastAsia="宋体" w:cs="宋体"/>
                <w:color w:val="auto"/>
                <w:spacing w:val="0"/>
                <w:position w:val="0"/>
                <w:sz w:val="24"/>
                <w:szCs w:val="24"/>
                <w:highlight w:val="none"/>
                <w:lang w:val="en-US" w:eastAsia="zh-CN"/>
              </w:rPr>
              <w:t>条目</w:t>
            </w:r>
            <w:r>
              <w:rPr>
                <w:rFonts w:ascii="宋体" w:hAnsi="宋体" w:eastAsia="宋体" w:cs="宋体"/>
                <w:color w:val="auto"/>
                <w:spacing w:val="0"/>
                <w:position w:val="0"/>
                <w:sz w:val="24"/>
                <w:szCs w:val="24"/>
                <w:highlight w:val="none"/>
              </w:rPr>
              <w:t>名称</w:t>
            </w:r>
          </w:p>
        </w:tc>
        <w:tc>
          <w:tcPr>
            <w:tcW w:w="755" w:type="dxa"/>
            <w:vAlign w:val="center"/>
          </w:tcPr>
          <w:p w14:paraId="19F3F3EF">
            <w:pPr>
              <w:keepNext w:val="0"/>
              <w:keepLines w:val="0"/>
              <w:pageBreakBefore w:val="0"/>
              <w:widowControl w:val="0"/>
              <w:wordWrap/>
              <w:overflowPunct/>
              <w:topLinePunct w:val="0"/>
              <w:bidi w:val="0"/>
              <w:spacing w:line="360" w:lineRule="auto"/>
              <w:ind w:left="144" w:leftChars="0" w:hanging="144" w:hangingChars="60"/>
              <w:jc w:val="center"/>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数量</w:t>
            </w:r>
          </w:p>
        </w:tc>
        <w:tc>
          <w:tcPr>
            <w:tcW w:w="1002" w:type="dxa"/>
            <w:vAlign w:val="center"/>
          </w:tcPr>
          <w:p w14:paraId="18BFE30A">
            <w:pPr>
              <w:keepNext w:val="0"/>
              <w:keepLines w:val="0"/>
              <w:pageBreakBefore w:val="0"/>
              <w:widowControl w:val="0"/>
              <w:wordWrap/>
              <w:overflowPunct/>
              <w:topLinePunct w:val="0"/>
              <w:bidi w:val="0"/>
              <w:spacing w:line="360" w:lineRule="auto"/>
              <w:ind w:left="266" w:leftChars="0" w:hanging="266" w:hangingChars="111"/>
              <w:jc w:val="center"/>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单位</w:t>
            </w:r>
          </w:p>
        </w:tc>
        <w:tc>
          <w:tcPr>
            <w:tcW w:w="2358" w:type="dxa"/>
            <w:vAlign w:val="center"/>
          </w:tcPr>
          <w:p w14:paraId="5BA433F5">
            <w:pPr>
              <w:keepNext w:val="0"/>
              <w:keepLines w:val="0"/>
              <w:pageBreakBefore w:val="0"/>
              <w:widowControl w:val="0"/>
              <w:wordWrap/>
              <w:overflowPunct/>
              <w:topLinePunct w:val="0"/>
              <w:bidi w:val="0"/>
              <w:spacing w:line="240" w:lineRule="auto"/>
              <w:ind w:left="14" w:leftChars="0" w:hanging="14" w:hangingChars="6"/>
              <w:jc w:val="center"/>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采购预算</w:t>
            </w:r>
          </w:p>
          <w:p w14:paraId="2A4BFC3B">
            <w:pPr>
              <w:keepNext w:val="0"/>
              <w:keepLines w:val="0"/>
              <w:pageBreakBefore w:val="0"/>
              <w:widowControl w:val="0"/>
              <w:wordWrap/>
              <w:overflowPunct/>
              <w:topLinePunct w:val="0"/>
              <w:bidi w:val="0"/>
              <w:spacing w:line="240" w:lineRule="auto"/>
              <w:ind w:left="14" w:leftChars="0" w:hanging="14" w:hangingChars="6"/>
              <w:jc w:val="center"/>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w:t>
            </w:r>
            <w:r>
              <w:rPr>
                <w:rFonts w:hint="eastAsia" w:ascii="宋体" w:hAnsi="宋体" w:eastAsia="宋体" w:cs="宋体"/>
                <w:color w:val="auto"/>
                <w:spacing w:val="0"/>
                <w:position w:val="0"/>
                <w:sz w:val="24"/>
                <w:szCs w:val="24"/>
                <w:highlight w:val="none"/>
                <w:lang w:val="en-US" w:eastAsia="zh-CN"/>
              </w:rPr>
              <w:t>元</w:t>
            </w:r>
            <w:r>
              <w:rPr>
                <w:rFonts w:ascii="宋体" w:hAnsi="宋体" w:eastAsia="宋体" w:cs="宋体"/>
                <w:color w:val="auto"/>
                <w:spacing w:val="0"/>
                <w:position w:val="0"/>
                <w:sz w:val="24"/>
                <w:szCs w:val="24"/>
                <w:highlight w:val="none"/>
              </w:rPr>
              <w:t>人民币）</w:t>
            </w:r>
          </w:p>
        </w:tc>
      </w:tr>
      <w:tr w14:paraId="781DF3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trPr>
        <w:tc>
          <w:tcPr>
            <w:tcW w:w="2434" w:type="dxa"/>
            <w:vAlign w:val="center"/>
          </w:tcPr>
          <w:p w14:paraId="096DB28E">
            <w:pPr>
              <w:pStyle w:val="10"/>
              <w:keepNext w:val="0"/>
              <w:keepLines w:val="0"/>
              <w:pageBreakBefore w:val="0"/>
              <w:widowControl w:val="0"/>
              <w:wordWrap/>
              <w:overflowPunct/>
              <w:topLinePunct w:val="0"/>
              <w:bidi w:val="0"/>
              <w:spacing w:line="360" w:lineRule="auto"/>
              <w:jc w:val="center"/>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JXYH-2026-CG003</w:t>
            </w:r>
          </w:p>
        </w:tc>
        <w:tc>
          <w:tcPr>
            <w:tcW w:w="2561" w:type="dxa"/>
            <w:vAlign w:val="center"/>
          </w:tcPr>
          <w:p w14:paraId="762CEF8D">
            <w:pPr>
              <w:pStyle w:val="10"/>
              <w:keepNext w:val="0"/>
              <w:keepLines w:val="0"/>
              <w:pageBreakBefore w:val="0"/>
              <w:widowControl w:val="0"/>
              <w:wordWrap/>
              <w:overflowPunct/>
              <w:topLinePunct w:val="0"/>
              <w:bidi w:val="0"/>
              <w:spacing w:line="360" w:lineRule="auto"/>
              <w:jc w:val="center"/>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欠发达国有林场巩固提升项目一乡土树种造林苗木培育</w:t>
            </w:r>
          </w:p>
        </w:tc>
        <w:tc>
          <w:tcPr>
            <w:tcW w:w="755" w:type="dxa"/>
            <w:vAlign w:val="center"/>
          </w:tcPr>
          <w:p w14:paraId="11DDED0C">
            <w:pPr>
              <w:pStyle w:val="10"/>
              <w:keepNext w:val="0"/>
              <w:keepLines w:val="0"/>
              <w:pageBreakBefore w:val="0"/>
              <w:widowControl w:val="0"/>
              <w:wordWrap/>
              <w:overflowPunct/>
              <w:topLinePunct w:val="0"/>
              <w:bidi w:val="0"/>
              <w:spacing w:line="360" w:lineRule="auto"/>
              <w:jc w:val="center"/>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1</w:t>
            </w:r>
          </w:p>
        </w:tc>
        <w:tc>
          <w:tcPr>
            <w:tcW w:w="1002" w:type="dxa"/>
            <w:vAlign w:val="center"/>
          </w:tcPr>
          <w:p w14:paraId="0158F38F">
            <w:pPr>
              <w:pStyle w:val="10"/>
              <w:keepNext w:val="0"/>
              <w:keepLines w:val="0"/>
              <w:pageBreakBefore w:val="0"/>
              <w:widowControl w:val="0"/>
              <w:wordWrap/>
              <w:overflowPunct/>
              <w:topLinePunct w:val="0"/>
              <w:bidi w:val="0"/>
              <w:spacing w:line="360" w:lineRule="auto"/>
              <w:jc w:val="center"/>
              <w:rPr>
                <w:rFonts w:hint="default"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批</w:t>
            </w:r>
          </w:p>
        </w:tc>
        <w:tc>
          <w:tcPr>
            <w:tcW w:w="2358" w:type="dxa"/>
            <w:vAlign w:val="center"/>
          </w:tcPr>
          <w:p w14:paraId="1B6AC975">
            <w:pPr>
              <w:pStyle w:val="10"/>
              <w:keepNext w:val="0"/>
              <w:keepLines w:val="0"/>
              <w:pageBreakBefore w:val="0"/>
              <w:widowControl w:val="0"/>
              <w:wordWrap/>
              <w:overflowPunct/>
              <w:topLinePunct w:val="0"/>
              <w:bidi w:val="0"/>
              <w:spacing w:line="360" w:lineRule="auto"/>
              <w:jc w:val="center"/>
              <w:rPr>
                <w:rFonts w:ascii="宋体" w:hAnsi="宋体" w:eastAsia="宋体" w:cs="宋体"/>
                <w:snapToGrid w:val="0"/>
                <w:color w:val="auto"/>
                <w:spacing w:val="0"/>
                <w:position w:val="0"/>
                <w:sz w:val="24"/>
                <w:szCs w:val="24"/>
                <w:highlight w:val="none"/>
                <w:lang w:val="en-US" w:eastAsia="en-US" w:bidi="ar-SA"/>
              </w:rPr>
            </w:pPr>
            <w:r>
              <w:rPr>
                <w:rFonts w:hint="eastAsia" w:ascii="宋体" w:hAnsi="宋体" w:eastAsia="宋体" w:cs="宋体"/>
                <w:snapToGrid w:val="0"/>
                <w:color w:val="auto"/>
                <w:spacing w:val="0"/>
                <w:position w:val="0"/>
                <w:sz w:val="24"/>
                <w:szCs w:val="24"/>
                <w:highlight w:val="none"/>
                <w:lang w:val="en-US" w:eastAsia="zh-CN" w:bidi="ar-SA"/>
              </w:rPr>
              <w:t>810000</w:t>
            </w:r>
          </w:p>
        </w:tc>
      </w:tr>
      <w:tr w14:paraId="29DC91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trPr>
        <w:tc>
          <w:tcPr>
            <w:tcW w:w="2434" w:type="dxa"/>
          </w:tcPr>
          <w:p w14:paraId="1D9AD13B">
            <w:pPr>
              <w:pStyle w:val="10"/>
              <w:keepNext w:val="0"/>
              <w:keepLines w:val="0"/>
              <w:pageBreakBefore w:val="0"/>
              <w:widowControl w:val="0"/>
              <w:wordWrap/>
              <w:overflowPunct/>
              <w:topLinePunct w:val="0"/>
              <w:bidi w:val="0"/>
              <w:spacing w:line="360" w:lineRule="auto"/>
              <w:rPr>
                <w:color w:val="auto"/>
                <w:spacing w:val="0"/>
                <w:position w:val="0"/>
                <w:highlight w:val="none"/>
              </w:rPr>
            </w:pPr>
          </w:p>
        </w:tc>
        <w:tc>
          <w:tcPr>
            <w:tcW w:w="2561" w:type="dxa"/>
          </w:tcPr>
          <w:p w14:paraId="19F2049D">
            <w:pPr>
              <w:pStyle w:val="10"/>
              <w:keepNext w:val="0"/>
              <w:keepLines w:val="0"/>
              <w:pageBreakBefore w:val="0"/>
              <w:widowControl w:val="0"/>
              <w:wordWrap/>
              <w:overflowPunct/>
              <w:topLinePunct w:val="0"/>
              <w:bidi w:val="0"/>
              <w:spacing w:line="360" w:lineRule="auto"/>
              <w:rPr>
                <w:color w:val="auto"/>
                <w:spacing w:val="0"/>
                <w:position w:val="0"/>
                <w:highlight w:val="none"/>
              </w:rPr>
            </w:pPr>
          </w:p>
        </w:tc>
        <w:tc>
          <w:tcPr>
            <w:tcW w:w="755" w:type="dxa"/>
          </w:tcPr>
          <w:p w14:paraId="6DB45479">
            <w:pPr>
              <w:pStyle w:val="10"/>
              <w:keepNext w:val="0"/>
              <w:keepLines w:val="0"/>
              <w:pageBreakBefore w:val="0"/>
              <w:widowControl w:val="0"/>
              <w:wordWrap/>
              <w:overflowPunct/>
              <w:topLinePunct w:val="0"/>
              <w:bidi w:val="0"/>
              <w:spacing w:line="360" w:lineRule="auto"/>
              <w:rPr>
                <w:color w:val="auto"/>
                <w:spacing w:val="0"/>
                <w:position w:val="0"/>
                <w:highlight w:val="none"/>
              </w:rPr>
            </w:pPr>
          </w:p>
        </w:tc>
        <w:tc>
          <w:tcPr>
            <w:tcW w:w="1002" w:type="dxa"/>
          </w:tcPr>
          <w:p w14:paraId="46BD2E29">
            <w:pPr>
              <w:pStyle w:val="10"/>
              <w:keepNext w:val="0"/>
              <w:keepLines w:val="0"/>
              <w:pageBreakBefore w:val="0"/>
              <w:widowControl w:val="0"/>
              <w:wordWrap/>
              <w:overflowPunct/>
              <w:topLinePunct w:val="0"/>
              <w:bidi w:val="0"/>
              <w:spacing w:line="360" w:lineRule="auto"/>
              <w:rPr>
                <w:color w:val="auto"/>
                <w:spacing w:val="0"/>
                <w:position w:val="0"/>
                <w:highlight w:val="none"/>
              </w:rPr>
            </w:pPr>
          </w:p>
        </w:tc>
        <w:tc>
          <w:tcPr>
            <w:tcW w:w="2358" w:type="dxa"/>
          </w:tcPr>
          <w:p w14:paraId="21031285">
            <w:pPr>
              <w:pStyle w:val="10"/>
              <w:keepNext w:val="0"/>
              <w:keepLines w:val="0"/>
              <w:pageBreakBefore w:val="0"/>
              <w:widowControl w:val="0"/>
              <w:wordWrap/>
              <w:overflowPunct/>
              <w:topLinePunct w:val="0"/>
              <w:bidi w:val="0"/>
              <w:spacing w:line="360" w:lineRule="auto"/>
              <w:rPr>
                <w:color w:val="auto"/>
                <w:spacing w:val="0"/>
                <w:position w:val="0"/>
                <w:highlight w:val="none"/>
              </w:rPr>
            </w:pPr>
          </w:p>
        </w:tc>
      </w:tr>
      <w:tr w14:paraId="02FCC4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trPr>
        <w:tc>
          <w:tcPr>
            <w:tcW w:w="2434" w:type="dxa"/>
          </w:tcPr>
          <w:p w14:paraId="1393D890">
            <w:pPr>
              <w:pStyle w:val="10"/>
              <w:keepNext w:val="0"/>
              <w:keepLines w:val="0"/>
              <w:pageBreakBefore w:val="0"/>
              <w:widowControl w:val="0"/>
              <w:wordWrap/>
              <w:overflowPunct/>
              <w:topLinePunct w:val="0"/>
              <w:bidi w:val="0"/>
              <w:spacing w:line="360" w:lineRule="auto"/>
              <w:rPr>
                <w:color w:val="auto"/>
                <w:spacing w:val="0"/>
                <w:position w:val="0"/>
                <w:highlight w:val="none"/>
              </w:rPr>
            </w:pPr>
          </w:p>
        </w:tc>
        <w:tc>
          <w:tcPr>
            <w:tcW w:w="2561" w:type="dxa"/>
          </w:tcPr>
          <w:p w14:paraId="23BD9E3F">
            <w:pPr>
              <w:pStyle w:val="10"/>
              <w:keepNext w:val="0"/>
              <w:keepLines w:val="0"/>
              <w:pageBreakBefore w:val="0"/>
              <w:widowControl w:val="0"/>
              <w:wordWrap/>
              <w:overflowPunct/>
              <w:topLinePunct w:val="0"/>
              <w:bidi w:val="0"/>
              <w:spacing w:line="360" w:lineRule="auto"/>
              <w:rPr>
                <w:color w:val="auto"/>
                <w:spacing w:val="0"/>
                <w:position w:val="0"/>
                <w:highlight w:val="none"/>
              </w:rPr>
            </w:pPr>
          </w:p>
        </w:tc>
        <w:tc>
          <w:tcPr>
            <w:tcW w:w="755" w:type="dxa"/>
          </w:tcPr>
          <w:p w14:paraId="46CFB3D9">
            <w:pPr>
              <w:pStyle w:val="10"/>
              <w:keepNext w:val="0"/>
              <w:keepLines w:val="0"/>
              <w:pageBreakBefore w:val="0"/>
              <w:widowControl w:val="0"/>
              <w:wordWrap/>
              <w:overflowPunct/>
              <w:topLinePunct w:val="0"/>
              <w:bidi w:val="0"/>
              <w:spacing w:line="360" w:lineRule="auto"/>
              <w:rPr>
                <w:color w:val="auto"/>
                <w:spacing w:val="0"/>
                <w:position w:val="0"/>
                <w:highlight w:val="none"/>
              </w:rPr>
            </w:pPr>
          </w:p>
        </w:tc>
        <w:tc>
          <w:tcPr>
            <w:tcW w:w="1002" w:type="dxa"/>
          </w:tcPr>
          <w:p w14:paraId="17DE0833">
            <w:pPr>
              <w:pStyle w:val="10"/>
              <w:keepNext w:val="0"/>
              <w:keepLines w:val="0"/>
              <w:pageBreakBefore w:val="0"/>
              <w:widowControl w:val="0"/>
              <w:wordWrap/>
              <w:overflowPunct/>
              <w:topLinePunct w:val="0"/>
              <w:bidi w:val="0"/>
              <w:spacing w:line="360" w:lineRule="auto"/>
              <w:rPr>
                <w:color w:val="auto"/>
                <w:spacing w:val="0"/>
                <w:position w:val="0"/>
                <w:highlight w:val="none"/>
              </w:rPr>
            </w:pPr>
          </w:p>
        </w:tc>
        <w:tc>
          <w:tcPr>
            <w:tcW w:w="2358" w:type="dxa"/>
          </w:tcPr>
          <w:p w14:paraId="6B6381CB">
            <w:pPr>
              <w:pStyle w:val="10"/>
              <w:keepNext w:val="0"/>
              <w:keepLines w:val="0"/>
              <w:pageBreakBefore w:val="0"/>
              <w:widowControl w:val="0"/>
              <w:wordWrap/>
              <w:overflowPunct/>
              <w:topLinePunct w:val="0"/>
              <w:bidi w:val="0"/>
              <w:spacing w:line="360" w:lineRule="auto"/>
              <w:rPr>
                <w:color w:val="auto"/>
                <w:spacing w:val="0"/>
                <w:position w:val="0"/>
                <w:highlight w:val="none"/>
              </w:rPr>
            </w:pPr>
          </w:p>
        </w:tc>
      </w:tr>
    </w:tbl>
    <w:p w14:paraId="29FB324A">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textAlignment w:val="baseline"/>
        <w:rPr>
          <w:rFonts w:hint="default" w:ascii="宋体" w:hAnsi="宋体" w:eastAsia="宋体" w:cs="宋体"/>
          <w:color w:val="auto"/>
          <w:spacing w:val="0"/>
          <w:position w:val="0"/>
          <w:sz w:val="24"/>
          <w:szCs w:val="24"/>
          <w:highlight w:val="none"/>
          <w:u w:val="single"/>
          <w:lang w:val="en-US" w:eastAsia="zh-CN"/>
        </w:rPr>
      </w:pPr>
      <w:r>
        <w:rPr>
          <w:rFonts w:ascii="宋体" w:hAnsi="宋体" w:eastAsia="宋体" w:cs="宋体"/>
          <w:color w:val="auto"/>
          <w:spacing w:val="0"/>
          <w:position w:val="0"/>
          <w:sz w:val="24"/>
          <w:szCs w:val="24"/>
          <w:highlight w:val="none"/>
        </w:rPr>
        <w:t xml:space="preserve">合同履行期限： </w:t>
      </w:r>
      <w:r>
        <w:rPr>
          <w:rFonts w:hint="eastAsia" w:ascii="宋体" w:hAnsi="宋体" w:eastAsia="宋体" w:cs="宋体"/>
          <w:color w:val="auto"/>
          <w:spacing w:val="0"/>
          <w:position w:val="0"/>
          <w:sz w:val="24"/>
          <w:szCs w:val="24"/>
          <w:highlight w:val="none"/>
          <w:u w:val="single"/>
          <w:lang w:val="en-US" w:eastAsia="zh-CN"/>
        </w:rPr>
        <w:t>120天(2026年7月 20 日至2026年 11 月 10 日)</w:t>
      </w:r>
    </w:p>
    <w:p w14:paraId="2F48F6AE">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textAlignment w:val="baseline"/>
        <w:rPr>
          <w:rFonts w:hint="default" w:ascii="宋体" w:hAnsi="宋体" w:eastAsia="宋体" w:cs="宋体"/>
          <w:color w:val="auto"/>
          <w:spacing w:val="0"/>
          <w:position w:val="0"/>
          <w:sz w:val="24"/>
          <w:szCs w:val="24"/>
          <w:highlight w:val="none"/>
          <w:u w:val="single"/>
          <w:lang w:val="en-US" w:eastAsia="zh-CN"/>
        </w:rPr>
      </w:pPr>
      <w:r>
        <w:rPr>
          <w:rFonts w:ascii="宋体" w:hAnsi="宋体" w:eastAsia="宋体" w:cs="宋体"/>
          <w:color w:val="auto"/>
          <w:spacing w:val="0"/>
          <w:position w:val="0"/>
          <w:sz w:val="24"/>
          <w:szCs w:val="24"/>
          <w:highlight w:val="none"/>
          <w:lang w:eastAsia="zh-CN"/>
        </w:rPr>
        <w:t>本项目</w:t>
      </w:r>
      <w:r>
        <w:rPr>
          <w:rFonts w:hint="eastAsia" w:ascii="宋体" w:hAnsi="宋体" w:eastAsia="宋体" w:cs="宋体"/>
          <w:color w:val="auto"/>
          <w:spacing w:val="0"/>
          <w:position w:val="0"/>
          <w:sz w:val="24"/>
          <w:szCs w:val="24"/>
          <w:highlight w:val="none"/>
          <w:lang w:val="en-US" w:eastAsia="zh-CN"/>
        </w:rPr>
        <w:t>不</w:t>
      </w:r>
      <w:r>
        <w:rPr>
          <w:rFonts w:ascii="宋体" w:hAnsi="宋体" w:eastAsia="宋体" w:cs="宋体"/>
          <w:color w:val="auto"/>
          <w:spacing w:val="0"/>
          <w:position w:val="0"/>
          <w:sz w:val="24"/>
          <w:szCs w:val="24"/>
          <w:highlight w:val="none"/>
          <w:lang w:eastAsia="zh-CN"/>
        </w:rPr>
        <w:t>接受联合体</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w:t>
      </w:r>
    </w:p>
    <w:p w14:paraId="3C2D17D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textAlignment w:val="baseline"/>
        <w:outlineLvl w:val="1"/>
        <w:rPr>
          <w:rFonts w:ascii="宋体" w:hAnsi="宋体" w:eastAsia="宋体" w:cs="宋体"/>
          <w:color w:val="auto"/>
          <w:spacing w:val="0"/>
          <w:position w:val="0"/>
          <w:sz w:val="24"/>
          <w:szCs w:val="24"/>
          <w:highlight w:val="none"/>
          <w:lang w:eastAsia="zh-CN"/>
        </w:rPr>
      </w:pPr>
      <w:bookmarkStart w:id="1" w:name="_Toc15517"/>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的资格要求</w:t>
      </w:r>
      <w:bookmarkEnd w:id="1"/>
    </w:p>
    <w:p w14:paraId="1B9C08C0">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textAlignment w:val="baseline"/>
        <w:outlineLvl w:val="2"/>
        <w:rPr>
          <w:rFonts w:ascii="宋体" w:hAnsi="宋体" w:eastAsia="宋体" w:cs="宋体"/>
          <w:b w:val="0"/>
          <w:bCs w:val="0"/>
          <w:color w:val="auto"/>
          <w:spacing w:val="0"/>
          <w:position w:val="0"/>
          <w:sz w:val="24"/>
          <w:szCs w:val="24"/>
          <w:highlight w:val="none"/>
          <w:lang w:eastAsia="zh-CN"/>
        </w:rPr>
      </w:pPr>
      <w:bookmarkStart w:id="2" w:name="_Toc8124"/>
      <w:r>
        <w:rPr>
          <w:rFonts w:ascii="宋体" w:hAnsi="宋体" w:eastAsia="宋体" w:cs="宋体"/>
          <w:b w:val="0"/>
          <w:bCs w:val="0"/>
          <w:color w:val="auto"/>
          <w:spacing w:val="0"/>
          <w:position w:val="0"/>
          <w:sz w:val="24"/>
          <w:szCs w:val="24"/>
          <w:highlight w:val="none"/>
          <w:lang w:eastAsia="zh-CN"/>
        </w:rPr>
        <w:t>1.满足《中华人民共和国政府采购法》第二十二条规定：</w:t>
      </w:r>
      <w:bookmarkEnd w:id="2"/>
    </w:p>
    <w:p w14:paraId="1872A4A4">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1.1 </w:t>
      </w:r>
      <w:r>
        <w:rPr>
          <w:rFonts w:ascii="宋体" w:hAnsi="宋体" w:eastAsia="宋体" w:cs="宋体"/>
          <w:color w:val="auto"/>
          <w:spacing w:val="0"/>
          <w:position w:val="0"/>
          <w:sz w:val="24"/>
          <w:szCs w:val="24"/>
          <w:highlight w:val="none"/>
          <w:lang w:eastAsia="zh-CN"/>
        </w:rPr>
        <w:t>具有独立承担民事责任的能力；</w:t>
      </w:r>
    </w:p>
    <w:p w14:paraId="4DAE1B80">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1.2 </w:t>
      </w:r>
      <w:r>
        <w:rPr>
          <w:rFonts w:ascii="宋体" w:hAnsi="宋体" w:eastAsia="宋体" w:cs="宋体"/>
          <w:color w:val="auto"/>
          <w:spacing w:val="0"/>
          <w:position w:val="0"/>
          <w:sz w:val="24"/>
          <w:szCs w:val="24"/>
          <w:highlight w:val="none"/>
          <w:lang w:eastAsia="zh-CN"/>
        </w:rPr>
        <w:t>具有良好的商业信誉和健全的财务会计制度；</w:t>
      </w:r>
    </w:p>
    <w:p w14:paraId="3249C605">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1.3 </w:t>
      </w:r>
      <w:r>
        <w:rPr>
          <w:rFonts w:hint="eastAsia" w:ascii="宋体" w:hAnsi="宋体" w:eastAsia="宋体" w:cs="宋体"/>
          <w:color w:val="auto"/>
          <w:spacing w:val="0"/>
          <w:position w:val="0"/>
          <w:sz w:val="24"/>
          <w:szCs w:val="24"/>
          <w:highlight w:val="none"/>
          <w:lang w:eastAsia="zh-CN"/>
        </w:rPr>
        <w:t>具有履行合同所必需的设备和专业技术能力；</w:t>
      </w:r>
    </w:p>
    <w:p w14:paraId="12746505">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1.4 </w:t>
      </w:r>
      <w:r>
        <w:rPr>
          <w:rFonts w:ascii="宋体" w:hAnsi="宋体" w:eastAsia="宋体" w:cs="宋体"/>
          <w:color w:val="auto"/>
          <w:spacing w:val="0"/>
          <w:position w:val="0"/>
          <w:sz w:val="24"/>
          <w:szCs w:val="24"/>
          <w:highlight w:val="none"/>
          <w:lang w:eastAsia="zh-CN"/>
        </w:rPr>
        <w:t>有依法缴纳税收和社会保障资金的良好记录；</w:t>
      </w:r>
    </w:p>
    <w:p w14:paraId="13A6A499">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1.5 </w:t>
      </w:r>
      <w:r>
        <w:rPr>
          <w:rFonts w:hint="eastAsia" w:ascii="宋体" w:hAnsi="宋体" w:eastAsia="宋体" w:cs="宋体"/>
          <w:color w:val="auto"/>
          <w:spacing w:val="0"/>
          <w:position w:val="0"/>
          <w:sz w:val="24"/>
          <w:szCs w:val="24"/>
          <w:highlight w:val="none"/>
          <w:lang w:eastAsia="zh-CN"/>
        </w:rPr>
        <w:t>参加政府采购活动前三年内,在经营活动中没有重大违法记录；</w:t>
      </w:r>
    </w:p>
    <w:p w14:paraId="7B225A65">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1.6 </w:t>
      </w:r>
      <w:r>
        <w:rPr>
          <w:rFonts w:ascii="宋体" w:hAnsi="宋体" w:eastAsia="宋体" w:cs="宋体"/>
          <w:color w:val="auto"/>
          <w:spacing w:val="0"/>
          <w:position w:val="0"/>
          <w:sz w:val="24"/>
          <w:szCs w:val="24"/>
          <w:highlight w:val="none"/>
          <w:lang w:eastAsia="zh-CN"/>
        </w:rPr>
        <w:t>法律、行政法规规定的其他条件。</w:t>
      </w:r>
    </w:p>
    <w:p w14:paraId="5113180A">
      <w:pPr>
        <w:pStyle w:val="11"/>
        <w:keepNext w:val="0"/>
        <w:keepLines w:val="0"/>
        <w:pageBreakBefore w:val="0"/>
        <w:widowControl w:val="0"/>
        <w:kinsoku w:val="0"/>
        <w:wordWrap/>
        <w:overflowPunct/>
        <w:topLinePunct w:val="0"/>
        <w:autoSpaceDE w:val="0"/>
        <w:autoSpaceDN w:val="0"/>
        <w:bidi w:val="0"/>
        <w:adjustRightInd w:val="0"/>
        <w:snapToGrid w:val="0"/>
        <w:spacing w:line="360" w:lineRule="auto"/>
        <w:ind w:left="240" w:leftChars="0" w:hanging="240" w:hangingChars="10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单位负责人为同一人或者存在直接控股、管理关系的不同</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，不得参加同一合同项下的采购活动。为本采购项目提供整体设计、规范编制或者项目管理、监理、检测等服务的，不得参加本项目的政府采购活动。</w:t>
      </w:r>
    </w:p>
    <w:p w14:paraId="6CCD076D">
      <w:pPr>
        <w:keepNext w:val="0"/>
        <w:keepLines w:val="0"/>
        <w:pageBreakBefore w:val="0"/>
        <w:widowControl w:val="0"/>
        <w:kinsoku w:val="0"/>
        <w:wordWrap/>
        <w:overflowPunct/>
        <w:topLinePunct w:val="0"/>
        <w:autoSpaceDE w:val="0"/>
        <w:autoSpaceDN w:val="0"/>
        <w:bidi w:val="0"/>
        <w:adjustRightInd w:val="0"/>
        <w:snapToGrid w:val="0"/>
        <w:spacing w:line="360" w:lineRule="auto"/>
        <w:ind w:left="220" w:leftChars="0" w:right="61" w:hanging="198" w:firstLineChars="0"/>
        <w:jc w:val="both"/>
        <w:textAlignment w:val="baseline"/>
        <w:rPr>
          <w:rFonts w:ascii="宋体" w:hAnsi="宋体" w:eastAsia="宋体" w:cs="宋体"/>
          <w:color w:val="auto"/>
          <w:spacing w:val="0"/>
          <w:position w:val="0"/>
          <w:sz w:val="24"/>
          <w:szCs w:val="24"/>
          <w:highlight w:val="none"/>
          <w:lang w:eastAsia="zh-CN"/>
        </w:rPr>
      </w:pPr>
      <w:bookmarkStart w:id="3" w:name="_Toc21146"/>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eastAsia="zh-CN"/>
        </w:rPr>
        <w:t>供应商被“信用中国”网站列入失信被执行人</w:t>
      </w:r>
      <w:r>
        <w:rPr>
          <w:rFonts w:hint="eastAsia" w:ascii="宋体" w:hAnsi="宋体" w:eastAsia="宋体" w:cs="宋体"/>
          <w:color w:val="auto"/>
          <w:spacing w:val="0"/>
          <w:position w:val="0"/>
          <w:sz w:val="24"/>
          <w:szCs w:val="24"/>
          <w:highlight w:val="none"/>
          <w:lang w:val="en-US" w:eastAsia="zh-CN"/>
        </w:rPr>
        <w:t>或</w:t>
      </w:r>
      <w:r>
        <w:rPr>
          <w:rFonts w:hint="eastAsia" w:ascii="宋体" w:hAnsi="宋体" w:eastAsia="宋体" w:cs="宋体"/>
          <w:color w:val="auto"/>
          <w:spacing w:val="0"/>
          <w:position w:val="0"/>
          <w:sz w:val="24"/>
          <w:szCs w:val="24"/>
          <w:highlight w:val="none"/>
          <w:lang w:eastAsia="zh-CN"/>
        </w:rPr>
        <w:t>重大税收违法案件当事人名单、</w:t>
      </w:r>
      <w:r>
        <w:rPr>
          <w:rFonts w:hint="eastAsia" w:ascii="宋体" w:hAnsi="宋体" w:eastAsia="宋体" w:cs="宋体"/>
          <w:color w:val="auto"/>
          <w:spacing w:val="0"/>
          <w:position w:val="0"/>
          <w:sz w:val="24"/>
          <w:szCs w:val="24"/>
          <w:highlight w:val="none"/>
          <w:lang w:val="en-US" w:eastAsia="zh-CN"/>
        </w:rPr>
        <w:t>或</w:t>
      </w:r>
      <w:r>
        <w:rPr>
          <w:rFonts w:hint="eastAsia" w:ascii="宋体" w:hAnsi="宋体" w:eastAsia="宋体" w:cs="宋体"/>
          <w:color w:val="auto"/>
          <w:spacing w:val="0"/>
          <w:position w:val="0"/>
          <w:sz w:val="24"/>
          <w:szCs w:val="24"/>
          <w:highlight w:val="none"/>
          <w:lang w:eastAsia="zh-CN"/>
        </w:rPr>
        <w:t>被“中国政府采购网”网站列入政府采购严重违法失信行为记录名单（处罚期限尚未届满的）</w:t>
      </w:r>
      <w:r>
        <w:rPr>
          <w:rFonts w:hint="eastAsia" w:ascii="宋体" w:hAnsi="宋体" w:eastAsia="宋体" w:cs="宋体"/>
          <w:color w:val="auto"/>
          <w:spacing w:val="0"/>
          <w:position w:val="0"/>
          <w:sz w:val="24"/>
          <w:szCs w:val="24"/>
          <w:highlight w:val="none"/>
          <w:lang w:val="en-US" w:eastAsia="zh-CN"/>
        </w:rPr>
        <w:t>的</w:t>
      </w:r>
      <w:r>
        <w:rPr>
          <w:rFonts w:hint="eastAsia" w:ascii="宋体" w:hAnsi="宋体" w:eastAsia="宋体" w:cs="宋体"/>
          <w:color w:val="auto"/>
          <w:spacing w:val="0"/>
          <w:position w:val="0"/>
          <w:sz w:val="24"/>
          <w:szCs w:val="24"/>
          <w:highlight w:val="none"/>
          <w:lang w:eastAsia="zh-CN"/>
        </w:rPr>
        <w:t>，不得参加本项目的政府采购活动。</w:t>
      </w:r>
    </w:p>
    <w:p w14:paraId="133CC43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both"/>
        <w:textAlignment w:val="baseline"/>
        <w:outlineLvl w:val="2"/>
        <w:rPr>
          <w:rFonts w:ascii="宋体" w:hAnsi="宋体" w:eastAsia="宋体" w:cs="宋体"/>
          <w:b w:val="0"/>
          <w:bCs w:val="0"/>
          <w:color w:val="auto"/>
          <w:spacing w:val="0"/>
          <w:position w:val="0"/>
          <w:sz w:val="24"/>
          <w:szCs w:val="24"/>
          <w:highlight w:val="none"/>
          <w:lang w:eastAsia="zh-CN"/>
        </w:rPr>
      </w:pPr>
      <w:r>
        <w:rPr>
          <w:rFonts w:ascii="宋体" w:hAnsi="宋体" w:eastAsia="宋体" w:cs="宋体"/>
          <w:b w:val="0"/>
          <w:bCs w:val="0"/>
          <w:snapToGrid w:val="0"/>
          <w:color w:val="auto"/>
          <w:spacing w:val="0"/>
          <w:position w:val="0"/>
          <w:sz w:val="24"/>
          <w:szCs w:val="24"/>
          <w:lang w:val="en-US" w:eastAsia="zh-CN" w:bidi="ar-SA"/>
        </w:rPr>
        <w:t>4.</w:t>
      </w:r>
      <w:r>
        <w:rPr>
          <w:rFonts w:ascii="宋体" w:hAnsi="宋体" w:eastAsia="宋体" w:cs="宋体"/>
          <w:b w:val="0"/>
          <w:bCs w:val="0"/>
          <w:color w:val="auto"/>
          <w:spacing w:val="0"/>
          <w:position w:val="0"/>
          <w:sz w:val="24"/>
          <w:szCs w:val="24"/>
          <w:highlight w:val="none"/>
          <w:lang w:eastAsia="zh-CN"/>
        </w:rPr>
        <w:t>落实政府采购政策需满足的资格要求：</w:t>
      </w:r>
      <w:bookmarkEnd w:id="3"/>
    </w:p>
    <w:p w14:paraId="20D6ED27">
      <w:pPr>
        <w:pStyle w:val="4"/>
        <w:keepNext w:val="0"/>
        <w:keepLines w:val="0"/>
        <w:pageBreakBefore w:val="0"/>
        <w:widowControl w:val="0"/>
        <w:numPr>
          <w:ilvl w:val="0"/>
          <w:numId w:val="0"/>
        </w:numPr>
        <w:kinsoku w:val="0"/>
        <w:wordWrap/>
        <w:overflowPunct/>
        <w:topLinePunct w:val="0"/>
        <w:autoSpaceDE w:val="0"/>
        <w:autoSpaceDN w:val="0"/>
        <w:bidi w:val="0"/>
        <w:adjustRightInd w:val="0"/>
        <w:snapToGrid w:val="0"/>
        <w:spacing w:after="0" w:line="360" w:lineRule="auto"/>
        <w:jc w:val="both"/>
        <w:textAlignment w:val="baseline"/>
        <w:rPr>
          <w:rFonts w:hint="eastAsia" w:ascii="宋体" w:hAnsi="宋体" w:eastAsia="宋体" w:cs="宋体"/>
          <w:color w:val="auto"/>
          <w:spacing w:val="0"/>
          <w:position w:val="0"/>
          <w:highlight w:val="none"/>
          <w:lang w:val="en-US" w:eastAsia="zh-CN"/>
        </w:rPr>
      </w:pPr>
      <w:r>
        <w:rPr>
          <w:rFonts w:hint="eastAsia" w:ascii="宋体" w:hAnsi="宋体" w:eastAsia="宋体" w:cs="宋体"/>
          <w:color w:val="auto"/>
          <w:spacing w:val="0"/>
          <w:position w:val="0"/>
          <w:highlight w:val="none"/>
          <w:lang w:val="en-US" w:eastAsia="zh-CN"/>
        </w:rPr>
        <w:t>4.1 中小企业政策</w:t>
      </w:r>
    </w:p>
    <w:p w14:paraId="44137DA3">
      <w:pPr>
        <w:keepNext w:val="0"/>
        <w:keepLines w:val="0"/>
        <w:pageBreakBefore w:val="0"/>
        <w:widowControl w:val="0"/>
        <w:kinsoku/>
        <w:wordWrap/>
        <w:overflowPunct/>
        <w:topLinePunct w:val="0"/>
        <w:autoSpaceDE w:val="0"/>
        <w:autoSpaceDN w:val="0"/>
        <w:bidi w:val="0"/>
        <w:adjustRightInd w:val="0"/>
        <w:snapToGrid w:val="0"/>
        <w:spacing w:line="360" w:lineRule="auto"/>
        <w:ind w:left="216" w:leftChars="0" w:hanging="216" w:hangingChars="90"/>
        <w:jc w:val="both"/>
        <w:textAlignment w:val="baseline"/>
        <w:rPr>
          <w:rFonts w:ascii="宋体" w:hAnsi="宋体" w:eastAsia="宋体" w:cs="宋体"/>
          <w:color w:val="auto"/>
          <w:spacing w:val="0"/>
          <w:position w:val="0"/>
          <w:sz w:val="24"/>
          <w:szCs w:val="24"/>
          <w:highlight w:val="none"/>
          <w:lang w:eastAsia="zh-CN"/>
        </w:rPr>
      </w:pPr>
      <w:r>
        <w:rPr>
          <w:rFonts w:hint="eastAsia"/>
          <w:color w:val="auto"/>
          <w:spacing w:val="0"/>
          <w:position w:val="0"/>
          <w:sz w:val="24"/>
          <w:szCs w:val="24"/>
          <w:highlight w:val="none"/>
          <w:lang w:val="en-US" w:eastAsia="zh-CN"/>
        </w:rPr>
        <w:t xml:space="preserve"> </w:t>
      </w:r>
      <w:r>
        <w:rPr>
          <w:rFonts w:hint="eastAsia" w:ascii="宋体" w:hAnsi="宋体" w:eastAsia="宋体" w:cs="宋体"/>
          <w:snapToGrid w:val="0"/>
          <w:color w:val="auto"/>
          <w:spacing w:val="0"/>
          <w:kern w:val="0"/>
          <w:position w:val="0"/>
          <w:sz w:val="24"/>
          <w:szCs w:val="20"/>
          <w:highlight w:val="none"/>
          <w:lang w:val="en-US" w:eastAsia="zh-CN" w:bidi="ar-SA"/>
        </w:rPr>
        <w:t>本项目专门面</w:t>
      </w:r>
      <w:r>
        <w:rPr>
          <w:rFonts w:hint="eastAsia" w:ascii="宋体" w:hAnsi="宋体" w:eastAsia="宋体" w:cs="宋体"/>
          <w:b w:val="0"/>
          <w:bCs w:val="0"/>
          <w:color w:val="auto"/>
          <w:spacing w:val="0"/>
          <w:position w:val="0"/>
          <w:sz w:val="24"/>
          <w:szCs w:val="24"/>
          <w:highlight w:val="none"/>
          <w:lang w:val="en-US" w:eastAsia="zh-CN"/>
        </w:rPr>
        <w:t>向</w:t>
      </w:r>
      <w:r>
        <w:rPr>
          <w:rFonts w:ascii="宋体" w:hAnsi="宋体" w:eastAsia="宋体" w:cs="宋体"/>
          <w:b w:val="0"/>
          <w:bCs w:val="0"/>
          <w:color w:val="auto"/>
          <w:spacing w:val="0"/>
          <w:position w:val="0"/>
          <w:sz w:val="24"/>
          <w:szCs w:val="24"/>
          <w:highlight w:val="none"/>
          <w:lang w:eastAsia="zh-CN"/>
        </w:rPr>
        <w:t>中小企业采</w:t>
      </w:r>
      <w:r>
        <w:rPr>
          <w:rFonts w:ascii="宋体" w:hAnsi="宋体" w:eastAsia="宋体" w:cs="宋体"/>
          <w:color w:val="auto"/>
          <w:spacing w:val="0"/>
          <w:position w:val="0"/>
          <w:sz w:val="24"/>
          <w:szCs w:val="24"/>
          <w:highlight w:val="none"/>
          <w:lang w:eastAsia="zh-CN"/>
        </w:rPr>
        <w:t>购。所投产品的制造商须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中须提供中小企业声明函或省级以上监狱管理局、戒毒管理局（含新疆生产建设兵团）出具的属于监狱企业的证明文件或残疾人福利性单位声明函）。</w:t>
      </w:r>
    </w:p>
    <w:p w14:paraId="3254555C">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228" w:leftChars="0" w:hanging="228" w:hangingChars="95"/>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4.2 </w:t>
      </w:r>
      <w:r>
        <w:rPr>
          <w:rFonts w:ascii="宋体" w:hAnsi="宋体" w:eastAsia="宋体" w:cs="宋体"/>
          <w:color w:val="auto"/>
          <w:spacing w:val="0"/>
          <w:position w:val="0"/>
          <w:sz w:val="24"/>
          <w:szCs w:val="24"/>
          <w:highlight w:val="none"/>
          <w:lang w:eastAsia="zh-CN"/>
        </w:rPr>
        <w:t>如本项目采购的产品属于政府强制采购节能产品的，</w:t>
      </w:r>
      <w:r>
        <w:rPr>
          <w:rFonts w:hint="eastAsia" w:ascii="宋体" w:hAnsi="宋体" w:eastAsia="宋体" w:cs="宋体"/>
          <w:color w:val="auto"/>
          <w:spacing w:val="0"/>
          <w:position w:val="0"/>
          <w:sz w:val="24"/>
          <w:szCs w:val="24"/>
          <w:highlight w:val="none"/>
          <w:lang w:val="en-US" w:eastAsia="zh-CN"/>
        </w:rPr>
        <w:t>响应</w:t>
      </w:r>
      <w:r>
        <w:rPr>
          <w:rFonts w:ascii="宋体" w:hAnsi="宋体" w:eastAsia="宋体" w:cs="宋体"/>
          <w:color w:val="auto"/>
          <w:spacing w:val="0"/>
          <w:position w:val="0"/>
          <w:sz w:val="24"/>
          <w:szCs w:val="24"/>
          <w:highlight w:val="none"/>
          <w:lang w:eastAsia="zh-CN"/>
        </w:rPr>
        <w:t>文件中必须提供《参与实施政府采购节能产品认证机构名录》中的对应产品认证机构出具的节能产品认证证书；</w:t>
      </w:r>
    </w:p>
    <w:p w14:paraId="2C1E5046">
      <w:pPr>
        <w:pStyle w:val="2"/>
        <w:keepNext w:val="0"/>
        <w:keepLines w:val="0"/>
        <w:pageBreakBefore w:val="0"/>
        <w:wordWrap/>
        <w:overflowPunct/>
        <w:topLinePunct w:val="0"/>
        <w:bidi w:val="0"/>
        <w:spacing w:beforeAutospacing="0" w:line="360" w:lineRule="auto"/>
        <w:jc w:val="both"/>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spacing w:val="0"/>
          <w:position w:val="0"/>
          <w:sz w:val="24"/>
          <w:szCs w:val="24"/>
          <w:highlight w:val="none"/>
          <w:lang w:val="en-US" w:eastAsia="zh-CN"/>
        </w:rPr>
        <w:t xml:space="preserve">5 </w:t>
      </w:r>
      <w:r>
        <w:rPr>
          <w:rFonts w:ascii="宋体" w:hAnsi="宋体" w:eastAsia="宋体" w:cs="宋体"/>
          <w:color w:val="auto"/>
          <w:spacing w:val="0"/>
          <w:position w:val="0"/>
          <w:sz w:val="24"/>
          <w:szCs w:val="24"/>
          <w:highlight w:val="none"/>
          <w:lang w:eastAsia="zh-CN"/>
        </w:rPr>
        <w:t>本项目的特定资格要求：</w:t>
      </w:r>
      <w:r>
        <w:rPr>
          <w:rFonts w:ascii="宋体" w:hAnsi="宋体" w:eastAsia="宋体" w:cs="宋体"/>
          <w:color w:val="auto"/>
          <w:sz w:val="24"/>
          <w:szCs w:val="24"/>
          <w:highlight w:val="none"/>
        </w:rPr>
        <w:t>供应商须提供自有育苗基地或合作育苗基地出具的苗木供应承诺函（</w:t>
      </w:r>
      <w:r>
        <w:rPr>
          <w:rFonts w:hint="eastAsia" w:ascii="宋体" w:hAnsi="宋体" w:eastAsia="宋体" w:cs="宋体"/>
          <w:color w:val="auto"/>
          <w:spacing w:val="0"/>
          <w:position w:val="0"/>
          <w:sz w:val="24"/>
          <w:szCs w:val="24"/>
          <w:highlight w:val="none"/>
          <w:lang w:val="en-US" w:eastAsia="zh-CN"/>
        </w:rPr>
        <w:t>承诺函加盖苗圃公章扫描上传</w:t>
      </w:r>
      <w:r>
        <w:rPr>
          <w:rFonts w:ascii="宋体" w:hAnsi="宋体" w:eastAsia="宋体" w:cs="宋体"/>
          <w:color w:val="auto"/>
          <w:sz w:val="24"/>
          <w:szCs w:val="24"/>
          <w:highlight w:val="none"/>
        </w:rPr>
        <w:t>）；若为合作基地，须同步提交双方有效育苗合作协议。未提供承诺函或配套合作协议的，资格审查不予通过，按无效响应处理。</w:t>
      </w:r>
    </w:p>
    <w:p w14:paraId="4A5856F2">
      <w:pPr>
        <w:pStyle w:val="3"/>
        <w:rPr>
          <w:rFonts w:hint="default"/>
          <w:color w:val="auto"/>
          <w:highlight w:val="none"/>
          <w:lang w:val="en-US" w:eastAsia="zh-CN"/>
        </w:rPr>
      </w:pPr>
    </w:p>
    <w:p w14:paraId="12899375">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outlineLvl w:val="1"/>
        <w:rPr>
          <w:rFonts w:ascii="宋体" w:hAnsi="宋体" w:eastAsia="宋体" w:cs="宋体"/>
          <w:color w:val="auto"/>
          <w:spacing w:val="0"/>
          <w:position w:val="0"/>
          <w:sz w:val="24"/>
          <w:szCs w:val="24"/>
          <w:highlight w:val="none"/>
          <w:lang w:eastAsia="zh-CN"/>
        </w:rPr>
      </w:pPr>
      <w:bookmarkStart w:id="4" w:name="_Toc16771"/>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三、获取</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文件</w:t>
      </w:r>
      <w:bookmarkEnd w:id="4"/>
    </w:p>
    <w:p w14:paraId="583DCB12">
      <w:pPr>
        <w:keepNext w:val="0"/>
        <w:keepLines w:val="0"/>
        <w:pageBreakBefore w:val="0"/>
        <w:widowControl w:val="0"/>
        <w:kinsoku w:val="0"/>
        <w:wordWrap/>
        <w:overflowPunct/>
        <w:topLinePunct w:val="0"/>
        <w:autoSpaceDE w:val="0"/>
        <w:autoSpaceDN w:val="0"/>
        <w:bidi w:val="0"/>
        <w:adjustRightInd w:val="0"/>
        <w:snapToGrid w:val="0"/>
        <w:spacing w:line="360" w:lineRule="auto"/>
        <w:ind w:left="1" w:leftChars="0" w:firstLine="540" w:firstLineChars="225"/>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时间：</w:t>
      </w:r>
      <w:r>
        <w:rPr>
          <w:rFonts w:hint="eastAsia" w:ascii="宋体" w:hAnsi="宋体" w:eastAsia="宋体" w:cs="宋体"/>
          <w:color w:val="auto"/>
          <w:spacing w:val="0"/>
          <w:position w:val="0"/>
          <w:sz w:val="24"/>
          <w:szCs w:val="24"/>
          <w:highlight w:val="none"/>
          <w:u w:val="single"/>
          <w:lang w:val="en-US" w:eastAsia="zh-CN"/>
        </w:rPr>
        <w:t xml:space="preserve"> 2026 </w:t>
      </w:r>
      <w:r>
        <w:rPr>
          <w:rFonts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u w:val="single"/>
          <w:lang w:val="en-US" w:eastAsia="zh-CN"/>
        </w:rPr>
        <w:t xml:space="preserve"> 7 </w:t>
      </w:r>
      <w:r>
        <w:rPr>
          <w:rFonts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 xml:space="preserve"> 6 </w:t>
      </w:r>
      <w:r>
        <w:rPr>
          <w:rFonts w:ascii="宋体" w:hAnsi="宋体" w:eastAsia="宋体" w:cs="宋体"/>
          <w:color w:val="auto"/>
          <w:spacing w:val="0"/>
          <w:position w:val="0"/>
          <w:sz w:val="24"/>
          <w:szCs w:val="24"/>
          <w:highlight w:val="none"/>
          <w:lang w:eastAsia="zh-CN"/>
        </w:rPr>
        <w:t>日至</w:t>
      </w:r>
      <w:r>
        <w:rPr>
          <w:rFonts w:hint="eastAsia" w:ascii="宋体" w:hAnsi="宋体" w:eastAsia="宋体" w:cs="宋体"/>
          <w:color w:val="auto"/>
          <w:spacing w:val="0"/>
          <w:position w:val="0"/>
          <w:sz w:val="24"/>
          <w:szCs w:val="24"/>
          <w:highlight w:val="none"/>
          <w:u w:val="single"/>
          <w:lang w:val="en-US" w:eastAsia="zh-CN"/>
        </w:rPr>
        <w:t xml:space="preserve"> 2026 </w:t>
      </w:r>
      <w:r>
        <w:rPr>
          <w:rFonts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u w:val="single"/>
          <w:lang w:val="en-US" w:eastAsia="zh-CN"/>
        </w:rPr>
        <w:t xml:space="preserve"> 7 </w:t>
      </w:r>
      <w:r>
        <w:rPr>
          <w:rFonts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 xml:space="preserve"> 9  </w:t>
      </w:r>
      <w:r>
        <w:rPr>
          <w:rFonts w:ascii="宋体" w:hAnsi="宋体" w:eastAsia="宋体" w:cs="宋体"/>
          <w:color w:val="auto"/>
          <w:spacing w:val="0"/>
          <w:position w:val="0"/>
          <w:sz w:val="24"/>
          <w:szCs w:val="24"/>
          <w:highlight w:val="none"/>
          <w:lang w:eastAsia="zh-CN"/>
        </w:rPr>
        <w:t>日</w:t>
      </w:r>
      <w:r>
        <w:rPr>
          <w:rFonts w:hint="eastAsia" w:ascii="宋体" w:hAnsi="宋体" w:eastAsia="宋体" w:cs="宋体"/>
          <w:color w:val="auto"/>
          <w:spacing w:val="0"/>
          <w:position w:val="0"/>
          <w:sz w:val="24"/>
          <w:szCs w:val="24"/>
          <w:highlight w:val="none"/>
          <w:lang w:val="en-US" w:eastAsia="zh-CN"/>
        </w:rPr>
        <w:t>，</w:t>
      </w:r>
      <w:r>
        <w:rPr>
          <w:rFonts w:hint="eastAsia" w:ascii="宋体" w:hAnsi="宋体" w:eastAsia="宋体" w:cs="宋体"/>
          <w:color w:val="auto"/>
          <w:spacing w:val="0"/>
          <w:position w:val="0"/>
          <w:sz w:val="24"/>
          <w:szCs w:val="24"/>
          <w:highlight w:val="none"/>
          <w:lang w:eastAsia="zh-CN"/>
        </w:rPr>
        <w:t>每天</w:t>
      </w:r>
      <w:r>
        <w:rPr>
          <w:rFonts w:hint="eastAsia" w:ascii="宋体" w:hAnsi="宋体" w:eastAsia="宋体" w:cs="宋体"/>
          <w:color w:val="auto"/>
          <w:spacing w:val="0"/>
          <w:position w:val="0"/>
          <w:sz w:val="24"/>
          <w:szCs w:val="24"/>
          <w:highlight w:val="none"/>
          <w:u w:val="single"/>
          <w:lang w:val="en-US" w:eastAsia="zh-CN"/>
        </w:rPr>
        <w:t xml:space="preserve"> 08点 </w:t>
      </w:r>
      <w:r>
        <w:rPr>
          <w:rFonts w:hint="eastAsia" w:ascii="宋体" w:hAnsi="宋体" w:eastAsia="宋体" w:cs="宋体"/>
          <w:color w:val="auto"/>
          <w:spacing w:val="0"/>
          <w:position w:val="0"/>
          <w:sz w:val="24"/>
          <w:szCs w:val="24"/>
          <w:highlight w:val="none"/>
          <w:u w:val="none"/>
          <w:lang w:eastAsia="zh-CN"/>
        </w:rPr>
        <w:t>至</w:t>
      </w:r>
      <w:r>
        <w:rPr>
          <w:rFonts w:hint="eastAsia" w:ascii="宋体" w:hAnsi="宋体" w:eastAsia="宋体" w:cs="宋体"/>
          <w:color w:val="auto"/>
          <w:spacing w:val="0"/>
          <w:position w:val="0"/>
          <w:sz w:val="24"/>
          <w:szCs w:val="24"/>
          <w:highlight w:val="none"/>
          <w:u w:val="single"/>
          <w:lang w:val="en-US" w:eastAsia="zh-CN"/>
        </w:rPr>
        <w:t>17点</w:t>
      </w:r>
      <w:r>
        <w:rPr>
          <w:rFonts w:hint="eastAsia" w:ascii="宋体" w:hAnsi="宋体" w:eastAsia="宋体" w:cs="宋体"/>
          <w:color w:val="auto"/>
          <w:spacing w:val="0"/>
          <w:position w:val="0"/>
          <w:sz w:val="24"/>
          <w:szCs w:val="24"/>
          <w:highlight w:val="none"/>
          <w:lang w:eastAsia="zh-CN"/>
        </w:rPr>
        <w:t>（北京时间，法定节假日除外</w:t>
      </w:r>
      <w:r>
        <w:rPr>
          <w:rFonts w:ascii="宋体" w:hAnsi="宋体" w:eastAsia="宋体" w:cs="宋体"/>
          <w:color w:val="auto"/>
          <w:spacing w:val="0"/>
          <w:position w:val="0"/>
          <w:sz w:val="24"/>
          <w:szCs w:val="24"/>
          <w:highlight w:val="none"/>
          <w:lang w:eastAsia="zh-CN"/>
        </w:rPr>
        <w:t>）</w:t>
      </w:r>
    </w:p>
    <w:p w14:paraId="6458D77B">
      <w:pPr>
        <w:keepNext w:val="0"/>
        <w:keepLines w:val="0"/>
        <w:pageBreakBefore w:val="0"/>
        <w:widowControl w:val="0"/>
        <w:wordWrap/>
        <w:overflowPunct/>
        <w:topLinePunct w:val="0"/>
        <w:bidi w:val="0"/>
        <w:spacing w:line="360" w:lineRule="auto"/>
        <w:ind w:left="541"/>
        <w:jc w:val="both"/>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地点：江西省公共资源交易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rPr>
        <w:t>（网址：</w:t>
      </w:r>
      <w:r>
        <w:rPr>
          <w:rFonts w:hint="eastAsia" w:ascii="宋体" w:hAnsi="宋体" w:eastAsia="宋体" w:cs="宋体"/>
          <w:color w:val="auto"/>
          <w:spacing w:val="0"/>
          <w:position w:val="0"/>
          <w:sz w:val="24"/>
          <w:szCs w:val="24"/>
          <w:highlight w:val="none"/>
          <w:u w:val="single"/>
          <w:lang w:val="en-US" w:eastAsia="zh-CN"/>
        </w:rPr>
        <w:t xml:space="preserve">https://www.jxsggzy.cn </w:t>
      </w:r>
      <w:r>
        <w:rPr>
          <w:rFonts w:ascii="宋体" w:hAnsi="宋体" w:eastAsia="宋体" w:cs="宋体"/>
          <w:color w:val="auto"/>
          <w:spacing w:val="0"/>
          <w:position w:val="0"/>
          <w:sz w:val="24"/>
          <w:szCs w:val="24"/>
          <w:highlight w:val="none"/>
        </w:rPr>
        <w:t>）</w:t>
      </w:r>
    </w:p>
    <w:p w14:paraId="60A0FD48">
      <w:pPr>
        <w:keepNext w:val="0"/>
        <w:keepLines w:val="0"/>
        <w:pageBreakBefore w:val="0"/>
        <w:widowControl w:val="0"/>
        <w:wordWrap/>
        <w:overflowPunct/>
        <w:topLinePunct w:val="0"/>
        <w:bidi w:val="0"/>
        <w:spacing w:line="360" w:lineRule="auto"/>
        <w:ind w:left="541"/>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方式：网上确认和下载</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文件。（详见其他补充事宜）</w:t>
      </w:r>
    </w:p>
    <w:p w14:paraId="67587D27">
      <w:pPr>
        <w:keepNext w:val="0"/>
        <w:keepLines w:val="0"/>
        <w:pageBreakBefore w:val="0"/>
        <w:widowControl w:val="0"/>
        <w:wordWrap/>
        <w:overflowPunct/>
        <w:topLinePunct w:val="0"/>
        <w:bidi w:val="0"/>
        <w:spacing w:line="360" w:lineRule="auto"/>
        <w:jc w:val="both"/>
        <w:outlineLvl w:val="1"/>
        <w:rPr>
          <w:rFonts w:ascii="宋体" w:hAnsi="宋体" w:eastAsia="宋体" w:cs="宋体"/>
          <w:color w:val="auto"/>
          <w:spacing w:val="0"/>
          <w:position w:val="0"/>
          <w:sz w:val="24"/>
          <w:szCs w:val="24"/>
          <w:highlight w:val="none"/>
          <w:lang w:eastAsia="zh-CN"/>
        </w:rPr>
      </w:pPr>
      <w:bookmarkStart w:id="5" w:name="_Toc18860"/>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四、提交</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响应</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文件截止时间、</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谈判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时间和地点</w:t>
      </w:r>
      <w:bookmarkEnd w:id="5"/>
    </w:p>
    <w:p w14:paraId="6BFE69B4">
      <w:pPr>
        <w:keepNext w:val="0"/>
        <w:keepLines w:val="0"/>
        <w:pageBreakBefore w:val="0"/>
        <w:widowControl w:val="0"/>
        <w:kinsoku w:val="0"/>
        <w:wordWrap/>
        <w:overflowPunct/>
        <w:topLinePunct w:val="0"/>
        <w:autoSpaceDE w:val="0"/>
        <w:autoSpaceDN w:val="0"/>
        <w:bidi w:val="0"/>
        <w:adjustRightInd w:val="0"/>
        <w:snapToGrid w:val="0"/>
        <w:spacing w:line="360" w:lineRule="auto"/>
        <w:ind w:left="514"/>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u w:val="single"/>
          <w:lang w:val="en-US" w:eastAsia="zh-CN"/>
        </w:rPr>
        <w:t xml:space="preserve">  2026  </w:t>
      </w:r>
      <w:r>
        <w:rPr>
          <w:rFonts w:ascii="宋体" w:hAnsi="宋体" w:eastAsia="宋体" w:cs="宋体"/>
          <w:color w:val="auto"/>
          <w:spacing w:val="0"/>
          <w:position w:val="0"/>
          <w:sz w:val="24"/>
          <w:szCs w:val="24"/>
          <w:highlight w:val="none"/>
          <w:lang w:eastAsia="zh-CN"/>
        </w:rPr>
        <w:t>年</w:t>
      </w:r>
      <w:r>
        <w:rPr>
          <w:rFonts w:hint="eastAsia" w:ascii="宋体" w:hAnsi="宋体" w:eastAsia="宋体" w:cs="宋体"/>
          <w:i w:val="0"/>
          <w:iCs w:val="0"/>
          <w:color w:val="auto"/>
          <w:spacing w:val="0"/>
          <w:position w:val="0"/>
          <w:sz w:val="24"/>
          <w:szCs w:val="24"/>
          <w:highlight w:val="none"/>
          <w:u w:val="single"/>
          <w:lang w:val="en-US" w:eastAsia="zh-CN"/>
        </w:rPr>
        <w:t xml:space="preserve"> 7 </w:t>
      </w:r>
      <w:r>
        <w:rPr>
          <w:rFonts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 xml:space="preserve"> 14 </w:t>
      </w:r>
      <w:r>
        <w:rPr>
          <w:rFonts w:ascii="宋体" w:hAnsi="宋体" w:eastAsia="宋体" w:cs="宋体"/>
          <w:color w:val="auto"/>
          <w:spacing w:val="0"/>
          <w:position w:val="0"/>
          <w:sz w:val="24"/>
          <w:szCs w:val="24"/>
          <w:highlight w:val="none"/>
          <w:lang w:eastAsia="zh-CN"/>
        </w:rPr>
        <w:t>日</w:t>
      </w:r>
      <w:r>
        <w:rPr>
          <w:rFonts w:hint="eastAsia" w:ascii="宋体" w:hAnsi="宋体" w:eastAsia="宋体" w:cs="宋体"/>
          <w:color w:val="auto"/>
          <w:spacing w:val="0"/>
          <w:position w:val="0"/>
          <w:sz w:val="24"/>
          <w:szCs w:val="24"/>
          <w:highlight w:val="none"/>
          <w:u w:val="single"/>
          <w:lang w:val="en-US" w:eastAsia="zh-CN"/>
        </w:rPr>
        <w:t xml:space="preserve"> 09</w:t>
      </w:r>
      <w:r>
        <w:rPr>
          <w:rFonts w:ascii="宋体" w:hAnsi="宋体" w:eastAsia="宋体" w:cs="宋体"/>
          <w:color w:val="auto"/>
          <w:spacing w:val="0"/>
          <w:position w:val="0"/>
          <w:sz w:val="24"/>
          <w:szCs w:val="24"/>
          <w:highlight w:val="none"/>
          <w:lang w:eastAsia="zh-CN"/>
        </w:rPr>
        <w:t>点</w:t>
      </w:r>
      <w:r>
        <w:rPr>
          <w:rFonts w:hint="eastAsia" w:ascii="宋体" w:hAnsi="宋体" w:eastAsia="宋体" w:cs="宋体"/>
          <w:color w:val="auto"/>
          <w:spacing w:val="0"/>
          <w:position w:val="0"/>
          <w:sz w:val="24"/>
          <w:szCs w:val="24"/>
          <w:highlight w:val="none"/>
          <w:u w:val="single"/>
          <w:lang w:val="en-US" w:eastAsia="zh-CN"/>
        </w:rPr>
        <w:t xml:space="preserve"> 30 </w:t>
      </w:r>
      <w:r>
        <w:rPr>
          <w:rFonts w:ascii="宋体" w:hAnsi="宋体" w:eastAsia="宋体" w:cs="宋体"/>
          <w:color w:val="auto"/>
          <w:spacing w:val="0"/>
          <w:position w:val="0"/>
          <w:sz w:val="24"/>
          <w:szCs w:val="24"/>
          <w:highlight w:val="none"/>
          <w:lang w:eastAsia="zh-CN"/>
        </w:rPr>
        <w:t>分（北京时间）</w:t>
      </w:r>
    </w:p>
    <w:p w14:paraId="7B37B08A">
      <w:pPr>
        <w:keepNext w:val="0"/>
        <w:keepLines w:val="0"/>
        <w:pageBreakBefore w:val="0"/>
        <w:widowControl w:val="0"/>
        <w:kinsoku w:val="0"/>
        <w:wordWrap/>
        <w:overflowPunct/>
        <w:topLinePunct w:val="0"/>
        <w:autoSpaceDE w:val="0"/>
        <w:autoSpaceDN w:val="0"/>
        <w:bidi w:val="0"/>
        <w:adjustRightInd w:val="0"/>
        <w:snapToGrid w:val="0"/>
        <w:spacing w:line="360" w:lineRule="auto"/>
        <w:ind w:left="48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地点： </w:t>
      </w:r>
      <w:r>
        <w:rPr>
          <w:rFonts w:hint="eastAsia" w:ascii="宋体" w:hAnsi="宋体" w:eastAsia="宋体" w:cs="宋体"/>
          <w:color w:val="auto"/>
          <w:spacing w:val="0"/>
          <w:position w:val="0"/>
          <w:sz w:val="24"/>
          <w:szCs w:val="24"/>
          <w:highlight w:val="none"/>
          <w:u w:val="single"/>
          <w:lang w:val="en-US" w:eastAsia="zh-CN"/>
        </w:rPr>
        <w:t xml:space="preserve"> 吉安市公共资源交易中心 </w:t>
      </w:r>
    </w:p>
    <w:p w14:paraId="09596EFC">
      <w:pPr>
        <w:keepNext w:val="0"/>
        <w:keepLines w:val="0"/>
        <w:pageBreakBefore w:val="0"/>
        <w:widowControl w:val="0"/>
        <w:numPr>
          <w:ilvl w:val="0"/>
          <w:numId w:val="1"/>
        </w:numPr>
        <w:wordWrap/>
        <w:overflowPunct/>
        <w:topLinePunct w:val="0"/>
        <w:bidi w:val="0"/>
        <w:spacing w:line="360" w:lineRule="auto"/>
        <w:ind w:left="4"/>
        <w:jc w:val="both"/>
        <w:outlineLvl w:val="1"/>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6" w:name="_Toc12340"/>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公告期限</w:t>
      </w:r>
      <w:bookmarkEnd w:id="6"/>
    </w:p>
    <w:p w14:paraId="2A9A4C12">
      <w:pPr>
        <w:keepNext w:val="0"/>
        <w:keepLines w:val="0"/>
        <w:pageBreakBefore w:val="0"/>
        <w:widowControl w:val="0"/>
        <w:kinsoku w:val="0"/>
        <w:wordWrap/>
        <w:overflowPunct/>
        <w:topLinePunct w:val="0"/>
        <w:autoSpaceDE w:val="0"/>
        <w:autoSpaceDN w:val="0"/>
        <w:bidi w:val="0"/>
        <w:adjustRightInd w:val="0"/>
        <w:snapToGrid w:val="0"/>
        <w:spacing w:line="360" w:lineRule="auto"/>
        <w:ind w:left="520"/>
        <w:jc w:val="both"/>
        <w:textAlignment w:val="baseline"/>
        <w:rPr>
          <w:rFonts w:hint="eastAsia"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自本公告发布之日起</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个工作日</w:t>
      </w:r>
      <w:r>
        <w:rPr>
          <w:rFonts w:hint="eastAsia" w:ascii="宋体" w:hAnsi="宋体" w:eastAsia="宋体" w:cs="宋体"/>
          <w:color w:val="auto"/>
          <w:spacing w:val="0"/>
          <w:position w:val="0"/>
          <w:sz w:val="24"/>
          <w:szCs w:val="24"/>
          <w:highlight w:val="none"/>
          <w:lang w:eastAsia="zh-CN"/>
        </w:rPr>
        <w:t>。</w:t>
      </w:r>
    </w:p>
    <w:p w14:paraId="161672EB">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outlineLvl w:val="1"/>
        <w:rPr>
          <w:rFonts w:ascii="宋体" w:hAnsi="宋体" w:eastAsia="宋体" w:cs="宋体"/>
          <w:color w:val="auto"/>
          <w:spacing w:val="0"/>
          <w:position w:val="0"/>
          <w:sz w:val="24"/>
          <w:szCs w:val="24"/>
          <w:highlight w:val="none"/>
          <w:lang w:eastAsia="zh-CN"/>
        </w:rPr>
      </w:pPr>
      <w:bookmarkStart w:id="7" w:name="_Toc18045"/>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六、其他补充事宜</w:t>
      </w:r>
      <w:bookmarkEnd w:id="7"/>
    </w:p>
    <w:p w14:paraId="249DD7FC">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w:t>
      </w:r>
      <w:r>
        <w:rPr>
          <w:rFonts w:ascii="宋体" w:hAnsi="宋体" w:eastAsia="宋体" w:cs="宋体"/>
          <w:color w:val="auto"/>
          <w:spacing w:val="0"/>
          <w:position w:val="0"/>
          <w:sz w:val="24"/>
          <w:szCs w:val="24"/>
          <w:highlight w:val="none"/>
          <w:lang w:eastAsia="zh-CN"/>
        </w:rPr>
        <w:t>潜在</w:t>
      </w:r>
      <w:r>
        <w:rPr>
          <w:rFonts w:hint="eastAsia" w:ascii="宋体" w:hAnsi="宋体" w:eastAsia="宋体" w:cs="宋体"/>
          <w:color w:val="auto"/>
          <w:spacing w:val="0"/>
          <w:position w:val="0"/>
          <w:sz w:val="24"/>
          <w:szCs w:val="24"/>
          <w:highlight w:val="none"/>
          <w:lang w:val="en-US" w:eastAsia="zh-CN"/>
        </w:rPr>
        <w:t>供应商</w:t>
      </w:r>
      <w:r>
        <w:rPr>
          <w:rFonts w:ascii="宋体" w:hAnsi="宋体" w:eastAsia="宋体" w:cs="宋体"/>
          <w:color w:val="auto"/>
          <w:spacing w:val="0"/>
          <w:position w:val="0"/>
          <w:sz w:val="24"/>
          <w:szCs w:val="24"/>
          <w:highlight w:val="none"/>
          <w:lang w:eastAsia="zh-CN"/>
        </w:rPr>
        <w:t>必须在江西省公共资源交易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（网址：</w:t>
      </w:r>
      <w:r>
        <w:rPr>
          <w:rFonts w:hint="eastAsia" w:ascii="宋体" w:hAnsi="宋体" w:eastAsia="宋体" w:cs="宋体"/>
          <w:color w:val="auto"/>
          <w:spacing w:val="0"/>
          <w:position w:val="0"/>
          <w:sz w:val="24"/>
          <w:szCs w:val="24"/>
          <w:highlight w:val="none"/>
          <w:u w:val="single"/>
          <w:lang w:val="en-US" w:eastAsia="zh-CN"/>
        </w:rPr>
        <w:t xml:space="preserve">https://www.jxsggzy.cn </w:t>
      </w:r>
      <w:r>
        <w:rPr>
          <w:rFonts w:ascii="宋体" w:hAnsi="宋体" w:eastAsia="宋体" w:cs="宋体"/>
          <w:color w:val="auto"/>
          <w:spacing w:val="0"/>
          <w:position w:val="0"/>
          <w:sz w:val="24"/>
          <w:szCs w:val="24"/>
          <w:highlight w:val="none"/>
          <w:lang w:eastAsia="zh-CN"/>
        </w:rPr>
        <w:t>） 注册并办理江西省 CA 数字证书和电子签章。具体要求详见</w:t>
      </w:r>
      <w:r>
        <w:rPr>
          <w:rFonts w:hint="eastAsia" w:ascii="宋体" w:hAnsi="宋体" w:eastAsia="宋体" w:cs="宋体"/>
          <w:strike w:val="0"/>
          <w:dstrike w:val="0"/>
          <w:color w:val="auto"/>
          <w:spacing w:val="0"/>
          <w:position w:val="0"/>
          <w:sz w:val="24"/>
          <w:szCs w:val="24"/>
          <w:highlight w:val="none"/>
          <w:u w:val="none"/>
          <w:lang w:eastAsia="zh-CN"/>
        </w:rPr>
        <w:t>“</w:t>
      </w:r>
      <w:r>
        <w:rPr>
          <w:rFonts w:ascii="宋体" w:hAnsi="宋体" w:eastAsia="宋体" w:cs="宋体"/>
          <w:color w:val="auto"/>
          <w:spacing w:val="0"/>
          <w:position w:val="0"/>
          <w:sz w:val="24"/>
          <w:szCs w:val="24"/>
          <w:highlight w:val="none"/>
          <w:lang w:eastAsia="zh-CN"/>
        </w:rPr>
        <w:t>江西省公共资源交易</w:t>
      </w:r>
      <w:r>
        <w:rPr>
          <w:rFonts w:hint="eastAsia" w:ascii="宋体" w:hAnsi="宋体" w:eastAsia="宋体" w:cs="宋体"/>
          <w:color w:val="auto"/>
          <w:spacing w:val="0"/>
          <w:position w:val="0"/>
          <w:sz w:val="24"/>
          <w:szCs w:val="24"/>
          <w:highlight w:val="none"/>
          <w:lang w:val="en-US" w:eastAsia="zh-CN"/>
        </w:rPr>
        <w:t>平台-服务指南-投标单位”（网址：</w:t>
      </w:r>
      <w:r>
        <w:rPr>
          <w:rFonts w:hint="eastAsia" w:ascii="宋体" w:hAnsi="宋体" w:eastAsia="宋体" w:cs="宋体"/>
          <w:color w:val="auto"/>
          <w:spacing w:val="0"/>
          <w:position w:val="0"/>
          <w:sz w:val="24"/>
          <w:szCs w:val="24"/>
          <w:highlight w:val="none"/>
          <w:u w:val="single"/>
          <w:lang w:val="en-US" w:eastAsia="zh-CN"/>
        </w:rPr>
        <w:t xml:space="preserve">https://www.jxsggzy.cn </w:t>
      </w:r>
      <w:r>
        <w:rPr>
          <w:rFonts w:hint="eastAsia" w:ascii="宋体" w:hAnsi="宋体" w:eastAsia="宋体" w:cs="宋体"/>
          <w:color w:val="auto"/>
          <w:spacing w:val="0"/>
          <w:position w:val="0"/>
          <w:sz w:val="24"/>
          <w:szCs w:val="24"/>
          <w:highlight w:val="none"/>
          <w:lang w:val="en-US" w:eastAsia="zh-CN"/>
        </w:rPr>
        <w:t>）。</w:t>
      </w:r>
      <w:r>
        <w:rPr>
          <w:rFonts w:ascii="宋体" w:hAnsi="宋体" w:eastAsia="宋体" w:cs="宋体"/>
          <w:strike w:val="0"/>
          <w:dstrike w:val="0"/>
          <w:color w:val="auto"/>
          <w:spacing w:val="0"/>
          <w:position w:val="0"/>
          <w:sz w:val="24"/>
          <w:szCs w:val="24"/>
          <w:highlight w:val="none"/>
          <w:u w:val="none"/>
          <w:lang w:eastAsia="zh-CN"/>
        </w:rPr>
        <w:t>潜在</w:t>
      </w:r>
      <w:r>
        <w:rPr>
          <w:rFonts w:hint="eastAsia" w:ascii="宋体" w:hAnsi="宋体" w:eastAsia="宋体" w:cs="宋体"/>
          <w:color w:val="auto"/>
          <w:spacing w:val="0"/>
          <w:position w:val="0"/>
          <w:sz w:val="24"/>
          <w:szCs w:val="24"/>
          <w:highlight w:val="none"/>
          <w:lang w:val="en-US" w:eastAsia="zh-CN"/>
        </w:rPr>
        <w:t>供应商</w:t>
      </w:r>
      <w:r>
        <w:rPr>
          <w:rFonts w:ascii="宋体" w:hAnsi="宋体" w:eastAsia="宋体" w:cs="宋体"/>
          <w:strike w:val="0"/>
          <w:dstrike w:val="0"/>
          <w:color w:val="auto"/>
          <w:spacing w:val="0"/>
          <w:position w:val="0"/>
          <w:sz w:val="24"/>
          <w:szCs w:val="24"/>
          <w:highlight w:val="none"/>
          <w:u w:val="none"/>
          <w:lang w:eastAsia="zh-CN"/>
        </w:rPr>
        <w:t>未使用</w:t>
      </w:r>
      <w:r>
        <w:rPr>
          <w:rFonts w:hint="eastAsia" w:ascii="宋体" w:hAnsi="宋体" w:eastAsia="宋体" w:cs="宋体"/>
          <w:strike w:val="0"/>
          <w:dstrike w:val="0"/>
          <w:color w:val="auto"/>
          <w:spacing w:val="0"/>
          <w:position w:val="0"/>
          <w:sz w:val="24"/>
          <w:szCs w:val="24"/>
          <w:highlight w:val="none"/>
          <w:u w:val="none"/>
          <w:lang w:val="en-US" w:eastAsia="zh-CN"/>
        </w:rPr>
        <w:t>本单位</w:t>
      </w:r>
      <w:r>
        <w:rPr>
          <w:rFonts w:ascii="宋体" w:hAnsi="宋体" w:eastAsia="宋体" w:cs="宋体"/>
          <w:strike w:val="0"/>
          <w:dstrike w:val="0"/>
          <w:color w:val="auto"/>
          <w:spacing w:val="0"/>
          <w:position w:val="0"/>
          <w:sz w:val="24"/>
          <w:szCs w:val="24"/>
          <w:highlight w:val="none"/>
          <w:u w:val="none"/>
          <w:lang w:eastAsia="zh-CN"/>
        </w:rPr>
        <w:t xml:space="preserve"> CA 数字证书在江西</w:t>
      </w:r>
      <w:r>
        <w:rPr>
          <w:rFonts w:ascii="宋体" w:hAnsi="宋体" w:eastAsia="宋体" w:cs="宋体"/>
          <w:color w:val="auto"/>
          <w:spacing w:val="0"/>
          <w:position w:val="0"/>
          <w:sz w:val="24"/>
          <w:szCs w:val="24"/>
          <w:highlight w:val="none"/>
          <w:lang w:eastAsia="zh-CN"/>
        </w:rPr>
        <w:t>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下载</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文件的，</w:t>
      </w:r>
      <w:r>
        <w:rPr>
          <w:rFonts w:hint="eastAsia" w:ascii="宋体" w:hAnsi="宋体" w:eastAsia="宋体" w:cs="宋体"/>
          <w:strike w:val="0"/>
          <w:dstrike w:val="0"/>
          <w:color w:val="auto"/>
          <w:spacing w:val="0"/>
          <w:position w:val="0"/>
          <w:sz w:val="24"/>
          <w:szCs w:val="24"/>
          <w:highlight w:val="none"/>
          <w:lang w:val="en-US" w:eastAsia="zh-CN"/>
        </w:rPr>
        <w:t>视为未获取谈判文件，</w:t>
      </w:r>
      <w:r>
        <w:rPr>
          <w:rFonts w:ascii="宋体" w:hAnsi="宋体" w:eastAsia="宋体" w:cs="宋体"/>
          <w:color w:val="auto"/>
          <w:spacing w:val="0"/>
          <w:position w:val="0"/>
          <w:sz w:val="24"/>
          <w:szCs w:val="24"/>
          <w:highlight w:val="none"/>
          <w:lang w:eastAsia="zh-CN"/>
        </w:rPr>
        <w:t>不得参加本项目的</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活动；</w:t>
      </w:r>
    </w:p>
    <w:p w14:paraId="67D48566">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2.本项目采用</w:t>
      </w:r>
      <w:r>
        <w:rPr>
          <w:rFonts w:hint="eastAsia" w:ascii="宋体" w:hAnsi="宋体" w:eastAsia="宋体" w:cs="宋体"/>
          <w:b/>
          <w:bCs/>
          <w:color w:val="auto"/>
          <w:spacing w:val="0"/>
          <w:position w:val="0"/>
          <w:sz w:val="24"/>
          <w:szCs w:val="24"/>
          <w:highlight w:val="none"/>
          <w:lang w:val="en-US" w:eastAsia="zh-CN"/>
        </w:rPr>
        <w:t>“不见面”谈判方式</w:t>
      </w:r>
      <w:r>
        <w:rPr>
          <w:rFonts w:hint="eastAsia" w:ascii="宋体" w:hAnsi="宋体" w:eastAsia="宋体" w:cs="宋体"/>
          <w:color w:val="auto"/>
          <w:spacing w:val="0"/>
          <w:position w:val="0"/>
          <w:sz w:val="24"/>
          <w:szCs w:val="24"/>
          <w:highlight w:val="none"/>
          <w:lang w:val="en-US" w:eastAsia="zh-CN"/>
        </w:rPr>
        <w:t>，供应商无需到谈判现场，供应商应在提交响应文件截止时间前1小时进入江西省公共资源交易网-不见面开标大厅进行线上签到（具体详见供应商操作手册），否则无法进入后续的谈判环节。具体注意事项详见谈判文件第二章，各供应商需保持在线进行远程线上报价，</w:t>
      </w:r>
      <w:r>
        <w:rPr>
          <w:rFonts w:hint="eastAsia" w:ascii="宋体" w:hAnsi="宋体" w:eastAsia="宋体" w:cs="宋体"/>
          <w:b/>
          <w:bCs/>
          <w:color w:val="auto"/>
          <w:spacing w:val="0"/>
          <w:position w:val="0"/>
          <w:sz w:val="24"/>
          <w:szCs w:val="24"/>
          <w:highlight w:val="none"/>
          <w:lang w:val="en-US" w:eastAsia="zh-CN"/>
        </w:rPr>
        <w:t>规定时间内</w:t>
      </w:r>
      <w:r>
        <w:rPr>
          <w:rFonts w:hint="eastAsia" w:ascii="宋体" w:hAnsi="宋体" w:eastAsia="宋体" w:cs="宋体"/>
          <w:b/>
          <w:bCs/>
          <w:color w:val="auto"/>
          <w:spacing w:val="0"/>
          <w:position w:val="0"/>
          <w:sz w:val="24"/>
          <w:szCs w:val="24"/>
          <w:highlight w:val="none"/>
        </w:rPr>
        <w:t>未完成二次报价的</w:t>
      </w:r>
      <w:r>
        <w:rPr>
          <w:rFonts w:hint="eastAsia" w:ascii="宋体" w:hAnsi="宋体" w:eastAsia="宋体" w:cs="宋体"/>
          <w:color w:val="auto"/>
          <w:spacing w:val="0"/>
          <w:position w:val="0"/>
          <w:sz w:val="24"/>
          <w:szCs w:val="24"/>
          <w:highlight w:val="none"/>
          <w:lang w:val="en-US" w:eastAsia="zh-CN"/>
        </w:rPr>
        <w:t>，视为退出谈判。</w:t>
      </w:r>
    </w:p>
    <w:p w14:paraId="34721F98">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22" w:firstLineChars="176"/>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3.本项目采购国内产品，不允许提供进口产品参与采购活动；</w:t>
      </w:r>
    </w:p>
    <w:p w14:paraId="2EAB312D">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22" w:firstLineChars="176"/>
        <w:jc w:val="both"/>
        <w:textAlignment w:val="baseline"/>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w:t>
      </w:r>
      <w:r>
        <w:rPr>
          <w:rFonts w:hint="eastAsia" w:ascii="宋体" w:hAnsi="宋体" w:eastAsia="宋体" w:cs="宋体"/>
          <w:color w:val="auto"/>
          <w:spacing w:val="-1"/>
          <w:sz w:val="24"/>
          <w:szCs w:val="24"/>
          <w:highlight w:val="none"/>
          <w:lang w:val="en-US" w:eastAsia="zh-CN"/>
        </w:rPr>
        <w:t>本项目需要落实的政府采购政策：节约能源，保护环境，促进中小企业发展，支持监狱、戒毒企业发展，促进残疾人就业等政府采购政策（不适用者除外）。</w:t>
      </w:r>
    </w:p>
    <w:p w14:paraId="4DFAC84B">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18" w:firstLineChars="176"/>
        <w:jc w:val="both"/>
        <w:textAlignment w:val="baseline"/>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5.本项目不采用远程异地评标。</w:t>
      </w:r>
    </w:p>
    <w:p w14:paraId="6D383532">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22" w:firstLineChars="176"/>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6.其它注意事项：</w:t>
      </w:r>
    </w:p>
    <w:p w14:paraId="2693BCA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（1）在提交响应文件截止时间前，各供应商在不见面开标系统页面进行在线签到。</w:t>
      </w:r>
    </w:p>
    <w:p w14:paraId="57607E8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（2）供应商缴纳完保证金后必须点击保证金查询按查询按钮，进行保证金查询。否则可能无法入账，由此引发的后果由投标人自行承担。</w:t>
      </w:r>
    </w:p>
    <w:p w14:paraId="6AB9B6E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（3）响应文件解密时间：在采购代理机构宣布开始解密后，所有供应商须在 20分钟内完成解密。若在规定时间内供应商未解密完成，解密无效，系统将其响应文件退回，视为无效响应。</w:t>
      </w:r>
    </w:p>
    <w:p w14:paraId="5CFAB5D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（4）本项目为不见面竞争性谈判，请各供应商提前下载好谷歌或 Edge浏览器并且安装好音频（对讲）设备，以便进行竞争性谈判程序。</w:t>
      </w:r>
    </w:p>
    <w:p w14:paraId="6FE433E2">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（5）本项目二次报价时间为</w:t>
      </w:r>
      <w:r>
        <w:rPr>
          <w:rFonts w:hint="eastAsia" w:ascii="宋体" w:hAnsi="宋体" w:eastAsia="宋体" w:cs="宋体"/>
          <w:b/>
          <w:bCs/>
          <w:color w:val="auto"/>
          <w:spacing w:val="0"/>
          <w:position w:val="0"/>
          <w:sz w:val="24"/>
          <w:szCs w:val="24"/>
          <w:highlight w:val="none"/>
          <w:u w:val="single"/>
          <w:lang w:val="en-US" w:eastAsia="zh-CN"/>
        </w:rPr>
        <w:t xml:space="preserve"> 20</w:t>
      </w:r>
      <w:r>
        <w:rPr>
          <w:rFonts w:hint="eastAsia" w:ascii="宋体" w:hAnsi="宋体" w:eastAsia="宋体" w:cs="宋体"/>
          <w:b/>
          <w:bCs/>
          <w:color w:val="auto"/>
          <w:spacing w:val="0"/>
          <w:position w:val="0"/>
          <w:sz w:val="24"/>
          <w:szCs w:val="24"/>
          <w:highlight w:val="none"/>
          <w:lang w:val="en-US" w:eastAsia="zh-CN"/>
        </w:rPr>
        <w:t>分钟，20分钟内未完成二次报价的，视为放弃本轮报价，作无效投标处理（不能以前一轮报价作为评审价格）。二次报价各供应商须登录江西省公共资源交易平台中进行报价。</w:t>
      </w:r>
    </w:p>
    <w:p w14:paraId="591783A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（6）供应商对响应文件解密过程和评审结果有异议的，可将异议内容以书面形式提出并加盖供应商公章后扫描上传至本项目不见面开标大厅‘开标异议文字提问’栏中。</w:t>
      </w:r>
    </w:p>
    <w:p w14:paraId="4A4502A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（7）意外情况的处理：</w:t>
      </w:r>
    </w:p>
    <w:p w14:paraId="5E91557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开标场所出现下列情形导致系统无法正常运行，或者无法保证交易过程的公平、公正和信息安全时，采购人、采购代理机构、交易中心免责：</w:t>
      </w:r>
    </w:p>
    <w:p w14:paraId="6E60D4D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①所涉开标项目电子服务、交易系统服务器发生故障而无法访问网站或无法使用系统；</w:t>
      </w:r>
    </w:p>
    <w:p w14:paraId="0F6C423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②所涉开标项目电子服务、交易系统的软件或网络数据库出现错误，不能进行操作；</w:t>
      </w:r>
    </w:p>
    <w:p w14:paraId="372F68B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③系统存在安全漏洞，有潜在的涉密危险；</w:t>
      </w:r>
    </w:p>
    <w:p w14:paraId="1156F3F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④运行服务器病毒发作导致系统无法正常运行的；</w:t>
      </w:r>
    </w:p>
    <w:p w14:paraId="4EBD251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⑤电力系统发生故障导致交易系统无法运行的；</w:t>
      </w:r>
    </w:p>
    <w:p w14:paraId="62BA9C7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⑥其他不可抗力（地震、洪水等）原因导致开标活动无法正常进行的。</w:t>
      </w:r>
    </w:p>
    <w:p w14:paraId="089CB76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出现上述所列情形，不能及时解决的，应由项目实施主体、监管部门和交易中心及时进行协商。可以采取以下办法处理：</w:t>
      </w:r>
    </w:p>
    <w:p w14:paraId="237D689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系统或网络故障在三小时内能排除的，项目不暂停开标，三小时内系统恢复运行后继续实施开标。系统或网络故障在三个小时内未能排除的，项目暂停开标，并在江西省共资源交易网、吉安政府采购网等网站发布暂停通告，待系统恢复后另行通知开标。</w:t>
      </w:r>
    </w:p>
    <w:p w14:paraId="14DB88D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8）供应商应仔细阅读“江西省公共资源交易中心不见面开标大厅操作手册”（下载地址https://www.jxsggzy.cn/fwzn/007001/007001003/20220516/e12ffd62-f0f5-49a8-b21a-180e857bcb8e.html），如有疑问请联系新点工作人员，联系电话：0512-58188507。</w:t>
      </w:r>
    </w:p>
    <w:p w14:paraId="01018831">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18" w:firstLineChars="176"/>
        <w:jc w:val="both"/>
        <w:textAlignment w:val="baseline"/>
        <w:rPr>
          <w:rFonts w:hint="eastAsia" w:ascii="宋体" w:hAnsi="宋体" w:eastAsia="宋体" w:cs="宋体"/>
          <w:color w:val="auto"/>
          <w:spacing w:val="-1"/>
          <w:sz w:val="24"/>
          <w:szCs w:val="24"/>
          <w:highlight w:val="none"/>
          <w:lang w:val="en-US" w:eastAsia="zh-CN"/>
        </w:rPr>
      </w:pPr>
    </w:p>
    <w:p w14:paraId="1982F49C">
      <w:pPr>
        <w:keepNext w:val="0"/>
        <w:keepLines w:val="0"/>
        <w:pageBreakBefore w:val="0"/>
        <w:widowControl w:val="0"/>
        <w:wordWrap/>
        <w:overflowPunct/>
        <w:topLinePunct w:val="0"/>
        <w:bidi w:val="0"/>
        <w:spacing w:line="360" w:lineRule="auto"/>
        <w:jc w:val="both"/>
        <w:outlineLvl w:val="1"/>
        <w:rPr>
          <w:rFonts w:hint="default" w:ascii="宋体" w:hAnsi="宋体" w:eastAsia="宋体" w:cs="宋体"/>
          <w:color w:val="auto"/>
          <w:spacing w:val="0"/>
          <w:position w:val="0"/>
          <w:sz w:val="24"/>
          <w:szCs w:val="24"/>
          <w:highlight w:val="none"/>
          <w:lang w:val="en-US" w:eastAsia="zh-CN"/>
        </w:rPr>
      </w:pPr>
      <w:bookmarkStart w:id="8" w:name="_Toc4399"/>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七、对本次</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提出询问，请按以下方式联系</w:t>
      </w:r>
      <w:bookmarkEnd w:id="8"/>
    </w:p>
    <w:p w14:paraId="55E3B1CD">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1.采购人信息</w:t>
      </w:r>
    </w:p>
    <w:p w14:paraId="6449815E">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名 称：</w:t>
      </w:r>
      <w:r>
        <w:rPr>
          <w:rFonts w:hint="eastAsia" w:ascii="宋体" w:hAnsi="宋体" w:eastAsia="宋体" w:cs="宋体"/>
          <w:color w:val="auto"/>
          <w:spacing w:val="0"/>
          <w:position w:val="0"/>
          <w:sz w:val="24"/>
          <w:szCs w:val="24"/>
          <w:highlight w:val="none"/>
          <w:u w:val="single"/>
          <w:lang w:val="en-US" w:eastAsia="zh-CN"/>
        </w:rPr>
        <w:t xml:space="preserve"> 安福县武功山林场 </w:t>
      </w:r>
      <w:r>
        <w:rPr>
          <w:rFonts w:hint="eastAsia" w:ascii="宋体" w:hAnsi="宋体" w:eastAsia="宋体" w:cs="宋体"/>
          <w:color w:val="auto"/>
          <w:spacing w:val="0"/>
          <w:position w:val="0"/>
          <w:sz w:val="24"/>
          <w:szCs w:val="24"/>
          <w:highlight w:val="none"/>
          <w:lang w:val="en-US" w:eastAsia="zh-CN"/>
        </w:rPr>
        <w:t xml:space="preserve"> </w:t>
      </w:r>
    </w:p>
    <w:p w14:paraId="6A121681">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 xml:space="preserve">地 址： </w:t>
      </w:r>
      <w:r>
        <w:rPr>
          <w:rFonts w:hint="eastAsia" w:ascii="宋体" w:hAnsi="宋体" w:eastAsia="宋体" w:cs="宋体"/>
          <w:color w:val="auto"/>
          <w:spacing w:val="0"/>
          <w:position w:val="0"/>
          <w:sz w:val="24"/>
          <w:szCs w:val="24"/>
          <w:highlight w:val="none"/>
          <w:u w:val="single"/>
          <w:lang w:val="en-US" w:eastAsia="zh-CN"/>
        </w:rPr>
        <w:t xml:space="preserve"> 安福县洋溪镇 </w:t>
      </w:r>
    </w:p>
    <w:p w14:paraId="33E19206">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736" w:leftChars="200" w:hanging="316" w:hangingChars="132"/>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 xml:space="preserve">联系方式： </w:t>
      </w:r>
      <w:r>
        <w:rPr>
          <w:rFonts w:hint="eastAsia" w:ascii="宋体" w:hAnsi="宋体" w:eastAsia="宋体" w:cs="宋体"/>
          <w:color w:val="auto"/>
          <w:spacing w:val="0"/>
          <w:position w:val="0"/>
          <w:sz w:val="24"/>
          <w:szCs w:val="24"/>
          <w:highlight w:val="none"/>
          <w:u w:val="single"/>
          <w:lang w:val="en-US" w:eastAsia="zh-CN"/>
        </w:rPr>
        <w:t xml:space="preserve"> 肖平江   </w:t>
      </w:r>
      <w:bookmarkStart w:id="9" w:name="OLE_LINK3"/>
      <w:r>
        <w:rPr>
          <w:rFonts w:hint="eastAsia" w:ascii="宋体" w:hAnsi="宋体" w:eastAsia="宋体" w:cs="宋体"/>
          <w:color w:val="auto"/>
          <w:spacing w:val="0"/>
          <w:position w:val="0"/>
          <w:sz w:val="24"/>
          <w:szCs w:val="24"/>
          <w:highlight w:val="none"/>
          <w:u w:val="single"/>
          <w:lang w:val="en-US" w:eastAsia="zh-CN"/>
        </w:rPr>
        <w:t>15979662305</w:t>
      </w:r>
      <w:bookmarkEnd w:id="9"/>
      <w:r>
        <w:rPr>
          <w:rFonts w:hint="eastAsia" w:ascii="宋体" w:hAnsi="宋体" w:eastAsia="宋体" w:cs="宋体"/>
          <w:color w:val="auto"/>
          <w:spacing w:val="0"/>
          <w:position w:val="0"/>
          <w:sz w:val="24"/>
          <w:szCs w:val="24"/>
          <w:highlight w:val="none"/>
          <w:u w:val="single"/>
          <w:lang w:val="en-US" w:eastAsia="zh-CN"/>
        </w:rPr>
        <w:t xml:space="preserve">     </w:t>
      </w:r>
    </w:p>
    <w:p w14:paraId="7A9D9140">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736" w:leftChars="200" w:hanging="316" w:hangingChars="132"/>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2.采购代理机构信息</w:t>
      </w:r>
    </w:p>
    <w:p w14:paraId="21EA82D4">
      <w:pPr>
        <w:keepNext w:val="0"/>
        <w:keepLines w:val="0"/>
        <w:pageBreakBefore w:val="0"/>
        <w:widowControl w:val="0"/>
        <w:tabs>
          <w:tab w:val="left" w:pos="1050"/>
        </w:tabs>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名 称：</w:t>
      </w:r>
      <w:r>
        <w:rPr>
          <w:rFonts w:hint="eastAsia" w:ascii="宋体" w:hAnsi="宋体" w:eastAsia="宋体" w:cs="宋体"/>
          <w:color w:val="auto"/>
          <w:spacing w:val="0"/>
          <w:position w:val="0"/>
          <w:sz w:val="24"/>
          <w:szCs w:val="24"/>
          <w:highlight w:val="none"/>
          <w:u w:val="single"/>
          <w:lang w:val="en-US" w:eastAsia="zh-CN"/>
        </w:rPr>
        <w:t xml:space="preserve"> 江西银辉工程管理有限公司 </w:t>
      </w:r>
    </w:p>
    <w:p w14:paraId="5EECB2C6">
      <w:pPr>
        <w:keepNext w:val="0"/>
        <w:keepLines w:val="0"/>
        <w:pageBreakBefore w:val="0"/>
        <w:widowControl w:val="0"/>
        <w:tabs>
          <w:tab w:val="left" w:pos="1050"/>
        </w:tabs>
        <w:kinsoku w:val="0"/>
        <w:wordWrap/>
        <w:overflowPunct/>
        <w:topLinePunct w:val="0"/>
        <w:autoSpaceDE w:val="0"/>
        <w:autoSpaceDN w:val="0"/>
        <w:bidi w:val="0"/>
        <w:adjustRightInd w:val="0"/>
        <w:snapToGrid w:val="0"/>
        <w:spacing w:afterAutospacing="0" w:line="360" w:lineRule="auto"/>
        <w:ind w:left="736" w:leftChars="200" w:hanging="316" w:hangingChars="132"/>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地 址：</w:t>
      </w:r>
      <w:r>
        <w:rPr>
          <w:rFonts w:hint="eastAsia" w:ascii="宋体" w:hAnsi="宋体" w:eastAsia="宋体" w:cs="宋体"/>
          <w:color w:val="auto"/>
          <w:spacing w:val="0"/>
          <w:position w:val="0"/>
          <w:sz w:val="24"/>
          <w:szCs w:val="24"/>
          <w:highlight w:val="none"/>
          <w:u w:val="single"/>
          <w:lang w:val="en-US" w:eastAsia="zh-CN"/>
        </w:rPr>
        <w:t xml:space="preserve"> 江西省吉安市安福县文苑路551号晶宝活动中心商铺3楼317 </w:t>
      </w:r>
    </w:p>
    <w:p w14:paraId="192B26DB">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736" w:leftChars="200" w:hanging="316" w:hangingChars="132"/>
        <w:textAlignment w:val="baseline"/>
        <w:rPr>
          <w:rFonts w:hint="eastAsia" w:ascii="宋体" w:hAnsi="宋体" w:eastAsia="宋体" w:cs="宋体"/>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lang w:eastAsia="zh-CN"/>
        </w:rPr>
        <w:t xml:space="preserve">项目联系人： </w:t>
      </w:r>
      <w:r>
        <w:rPr>
          <w:rFonts w:hint="eastAsia" w:ascii="宋体" w:hAnsi="宋体" w:eastAsia="宋体" w:cs="宋体"/>
          <w:color w:val="auto"/>
          <w:spacing w:val="0"/>
          <w:position w:val="0"/>
          <w:sz w:val="24"/>
          <w:szCs w:val="24"/>
          <w:highlight w:val="none"/>
          <w:u w:val="single"/>
          <w:lang w:val="en-US" w:eastAsia="zh-CN"/>
        </w:rPr>
        <w:t xml:space="preserve"> 周女士 </w:t>
      </w:r>
    </w:p>
    <w:p w14:paraId="589D3FD3">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textAlignment w:val="baseline"/>
        <w:rPr>
          <w:rFonts w:hint="eastAsia" w:ascii="宋体" w:hAnsi="宋体" w:eastAsia="宋体" w:cs="宋体"/>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lang w:eastAsia="zh-CN"/>
        </w:rPr>
        <w:t xml:space="preserve">电  话： </w:t>
      </w:r>
      <w:r>
        <w:rPr>
          <w:rFonts w:hint="eastAsia" w:ascii="宋体" w:hAnsi="宋体" w:eastAsia="宋体" w:cs="宋体"/>
          <w:color w:val="auto"/>
          <w:spacing w:val="0"/>
          <w:position w:val="0"/>
          <w:sz w:val="24"/>
          <w:szCs w:val="24"/>
          <w:highlight w:val="none"/>
          <w:u w:val="single"/>
          <w:lang w:val="en-US" w:eastAsia="zh-CN"/>
        </w:rPr>
        <w:t xml:space="preserve"> 18079669995 </w:t>
      </w:r>
    </w:p>
    <w:p w14:paraId="5689D939">
      <w:pPr>
        <w:keepNext w:val="0"/>
        <w:keepLines w:val="0"/>
        <w:pageBreakBefore w:val="0"/>
        <w:widowControl w:val="0"/>
        <w:tabs>
          <w:tab w:val="left" w:pos="1050"/>
        </w:tabs>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rPr>
          <w:rFonts w:hint="eastAsia" w:ascii="宋体" w:hAnsi="宋体" w:eastAsia="宋体" w:cs="宋体"/>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lang w:eastAsia="zh-CN"/>
        </w:rPr>
        <w:t>电子函件：</w:t>
      </w:r>
      <w:r>
        <w:rPr>
          <w:rFonts w:hint="eastAsia" w:ascii="宋体" w:hAnsi="宋体" w:eastAsia="宋体" w:cs="宋体"/>
          <w:color w:val="auto"/>
          <w:spacing w:val="0"/>
          <w:position w:val="0"/>
          <w:sz w:val="24"/>
          <w:szCs w:val="24"/>
          <w:highlight w:val="none"/>
          <w:u w:val="single"/>
          <w:lang w:val="en-US" w:eastAsia="zh-CN"/>
        </w:rPr>
        <w:t xml:space="preserve"> 634151193@qq.com </w:t>
      </w:r>
    </w:p>
    <w:p w14:paraId="0B5B628E"/>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B3745"/>
    <w:multiLevelType w:val="singleLevel"/>
    <w:tmpl w:val="A74B3745"/>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YwOGE1ZTI4NDNiMDRmMDVhZTlmMTVjNjlhOTFhYTAifQ=="/>
  </w:docVars>
  <w:rsids>
    <w:rsidRoot w:val="0D805E7F"/>
    <w:rsid w:val="0D805E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7">
    <w:name w:val="Default Paragraph Font"/>
    <w:semiHidden/>
    <w:qFormat/>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Body Text Indent"/>
    <w:basedOn w:val="1"/>
    <w:unhideWhenUsed/>
    <w:qFormat/>
    <w:uiPriority w:val="99"/>
    <w:pPr>
      <w:spacing w:after="120"/>
      <w:ind w:left="420" w:leftChars="200"/>
    </w:pPr>
    <w:rPr>
      <w:rFonts w:eastAsia="微软雅黑"/>
      <w:kern w:val="0"/>
      <w:sz w:val="24"/>
      <w:szCs w:val="20"/>
    </w:rPr>
  </w:style>
  <w:style w:type="paragraph" w:styleId="5">
    <w:name w:val="footer"/>
    <w:basedOn w:val="1"/>
    <w:qFormat/>
    <w:uiPriority w:val="0"/>
    <w:pPr>
      <w:tabs>
        <w:tab w:val="center" w:pos="4153"/>
        <w:tab w:val="right" w:pos="8306"/>
      </w:tabs>
    </w:pPr>
    <w:rPr>
      <w:sz w:val="18"/>
    </w:rPr>
  </w:style>
  <w:style w:type="paragraph" w:customStyle="1" w:styleId="8">
    <w:name w:val="WPSOffice手动目录 1"/>
    <w:qFormat/>
    <w:uiPriority w:val="0"/>
    <w:pPr>
      <w:ind w:leftChars="0"/>
    </w:pPr>
    <w:rPr>
      <w:rFonts w:ascii="Times New Roman" w:hAnsi="Times New Roman" w:eastAsia="宋体" w:cs="Times New Roman"/>
      <w:sz w:val="20"/>
      <w:szCs w:val="20"/>
    </w:rPr>
  </w:style>
  <w:style w:type="table" w:customStyle="1" w:styleId="9">
    <w:name w:val="Table Normal"/>
    <w:semiHidden/>
    <w:unhideWhenUsed/>
    <w:qFormat/>
    <w:uiPriority w:val="0"/>
    <w:tblPr>
      <w:tblCellMar>
        <w:top w:w="0" w:type="dxa"/>
        <w:left w:w="0" w:type="dxa"/>
        <w:bottom w:w="0" w:type="dxa"/>
        <w:right w:w="0" w:type="dxa"/>
      </w:tblCellMar>
    </w:tblPr>
  </w:style>
  <w:style w:type="paragraph" w:customStyle="1" w:styleId="10">
    <w:name w:val="Table Text"/>
    <w:basedOn w:val="1"/>
    <w:semiHidden/>
    <w:qFormat/>
    <w:uiPriority w:val="0"/>
  </w:style>
  <w:style w:type="paragraph" w:customStyle="1" w:styleId="11">
    <w:name w:val="Normal Indent"/>
    <w:basedOn w:val="1"/>
    <w:qFormat/>
    <w:uiPriority w:val="0"/>
    <w:pPr>
      <w:widowControl/>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2026-07-03T07:38:00Z</dcterms:created>
  <dc:creator>Administrator</dc:creator>
  <cp:lastModifiedBy>Administrator</cp:lastModifiedBy>
  <dcterms:modified xsi:type="dcterms:W3CDTF">2026-07-03T07:38:31Z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6FA6FE5D39384B6B9EF43CD7B8390D37_11</vt:lpwstr>
  </property>
</Properties>
</file>