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C92172">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0" w:name="_Toc6369"/>
      <w:bookmarkStart w:id="1" w:name="_Toc23634"/>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0"/>
      <w:bookmarkEnd w:id="1"/>
    </w:p>
    <w:p w14:paraId="5B2B46F9">
      <w:pPr>
        <w:pageBreakBefore w:val="0"/>
        <w:widowControl w:val="0"/>
        <w:wordWrap/>
        <w:overflowPunct/>
        <w:topLinePunct w:val="0"/>
        <w:bidi w:val="0"/>
        <w:spacing w:line="258" w:lineRule="auto"/>
        <w:rPr>
          <w:color w:val="auto"/>
          <w:spacing w:val="0"/>
          <w:w w:val="100"/>
          <w:position w:val="0"/>
          <w:highlight w:val="none"/>
        </w:rPr>
      </w:pPr>
    </w:p>
    <w:p w14:paraId="70DA2B7E">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（一）技术需求</w:t>
      </w:r>
    </w:p>
    <w:p w14:paraId="42B27C4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一、设备：全身机彩超或彩色多普勒超声波诊断仪（要求为最高端机型最新版本）。</w:t>
      </w:r>
    </w:p>
    <w:p w14:paraId="6908FF8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二、数量：壹台。</w:t>
      </w:r>
    </w:p>
    <w:p w14:paraId="5D0FAF3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三、设备用途说明：主要用于腹部、妇产科、心脏、外周血管、小器官、肌骨、泌尿等全身应用超声诊断。</w:t>
      </w:r>
    </w:p>
    <w:p w14:paraId="3CBB2AC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四、主要规格及系统概述：</w:t>
      </w:r>
    </w:p>
    <w:p w14:paraId="40263E0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 彩色多普勒超声波诊断仪主机系统：</w:t>
      </w:r>
    </w:p>
    <w:p w14:paraId="3F4E954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4.1.1 ≥23英寸高清液晶显示器，配置自由旋转臂，全方位可调；</w:t>
      </w:r>
    </w:p>
    <w:p w14:paraId="4977EA1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4.1.2 ≥15英寸高清彩色液晶触摸屏；</w:t>
      </w:r>
    </w:p>
    <w:p w14:paraId="199AF3A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4.1.3 全数字化超声平台，全数字多路波束形成器；</w:t>
      </w:r>
    </w:p>
    <w:p w14:paraId="1BCECC6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4.1.4 二维灰阶成像单元及M型显像单元。</w:t>
      </w:r>
    </w:p>
    <w:p w14:paraId="3D2D3E0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4.1.5 彩色多普勒血流成像；</w:t>
      </w:r>
    </w:p>
    <w:p w14:paraId="4C99D8C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4.1.6 频谱多普勒 （脉冲波及连续波） 显示及分析单元；</w:t>
      </w:r>
    </w:p>
    <w:p w14:paraId="6D2DF67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4.1.7 实时自动多普勒包络测量功能；</w:t>
      </w:r>
    </w:p>
    <w:p w14:paraId="011600E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4.1.8 穿刺针增强技术，提高穿刺介入时穿刺针显影；</w:t>
      </w:r>
    </w:p>
    <w:p w14:paraId="0D8A7792">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4.1.9 一键启动自定义的操作流程；</w:t>
      </w:r>
    </w:p>
    <w:p w14:paraId="5F12209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4.1.10 自动产科测量技术；</w:t>
      </w:r>
    </w:p>
    <w:p w14:paraId="7545A95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4.1.11 自动颈项透明层测量技术，自动颅内透明层测量技术；</w:t>
      </w:r>
    </w:p>
    <w:p w14:paraId="393E858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4.1.12 主机支持中文显示及输入。</w:t>
      </w:r>
    </w:p>
    <w:p w14:paraId="1286A2F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 具备多种图像优化技术，包括：</w:t>
      </w:r>
    </w:p>
    <w:p w14:paraId="2366A3B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4.2.1 组织谐波成像技术，作用于全身扫查应用，提高图像信噪比；</w:t>
      </w:r>
    </w:p>
    <w:p w14:paraId="3878F6E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4.2.2 梯形扩展成像技术，增大扫查视野，包括左右扩展和远端凸型拓展；</w:t>
      </w:r>
    </w:p>
    <w:p w14:paraId="7C8FDB1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4.2.3 全场动态聚焦成像技术；</w:t>
      </w:r>
    </w:p>
    <w:p w14:paraId="4225B52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4.2.4 声速匹配成像；</w:t>
      </w:r>
    </w:p>
    <w:p w14:paraId="4EBFEA3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4.2.5 宽景成像技术，可应用于灰阶、彩色及能量多普勒宽景成像，配备缩放功能和测量计算。可应用于腹部、高频、腔内等探头；</w:t>
      </w:r>
    </w:p>
    <w:p w14:paraId="776B98A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4.2.6 高清放大成像，具备冻结或实时高清多级放大功能，</w:t>
      </w:r>
      <w:r>
        <w:rPr>
          <w:rFonts w:hint="default" w:ascii="宋体" w:hAnsi="宋体" w:eastAsia="宋体" w:cs="宋体"/>
          <w:b w:val="0"/>
          <w:bCs w:val="0"/>
          <w:color w:val="auto"/>
          <w:sz w:val="24"/>
          <w:szCs w:val="24"/>
          <w:highlight w:val="none"/>
          <w:lang w:val="en-US" w:eastAsia="zh-CN"/>
        </w:rPr>
        <w:t>具备多倍放大功能</w:t>
      </w:r>
      <w:r>
        <w:rPr>
          <w:rFonts w:hint="eastAsia" w:ascii="宋体" w:hAnsi="宋体" w:eastAsia="宋体" w:cs="宋体"/>
          <w:b w:val="0"/>
          <w:bCs w:val="0"/>
          <w:color w:val="auto"/>
          <w:sz w:val="24"/>
          <w:szCs w:val="24"/>
          <w:highlight w:val="none"/>
          <w:lang w:val="en-US" w:eastAsia="zh-CN"/>
        </w:rPr>
        <w:t>；</w:t>
      </w:r>
    </w:p>
    <w:p w14:paraId="2981B81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4.2.7 具备编码脉冲成像，根据不同检查深度，均衡发射脉冲频率，提高穿透性的同时提高远场分辨率；</w:t>
      </w:r>
    </w:p>
    <w:p w14:paraId="7993980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4.2.8 斑点噪声抑制技术；</w:t>
      </w:r>
    </w:p>
    <w:p w14:paraId="5205AEE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4.2.9 实时多声束空间复合成像技术；</w:t>
      </w:r>
    </w:p>
    <w:p w14:paraId="50D1036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4.2.10 智能图像扫描技术,一键优化，作用于2D及Doppler，自动调节增益,标尺等参数；</w:t>
      </w:r>
    </w:p>
    <w:p w14:paraId="7B41C9F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4.2.11 实时自动图像优化技术，优化组织特性，匹配不同组织的声阻抗，增加二维图像明亮度/对比度。</w:t>
      </w:r>
    </w:p>
    <w:p w14:paraId="167B3BF8">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4.2.12心脏探头显示扫描角度＞80°。</w:t>
      </w:r>
    </w:p>
    <w:p w14:paraId="53B25AA4">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4.2.13高频探头频率≥24MHz。</w:t>
      </w:r>
    </w:p>
    <w:p w14:paraId="043E35D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 具备高级成像优化技术，包括：</w:t>
      </w:r>
    </w:p>
    <w:p w14:paraId="4BEE441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4.3.1 方向性精细血流成像；</w:t>
      </w:r>
    </w:p>
    <w:p w14:paraId="374541F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4.3.2 高清血流成像；</w:t>
      </w:r>
    </w:p>
    <w:p w14:paraId="61436DB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4.3.3 微血管增强显像技术；</w:t>
      </w:r>
    </w:p>
    <w:p w14:paraId="5DAAA72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4.3.4 立体血流成像；</w:t>
      </w:r>
    </w:p>
    <w:p w14:paraId="58B3601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4.3.5 血管自动追踪技术；</w:t>
      </w:r>
    </w:p>
    <w:p w14:paraId="4F0760B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 具备其他应用功能，包括：</w:t>
      </w:r>
    </w:p>
    <w:p w14:paraId="772FD4C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 xml:space="preserve">4.4.1 组织多普勒成像技术具有多种应用模式，并可对室壁进行速度、加速度的测量和分析； </w:t>
      </w:r>
    </w:p>
    <w:p w14:paraId="253F597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4.4.2 心脏解剖M型成像技术，M型取样线可360度任意旋转，并可同时设定3条360°自由角度取样线。同时显示同一时相三条线上组织M型信息，实现在同一个心动周期中，在同一时相对不同的心肌节段、瓣膜进行对比观察和测量分析；</w:t>
      </w:r>
    </w:p>
    <w:p w14:paraId="051B41E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4.4.3 左心功能自动测量技术；</w:t>
      </w:r>
    </w:p>
    <w:p w14:paraId="27FB297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4.4.4 具备造影成像功能，包括：</w:t>
      </w:r>
    </w:p>
    <w:p w14:paraId="7EF1DA9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4.4.4.1 对发射脉冲频带及能量的精确双控制（超声屏幕可视MI机械指数和DP声压指数），使脉冲信号最佳匹配造影剂微泡的非线性响应，从而获得纯净的造影回波信号。通过调节DP指数,可直接调节MI机械指数；</w:t>
      </w:r>
    </w:p>
    <w:p w14:paraId="26DD643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4.4.4.2 造影灌注时相可调，可一键切换动脉相与延迟相；</w:t>
      </w:r>
    </w:p>
    <w:p w14:paraId="5DA4C10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4.4.4.3 具有低MI实时灌注成像和高MI造影成像，满足各种类型的造影剂应用。</w:t>
      </w:r>
    </w:p>
    <w:p w14:paraId="538AF03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4.4.5 具备血管内中膜测量技术及血管弹性精准定量技术。</w:t>
      </w:r>
    </w:p>
    <w:p w14:paraId="4AAD36C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4.4.6 具备多种组织弹性成像及定量功能：</w:t>
      </w:r>
    </w:p>
    <w:p w14:paraId="0DBB774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4.4.6.1 可应用于凸阵探头、线阵探头、腔内（包括线凸双平面探头），具备乳腺、甲状腺、前列腺、肝脏等方面应用领域。</w:t>
      </w:r>
    </w:p>
    <w:p w14:paraId="6F8B7C1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4.4.7 具备融合成像技术：</w:t>
      </w:r>
    </w:p>
    <w:p w14:paraId="3D6BE23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4.4.7.1 利用空间磁定位系统，将超声图像与第二影像立体数据（CT/MR/PET）进行融合，实现实时对照诊断、实时精准导航和微创治疗。</w:t>
      </w:r>
    </w:p>
    <w:p w14:paraId="2A90804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4.4.7.2应用于凸阵探头、线阵探头、腔内（包括线凸双平面探头）探头。</w:t>
      </w:r>
    </w:p>
    <w:p w14:paraId="7908E36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 测量与分析 (B型、M型、频谱多普勒、彩色模式)，包括：</w:t>
      </w:r>
    </w:p>
    <w:p w14:paraId="0E5957A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4.5.1 一般测量；</w:t>
      </w:r>
    </w:p>
    <w:p w14:paraId="7B3D919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4.5.2 妇、产科测量；</w:t>
      </w:r>
    </w:p>
    <w:p w14:paraId="0BCD386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4.5.3 心脏功能测量；</w:t>
      </w:r>
    </w:p>
    <w:p w14:paraId="6040A55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4.5.4 多普勒血流测量与分析；</w:t>
      </w:r>
    </w:p>
    <w:p w14:paraId="565DDF5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4.5.5 外周血管测量与分析；</w:t>
      </w:r>
    </w:p>
    <w:p w14:paraId="29EE468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4.5.6 自动多普勒血流测量与分析。</w:t>
      </w:r>
    </w:p>
    <w:p w14:paraId="52F64E3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4.6  图像存储与(电影)回放重现单元。</w:t>
      </w:r>
    </w:p>
    <w:p w14:paraId="1B39BF6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4.7 信号输入/输出：</w:t>
      </w:r>
    </w:p>
    <w:p w14:paraId="11D429D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4.7.1 输出信号：高清输出接口；</w:t>
      </w:r>
    </w:p>
    <w:p w14:paraId="74BC3FF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4.7.2 参考信号：心电、心音。</w:t>
      </w:r>
    </w:p>
    <w:p w14:paraId="319B23C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4.8 数据连通性，包括：</w:t>
      </w:r>
    </w:p>
    <w:p w14:paraId="6B394E8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4.8.1 医学数字图像传输；</w:t>
      </w:r>
    </w:p>
    <w:p w14:paraId="126FB67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4.8.2 有线/无线数据传输系统；</w:t>
      </w:r>
    </w:p>
    <w:p w14:paraId="492FBB6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4.8.3 DICOM3.0接口图像传输部件。</w:t>
      </w:r>
    </w:p>
    <w:p w14:paraId="022E1A4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 图像管理与记录装置，包括：</w:t>
      </w:r>
    </w:p>
    <w:p w14:paraId="4037FC8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4.9.1 超声图像存档与病案管理系统；</w:t>
      </w:r>
    </w:p>
    <w:p w14:paraId="6C46E31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4.9.2 主机系统：固态硬盘≥1TB；</w:t>
      </w:r>
    </w:p>
    <w:p w14:paraId="6AAC7FD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4.9.3 一体化原始数据的简帖版(在荧光屏上)可以存储和回放动态及静态图像；</w:t>
      </w:r>
    </w:p>
    <w:p w14:paraId="1FFACF9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4.9.4 以往图像与当前图像同屏对比显示；</w:t>
      </w:r>
    </w:p>
    <w:p w14:paraId="17DC317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4.9.5 内置CD－RW / DVD –RW；</w:t>
      </w:r>
    </w:p>
    <w:p w14:paraId="2D0B1D8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4.9.6 提供多个USB接口，可将图像储存U盘、移动硬盘或其它USB装置；</w:t>
      </w:r>
    </w:p>
    <w:p w14:paraId="2BBB37F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4.9.7 支持客户自定义的报告系统。</w:t>
      </w:r>
    </w:p>
    <w:p w14:paraId="6045D94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五、技术参数：</w:t>
      </w:r>
    </w:p>
    <w:p w14:paraId="0A12930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5.1 系统通用功能，包括：</w:t>
      </w:r>
    </w:p>
    <w:p w14:paraId="3B480DD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5.1.1 系统通道数 ≥ 1500万；动态范围≥320db；</w:t>
      </w:r>
    </w:p>
    <w:p w14:paraId="6E5175F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5.1.2 探头接口：≥4个无针式探头接口，可互通互用（不含CW接口）；</w:t>
      </w:r>
    </w:p>
    <w:p w14:paraId="66DA56E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5.1.3 预设条件：针对不同的检查脏器，预置最佳化图像的检查条件，减少操作时的调节，及常用所需的外部调节及组合调节。</w:t>
      </w:r>
    </w:p>
    <w:p w14:paraId="0AD778A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 探头规格，包括：</w:t>
      </w:r>
    </w:p>
    <w:p w14:paraId="2BF506B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5.2.1 性能：超宽频带变频探头，在二维中心频率最多可达6种，谐波中心频率最多可达6种；多普勒频率最多可达6种；变频个数可视可调。</w:t>
      </w:r>
    </w:p>
    <w:p w14:paraId="076AE11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5.2.2 类型：电子相控阵，电子凸阵，电子线阵，线-凸阵；</w:t>
      </w:r>
    </w:p>
    <w:p w14:paraId="03D552C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5.2.3 主机工作频率范围：1-18MHz；</w:t>
      </w:r>
    </w:p>
    <w:p w14:paraId="60C5AAA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5.2.4  B/D兼用：相控阵B/PWD及B/CWD；线阵：B/PWD；凸阵：B/PWD；</w:t>
      </w:r>
    </w:p>
    <w:p w14:paraId="7CCD895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 配置5把探头，包括：</w:t>
      </w:r>
    </w:p>
    <w:p w14:paraId="1C08338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5.2.5.1 凸阵探头1把：多频可变频</w:t>
      </w:r>
    </w:p>
    <w:p w14:paraId="662F6B8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5.2.5.2 线阵探头1把：多频可变频</w:t>
      </w:r>
    </w:p>
    <w:p w14:paraId="3B59BAD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5.2.5.3 相控阵探头1把：多频可变频</w:t>
      </w:r>
    </w:p>
    <w:p w14:paraId="5774387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5.2.5.4 超高频线阵探头1把：最高显示频率要≥24MHz；</w:t>
      </w:r>
    </w:p>
    <w:p w14:paraId="2489BD5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5.2.5.5 线-凸双平面腔内探头1把：多频可变频，</w:t>
      </w:r>
      <w:r>
        <w:rPr>
          <w:rFonts w:hint="eastAsia" w:ascii="宋体" w:hAnsi="宋体" w:eastAsia="宋体" w:cs="宋体"/>
          <w:b w:val="0"/>
          <w:bCs w:val="0"/>
          <w:color w:val="auto"/>
          <w:spacing w:val="0"/>
          <w:w w:val="100"/>
          <w:position w:val="0"/>
          <w:sz w:val="24"/>
          <w:szCs w:val="24"/>
          <w:highlight w:val="none"/>
          <w:lang w:eastAsia="zh-CN"/>
        </w:rPr>
        <w:t>其中线阵支持频率</w:t>
      </w:r>
      <w:r>
        <w:rPr>
          <w:rFonts w:hint="eastAsia" w:ascii="宋体" w:hAnsi="宋体" w:eastAsia="宋体" w:cs="宋体"/>
          <w:b w:val="0"/>
          <w:bCs w:val="0"/>
          <w:color w:val="auto"/>
          <w:spacing w:val="0"/>
          <w:w w:val="100"/>
          <w:position w:val="0"/>
          <w:sz w:val="24"/>
          <w:szCs w:val="24"/>
          <w:highlight w:val="none"/>
          <w:lang w:val="en-US" w:eastAsia="zh-CN"/>
        </w:rPr>
        <w:t>≥</w:t>
      </w:r>
      <w:r>
        <w:rPr>
          <w:rFonts w:hint="eastAsia" w:ascii="宋体" w:hAnsi="宋体" w:eastAsia="宋体" w:cs="宋体"/>
          <w:b w:val="0"/>
          <w:bCs w:val="0"/>
          <w:color w:val="auto"/>
          <w:spacing w:val="0"/>
          <w:w w:val="100"/>
          <w:position w:val="0"/>
          <w:sz w:val="24"/>
          <w:szCs w:val="24"/>
          <w:highlight w:val="none"/>
          <w:lang w:eastAsia="zh-CN"/>
        </w:rPr>
        <w:t>1</w:t>
      </w:r>
      <w:r>
        <w:rPr>
          <w:rFonts w:hint="eastAsia" w:ascii="宋体" w:hAnsi="宋体" w:eastAsia="宋体" w:cs="宋体"/>
          <w:b w:val="0"/>
          <w:bCs w:val="0"/>
          <w:color w:val="auto"/>
          <w:spacing w:val="0"/>
          <w:w w:val="100"/>
          <w:position w:val="0"/>
          <w:sz w:val="24"/>
          <w:szCs w:val="24"/>
          <w:highlight w:val="none"/>
          <w:lang w:val="en-US" w:eastAsia="zh-CN"/>
        </w:rPr>
        <w:t>0</w:t>
      </w:r>
      <w:r>
        <w:rPr>
          <w:rFonts w:hint="eastAsia" w:ascii="宋体" w:hAnsi="宋体" w:eastAsia="宋体" w:cs="宋体"/>
          <w:b w:val="0"/>
          <w:bCs w:val="0"/>
          <w:color w:val="auto"/>
          <w:spacing w:val="0"/>
          <w:w w:val="100"/>
          <w:position w:val="0"/>
          <w:sz w:val="24"/>
          <w:szCs w:val="24"/>
          <w:highlight w:val="none"/>
          <w:lang w:eastAsia="zh-CN"/>
        </w:rPr>
        <w:t>MHz，凸阵扫查角度</w:t>
      </w:r>
      <w:r>
        <w:rPr>
          <w:rFonts w:hint="eastAsia" w:ascii="宋体" w:hAnsi="宋体" w:eastAsia="宋体" w:cs="宋体"/>
          <w:b w:val="0"/>
          <w:bCs w:val="0"/>
          <w:color w:val="auto"/>
          <w:spacing w:val="0"/>
          <w:w w:val="100"/>
          <w:position w:val="0"/>
          <w:sz w:val="24"/>
          <w:szCs w:val="24"/>
          <w:highlight w:val="none"/>
          <w:lang w:val="en-US" w:eastAsia="zh-CN"/>
        </w:rPr>
        <w:t>＞150</w:t>
      </w:r>
      <w:r>
        <w:rPr>
          <w:rFonts w:hint="eastAsia" w:ascii="宋体" w:hAnsi="宋体" w:eastAsia="宋体" w:cs="宋体"/>
          <w:b w:val="0"/>
          <w:bCs w:val="0"/>
          <w:color w:val="auto"/>
          <w:spacing w:val="0"/>
          <w:w w:val="100"/>
          <w:position w:val="0"/>
          <w:sz w:val="24"/>
          <w:szCs w:val="24"/>
          <w:highlight w:val="none"/>
          <w:lang w:eastAsia="zh-CN"/>
        </w:rPr>
        <w:t>°</w:t>
      </w:r>
    </w:p>
    <w:p w14:paraId="28628F6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5.3 二维灰阶显像主要参数：</w:t>
      </w:r>
    </w:p>
    <w:p w14:paraId="46DA2D0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5.3.1 发射声束聚焦：发射≥8段；</w:t>
      </w:r>
    </w:p>
    <w:p w14:paraId="54FEF71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5.3.2 探头最大扫描深度≥40cm；</w:t>
      </w:r>
    </w:p>
    <w:p w14:paraId="70755E69">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5.3.3 回放重现：灰阶图像回放≥2048幅, 电影回放≥60秒。</w:t>
      </w:r>
    </w:p>
    <w:p w14:paraId="6C893D4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 频谱多普勒：</w:t>
      </w:r>
    </w:p>
    <w:p w14:paraId="7D199A8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5.4.1 显示方式：脉冲、连续、 高脉冲重复频率；</w:t>
      </w:r>
    </w:p>
    <w:p w14:paraId="4678728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5.4.2 最大测量速度：PWD≥±10.6m/s, CWD≥24m/s；</w:t>
      </w:r>
    </w:p>
    <w:p w14:paraId="2F292C5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5.4.3 最低测量速度：PW≤0.01m/s(非噪声信号)；</w:t>
      </w:r>
    </w:p>
    <w:p w14:paraId="6AADCCD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5.4.4 取样宽度及位置：0.5－24mm逐级调节；</w:t>
      </w:r>
    </w:p>
    <w:p w14:paraId="6E17F84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5.4.5 零位移动：≥6级；</w:t>
      </w:r>
    </w:p>
    <w:p w14:paraId="12B7DA8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5.4.6 显示控制：反转显示（左右，上下），零移位，B-刷新（手控，时间，ECG同步），D扩展，B/D扩展，局放及移位。</w:t>
      </w:r>
    </w:p>
    <w:p w14:paraId="1BD6E69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5.5 彩色多普勒：</w:t>
      </w:r>
    </w:p>
    <w:p w14:paraId="7E56C4E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5.5.1 显示方式：速度方差显示、能量显示，速度显示、方差显示；</w:t>
      </w:r>
    </w:p>
    <w:p w14:paraId="27EB888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5.5.2 二维/彩色血流/频谱多谱勒实时三同步；</w:t>
      </w:r>
    </w:p>
    <w:p w14:paraId="0A790F2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5.5.3 彩色增强功能：组织多普勒成像，方向性能量图，精细血流成像，高清血流成像，超微细血流成像，立体血流成像；</w:t>
      </w:r>
    </w:p>
    <w:p w14:paraId="4973385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5.5.4 显示取样框调整：线阵扫描感兴趣图像范围：±30度；</w:t>
      </w:r>
    </w:p>
    <w:p w14:paraId="0A07B194">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5.6 超声功率输出调节：B/M、PWD、CWD、彩色多普勒输出功率可调。</w:t>
      </w:r>
    </w:p>
    <w:p w14:paraId="188782C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六、其他</w:t>
      </w:r>
    </w:p>
    <w:p w14:paraId="42B619F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6.1 配置图文打印工作站、不间断电源各两台。</w:t>
      </w:r>
    </w:p>
    <w:p w14:paraId="517E12A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p>
    <w:p w14:paraId="736F9E3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val="0"/>
          <w:bCs w:val="0"/>
          <w:color w:val="auto"/>
          <w:sz w:val="24"/>
          <w:szCs w:val="24"/>
          <w:highlight w:val="none"/>
          <w:lang w:val="en-US" w:eastAsia="zh-CN"/>
        </w:rPr>
      </w:pPr>
    </w:p>
    <w:p w14:paraId="175CC57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七、以上设备如自带信息软件，软件功能应满足使用科室使用要求，功能模块应详细，设备信息软件应与医院信息系统无缝对接，信息软件自带服务器或工作站。所有费用包含在投标报价中。</w:t>
      </w:r>
    </w:p>
    <w:p w14:paraId="6661D2E9">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val="en-US" w:eastAsia="zh-CN"/>
        </w:rPr>
      </w:pPr>
    </w:p>
    <w:p w14:paraId="6D07BDA5">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p>
    <w:p w14:paraId="72A33F44">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Theme="minorEastAsia" w:hAnsiTheme="minorEastAsia" w:eastAsiaTheme="minorEastAsia" w:cstheme="minorEastAsia"/>
          <w:color w:val="auto"/>
          <w:spacing w:val="0"/>
          <w:w w:val="100"/>
          <w:position w:val="0"/>
          <w:sz w:val="24"/>
          <w:szCs w:val="24"/>
          <w:highlight w:val="none"/>
          <w:lang w:val="en-US" w:eastAsia="zh-CN"/>
        </w:rPr>
      </w:pPr>
    </w:p>
    <w:p w14:paraId="390D778E">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（二）商务条件</w:t>
      </w:r>
    </w:p>
    <w:p w14:paraId="21DE2EFC">
      <w:pPr>
        <w:spacing w:line="560" w:lineRule="exact"/>
        <w:rPr>
          <w:rFonts w:ascii="宋体" w:hAnsi="宋体" w:cs="宋体"/>
          <w:sz w:val="24"/>
          <w:szCs w:val="24"/>
          <w:highlight w:val="none"/>
        </w:rPr>
      </w:pPr>
      <w:bookmarkStart w:id="2" w:name="_Toc18027"/>
      <w:bookmarkStart w:id="3" w:name="_Toc21860"/>
      <w:bookmarkStart w:id="4" w:name="_Toc20119"/>
      <w:bookmarkStart w:id="5" w:name="_Toc25439"/>
      <w:bookmarkStart w:id="6" w:name="_Toc24246_WPSOffice_Level2"/>
      <w:r>
        <w:rPr>
          <w:rFonts w:hint="eastAsia" w:ascii="宋体" w:hAnsi="宋体" w:cs="宋体"/>
          <w:sz w:val="24"/>
          <w:szCs w:val="24"/>
          <w:highlight w:val="none"/>
        </w:rPr>
        <w:t>1.交付的时间和地点</w:t>
      </w:r>
      <w:bookmarkEnd w:id="2"/>
      <w:bookmarkEnd w:id="3"/>
      <w:bookmarkEnd w:id="4"/>
      <w:bookmarkEnd w:id="5"/>
      <w:bookmarkEnd w:id="6"/>
      <w:r>
        <w:rPr>
          <w:rFonts w:hint="eastAsia" w:ascii="宋体" w:hAnsi="宋体" w:cs="宋体"/>
          <w:sz w:val="24"/>
          <w:szCs w:val="24"/>
          <w:highlight w:val="none"/>
        </w:rPr>
        <w:t>：</w:t>
      </w:r>
    </w:p>
    <w:p w14:paraId="6538E513">
      <w:pPr>
        <w:spacing w:line="560" w:lineRule="exact"/>
        <w:rPr>
          <w:rFonts w:ascii="宋体" w:hAnsi="宋体" w:cs="宋体"/>
          <w:sz w:val="24"/>
          <w:szCs w:val="24"/>
          <w:highlight w:val="none"/>
        </w:rPr>
      </w:pPr>
      <w:r>
        <w:rPr>
          <w:rFonts w:hint="eastAsia" w:ascii="宋体" w:hAnsi="宋体" w:cs="宋体"/>
          <w:sz w:val="24"/>
          <w:szCs w:val="24"/>
          <w:highlight w:val="none"/>
        </w:rPr>
        <w:t>1.1.交付的时间：合同签订后</w:t>
      </w:r>
      <w:r>
        <w:rPr>
          <w:rFonts w:hint="eastAsia" w:ascii="宋体" w:hAnsi="宋体" w:eastAsia="宋体" w:cs="宋体"/>
          <w:sz w:val="24"/>
          <w:szCs w:val="24"/>
          <w:highlight w:val="none"/>
          <w:lang w:val="en-US" w:eastAsia="zh-CN"/>
        </w:rPr>
        <w:t>9</w:t>
      </w:r>
      <w:r>
        <w:rPr>
          <w:rFonts w:hint="eastAsia" w:ascii="宋体" w:hAnsi="宋体" w:cs="宋体"/>
          <w:sz w:val="24"/>
          <w:szCs w:val="24"/>
          <w:highlight w:val="none"/>
        </w:rPr>
        <w:t>0日内。中标人应保证在要求时间内完成全部货物的供货、安装、调试、培训和验收工作，符合国家标准、行业规范和合同等相关文件的要求。</w:t>
      </w:r>
    </w:p>
    <w:p w14:paraId="650EB536">
      <w:pPr>
        <w:spacing w:line="560" w:lineRule="exact"/>
        <w:rPr>
          <w:rFonts w:ascii="宋体" w:hAnsi="宋体" w:cs="宋体"/>
          <w:sz w:val="24"/>
          <w:szCs w:val="24"/>
          <w:highlight w:val="none"/>
        </w:rPr>
      </w:pPr>
      <w:r>
        <w:rPr>
          <w:rFonts w:hint="eastAsia" w:ascii="宋体" w:hAnsi="宋体" w:cs="宋体"/>
          <w:sz w:val="24"/>
          <w:szCs w:val="24"/>
          <w:highlight w:val="none"/>
        </w:rPr>
        <w:t>1.2.交货期限延误处理：中标人应按采购需求保证供货，如未按规定的供货期交付，按“第三章 拟签订的合同文本”</w:t>
      </w:r>
      <w:r>
        <w:rPr>
          <w:rFonts w:hint="eastAsia" w:ascii="宋体" w:hAnsi="宋体" w:cs="宋体"/>
          <w:sz w:val="24"/>
          <w:szCs w:val="24"/>
          <w:highlight w:val="none"/>
          <w:lang w:val="en-US" w:eastAsia="zh-CN"/>
        </w:rPr>
        <w:t>中相应的条款</w:t>
      </w:r>
      <w:r>
        <w:rPr>
          <w:rFonts w:hint="eastAsia" w:ascii="宋体" w:hAnsi="宋体" w:cs="宋体"/>
          <w:sz w:val="24"/>
          <w:szCs w:val="24"/>
          <w:highlight w:val="none"/>
        </w:rPr>
        <w:t>处理。若有断货等特殊情况时，供应商应提前30天通知采购人，并出示加盖公章的停货书面说明，并提出切实可行的解决方案。断货期间，采购人有权向其他供应商购买产品，直到原供货方能继续供货为止。</w:t>
      </w:r>
    </w:p>
    <w:p w14:paraId="0F2F1551">
      <w:pPr>
        <w:spacing w:line="560" w:lineRule="exact"/>
        <w:rPr>
          <w:rFonts w:ascii="宋体" w:hAnsi="宋体" w:cs="宋体"/>
          <w:sz w:val="24"/>
          <w:szCs w:val="24"/>
          <w:highlight w:val="none"/>
        </w:rPr>
      </w:pPr>
      <w:r>
        <w:rPr>
          <w:rFonts w:hint="eastAsia" w:ascii="宋体" w:hAnsi="宋体" w:cs="宋体"/>
          <w:sz w:val="24"/>
          <w:szCs w:val="24"/>
          <w:highlight w:val="none"/>
        </w:rPr>
        <w:t>1.3.交货、安装地点：吉安市中心人民医院超声医学科</w:t>
      </w:r>
      <w:r>
        <w:rPr>
          <w:rFonts w:hint="eastAsia" w:ascii="宋体" w:hAnsi="宋体" w:cs="宋体"/>
          <w:sz w:val="24"/>
          <w:szCs w:val="24"/>
          <w:highlight w:val="none"/>
          <w:lang w:val="en-US" w:eastAsia="zh-CN"/>
        </w:rPr>
        <w:t>，具体位置请各潜在投标人自行对安装现场进行踏勘</w:t>
      </w:r>
      <w:r>
        <w:rPr>
          <w:rFonts w:hint="eastAsia" w:ascii="宋体" w:hAnsi="宋体" w:cs="宋体"/>
          <w:sz w:val="24"/>
          <w:szCs w:val="24"/>
          <w:highlight w:val="none"/>
        </w:rPr>
        <w:t>。</w:t>
      </w:r>
    </w:p>
    <w:p w14:paraId="41150E54">
      <w:pPr>
        <w:spacing w:line="560" w:lineRule="exact"/>
        <w:rPr>
          <w:rFonts w:ascii="宋体" w:hAnsi="宋体" w:cs="宋体"/>
          <w:sz w:val="24"/>
          <w:szCs w:val="24"/>
          <w:highlight w:val="none"/>
        </w:rPr>
      </w:pPr>
      <w:bookmarkStart w:id="7" w:name="_Toc8175"/>
      <w:bookmarkStart w:id="8" w:name="_Toc26932"/>
      <w:bookmarkStart w:id="9" w:name="_Toc18536_WPSOffice_Level2"/>
      <w:bookmarkStart w:id="10" w:name="_Toc29378"/>
      <w:bookmarkStart w:id="11" w:name="_Toc20966"/>
      <w:r>
        <w:rPr>
          <w:rFonts w:hint="eastAsia" w:ascii="宋体" w:hAnsi="宋体" w:cs="宋体"/>
          <w:sz w:val="24"/>
          <w:szCs w:val="24"/>
          <w:highlight w:val="none"/>
        </w:rPr>
        <w:t>2.付款条件</w:t>
      </w:r>
      <w:bookmarkEnd w:id="7"/>
      <w:bookmarkEnd w:id="8"/>
      <w:bookmarkEnd w:id="9"/>
      <w:bookmarkEnd w:id="10"/>
      <w:bookmarkEnd w:id="11"/>
      <w:r>
        <w:rPr>
          <w:rFonts w:hint="eastAsia" w:ascii="宋体" w:hAnsi="宋体" w:cs="宋体"/>
          <w:sz w:val="24"/>
          <w:szCs w:val="24"/>
          <w:highlight w:val="none"/>
        </w:rPr>
        <w:t>：</w:t>
      </w:r>
    </w:p>
    <w:p w14:paraId="1BC7EB19">
      <w:pPr>
        <w:widowControl w:val="0"/>
        <w:spacing w:line="560" w:lineRule="exact"/>
        <w:rPr>
          <w:rFonts w:ascii="宋体" w:hAnsi="宋体" w:eastAsia="宋体" w:cs="宋体"/>
          <w:color w:val="auto"/>
          <w:sz w:val="24"/>
          <w:szCs w:val="24"/>
          <w:highlight w:val="none"/>
          <w:lang w:eastAsia="zh-CN"/>
        </w:rPr>
      </w:pPr>
      <w:bookmarkStart w:id="12" w:name="_Toc10112"/>
      <w:bookmarkStart w:id="13" w:name="_Toc9771"/>
      <w:bookmarkStart w:id="14" w:name="_Toc8279"/>
      <w:bookmarkStart w:id="15" w:name="_Toc15009_WPSOffice_Level2"/>
      <w:r>
        <w:rPr>
          <w:rFonts w:hint="eastAsia" w:ascii="宋体" w:hAnsi="宋体" w:eastAsia="宋体" w:cs="宋体"/>
          <w:color w:val="auto"/>
          <w:sz w:val="24"/>
          <w:szCs w:val="24"/>
          <w:highlight w:val="none"/>
          <w:lang w:eastAsia="zh-CN"/>
        </w:rPr>
        <w:t>2.1.付款方式：本项目所有货物（整机、所有辅助设备及零配件）安装完毕，并且整体经验收合格后支付合同价的100%。</w:t>
      </w:r>
    </w:p>
    <w:p w14:paraId="229B470E">
      <w:pPr>
        <w:spacing w:line="560" w:lineRule="exact"/>
        <w:rPr>
          <w:rFonts w:ascii="宋体" w:hAnsi="宋体" w:cs="宋体"/>
          <w:sz w:val="24"/>
          <w:szCs w:val="24"/>
          <w:highlight w:val="none"/>
        </w:rPr>
      </w:pPr>
      <w:r>
        <w:rPr>
          <w:rFonts w:hint="eastAsia" w:ascii="宋体" w:hAnsi="宋体" w:eastAsia="宋体" w:cs="宋体"/>
          <w:color w:val="auto"/>
          <w:sz w:val="24"/>
          <w:szCs w:val="24"/>
          <w:highlight w:val="none"/>
          <w:lang w:eastAsia="zh-CN"/>
        </w:rPr>
        <w:t>2.2.履约保证金：签订采购合同时，中标人向采购人以非现金方式缴纳合同金额的</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作为履约保证金，非现金方式包括支票、汇票、本票、网上银行支付（汇入采购人指定账户）或者金融机构、担保机构出具的保函、保险等。若中标人未出现违反招标文件及采购合同规定之情形，则本项目下所有设备验收合格后15个工作日内，采购人将履约保证金一次性无息退还给中标人，否则不予退还。</w:t>
      </w:r>
    </w:p>
    <w:p w14:paraId="4DB9084D">
      <w:pPr>
        <w:spacing w:line="560" w:lineRule="exact"/>
        <w:rPr>
          <w:rFonts w:ascii="宋体" w:hAnsi="宋体" w:cs="宋体"/>
          <w:sz w:val="24"/>
          <w:szCs w:val="24"/>
          <w:highlight w:val="none"/>
        </w:rPr>
      </w:pPr>
      <w:bookmarkStart w:id="16" w:name="_Toc5370"/>
      <w:r>
        <w:rPr>
          <w:rFonts w:hint="eastAsia" w:ascii="宋体" w:hAnsi="宋体" w:cs="宋体"/>
          <w:sz w:val="24"/>
          <w:szCs w:val="24"/>
          <w:highlight w:val="none"/>
        </w:rPr>
        <w:t>3.包装和运输</w:t>
      </w:r>
      <w:bookmarkEnd w:id="12"/>
      <w:bookmarkEnd w:id="13"/>
      <w:bookmarkEnd w:id="14"/>
      <w:bookmarkEnd w:id="15"/>
      <w:bookmarkEnd w:id="16"/>
      <w:r>
        <w:rPr>
          <w:rFonts w:hint="eastAsia" w:ascii="宋体" w:hAnsi="宋体" w:cs="宋体"/>
          <w:sz w:val="24"/>
          <w:szCs w:val="24"/>
          <w:highlight w:val="none"/>
        </w:rPr>
        <w:t>：</w:t>
      </w:r>
    </w:p>
    <w:p w14:paraId="701BF87F">
      <w:pPr>
        <w:spacing w:line="560" w:lineRule="exact"/>
        <w:rPr>
          <w:rFonts w:ascii="宋体" w:hAnsi="宋体" w:cs="宋体"/>
          <w:sz w:val="24"/>
          <w:szCs w:val="24"/>
          <w:highlight w:val="none"/>
        </w:rPr>
      </w:pPr>
      <w:r>
        <w:rPr>
          <w:rFonts w:hint="eastAsia" w:ascii="宋体" w:hAnsi="宋体" w:cs="宋体"/>
          <w:sz w:val="24"/>
          <w:szCs w:val="24"/>
          <w:highlight w:val="none"/>
        </w:rPr>
        <w:t>3.1.货物的拆箱、安装等工作由中标人负责，但必须在采购人或采购人指定人员的参与下进行。中标人拆箱、安装前必须先经采购人同意方可进行。</w:t>
      </w:r>
    </w:p>
    <w:p w14:paraId="4742538A">
      <w:pPr>
        <w:spacing w:line="560" w:lineRule="exact"/>
        <w:rPr>
          <w:rFonts w:ascii="宋体" w:hAnsi="宋体" w:cs="宋体"/>
          <w:sz w:val="24"/>
          <w:szCs w:val="24"/>
          <w:highlight w:val="none"/>
        </w:rPr>
      </w:pPr>
      <w:r>
        <w:rPr>
          <w:rFonts w:hint="eastAsia" w:ascii="宋体" w:hAnsi="宋体" w:cs="宋体"/>
          <w:sz w:val="24"/>
          <w:szCs w:val="24"/>
          <w:highlight w:val="none"/>
        </w:rPr>
        <w:t>3.2.所有货物、材料、备品备件等均须由中标人送货到指定地点并负责安装，必须提供产品的全部资料，如产品合格证、装箱单、使用说明书等。中标人应派熟练的工程师现场进行安装，若发生任一项指标不符合采购文件要求的，中标人应在7天内免费更换其不合格产品，使之达到采购文件要求，所有费用由中标人负担。</w:t>
      </w:r>
    </w:p>
    <w:p w14:paraId="436B3623">
      <w:pPr>
        <w:spacing w:line="560" w:lineRule="exact"/>
        <w:rPr>
          <w:rFonts w:ascii="宋体" w:hAnsi="宋体" w:cs="宋体"/>
          <w:sz w:val="24"/>
          <w:szCs w:val="24"/>
          <w:highlight w:val="none"/>
        </w:rPr>
      </w:pPr>
      <w:bookmarkStart w:id="17" w:name="_Toc18197"/>
      <w:bookmarkStart w:id="18" w:name="_Toc1187"/>
      <w:bookmarkStart w:id="19" w:name="_Toc27140"/>
      <w:bookmarkStart w:id="20" w:name="_Toc30333_WPSOffice_Level2"/>
      <w:bookmarkStart w:id="21" w:name="_Toc8295"/>
      <w:r>
        <w:rPr>
          <w:rFonts w:hint="eastAsia" w:ascii="宋体" w:hAnsi="宋体" w:cs="宋体"/>
          <w:sz w:val="24"/>
          <w:szCs w:val="24"/>
          <w:highlight w:val="none"/>
        </w:rPr>
        <w:t>4.售后服务</w:t>
      </w:r>
      <w:bookmarkEnd w:id="17"/>
      <w:bookmarkEnd w:id="18"/>
      <w:bookmarkEnd w:id="19"/>
      <w:bookmarkEnd w:id="20"/>
      <w:bookmarkEnd w:id="21"/>
      <w:r>
        <w:rPr>
          <w:rFonts w:hint="eastAsia" w:ascii="宋体" w:hAnsi="宋体" w:cs="宋体"/>
          <w:sz w:val="24"/>
          <w:szCs w:val="24"/>
          <w:highlight w:val="none"/>
        </w:rPr>
        <w:t>：</w:t>
      </w:r>
    </w:p>
    <w:p w14:paraId="4155F999">
      <w:pPr>
        <w:spacing w:line="560" w:lineRule="exact"/>
        <w:rPr>
          <w:rFonts w:ascii="宋体" w:hAnsi="宋体" w:cs="宋体"/>
          <w:sz w:val="24"/>
          <w:szCs w:val="24"/>
          <w:highlight w:val="none"/>
        </w:rPr>
      </w:pPr>
      <w:r>
        <w:rPr>
          <w:rFonts w:hint="eastAsia" w:ascii="宋体" w:hAnsi="宋体" w:cs="宋体"/>
          <w:sz w:val="24"/>
          <w:szCs w:val="24"/>
          <w:highlight w:val="none"/>
        </w:rPr>
        <w:t>4.1.质量保证期：在项目验收通过后，中标人必须提供</w:t>
      </w:r>
      <w:r>
        <w:rPr>
          <w:rFonts w:hint="eastAsia" w:ascii="宋体" w:hAnsi="宋体" w:eastAsia="宋体" w:cs="宋体"/>
          <w:sz w:val="24"/>
          <w:szCs w:val="24"/>
          <w:highlight w:val="none"/>
          <w:lang w:val="en-US" w:eastAsia="zh-CN"/>
        </w:rPr>
        <w:t>不低于</w:t>
      </w:r>
      <w:r>
        <w:rPr>
          <w:rFonts w:hint="eastAsia" w:ascii="宋体" w:hAnsi="宋体" w:cs="宋体"/>
          <w:sz w:val="24"/>
          <w:szCs w:val="24"/>
          <w:highlight w:val="none"/>
        </w:rPr>
        <w:t>为期</w:t>
      </w:r>
      <w:r>
        <w:rPr>
          <w:rFonts w:hint="eastAsia" w:ascii="宋体" w:hAnsi="宋体" w:eastAsia="宋体" w:cs="宋体"/>
          <w:sz w:val="24"/>
          <w:szCs w:val="24"/>
          <w:highlight w:val="none"/>
          <w:lang w:val="en-US" w:eastAsia="zh-CN"/>
        </w:rPr>
        <w:t>叁</w:t>
      </w:r>
      <w:r>
        <w:rPr>
          <w:rFonts w:hint="eastAsia" w:ascii="宋体" w:hAnsi="宋体" w:cs="宋体"/>
          <w:sz w:val="24"/>
          <w:szCs w:val="24"/>
          <w:highlight w:val="none"/>
        </w:rPr>
        <w:t>年的</w:t>
      </w:r>
      <w:r>
        <w:rPr>
          <w:rFonts w:hint="eastAsia" w:ascii="宋体" w:hAnsi="宋体" w:cs="宋体"/>
          <w:sz w:val="24"/>
          <w:szCs w:val="24"/>
          <w:highlight w:val="none"/>
          <w:lang w:val="en-US" w:eastAsia="zh-CN"/>
        </w:rPr>
        <w:t>原厂</w:t>
      </w:r>
      <w:r>
        <w:rPr>
          <w:rFonts w:hint="eastAsia" w:ascii="宋体" w:hAnsi="宋体" w:cs="宋体"/>
          <w:sz w:val="24"/>
          <w:szCs w:val="24"/>
          <w:highlight w:val="none"/>
        </w:rPr>
        <w:t>质量保证期（国家法规另有规定和制造企业优于的除外），在质保期内，中标人应提供上门维修或更换服务，所需费用包含在供应商报价中。</w:t>
      </w:r>
    </w:p>
    <w:p w14:paraId="212C84F6">
      <w:pPr>
        <w:spacing w:line="560" w:lineRule="exact"/>
        <w:rPr>
          <w:rFonts w:ascii="宋体" w:hAnsi="宋体" w:cs="宋体"/>
          <w:sz w:val="24"/>
          <w:szCs w:val="24"/>
          <w:highlight w:val="none"/>
        </w:rPr>
      </w:pPr>
      <w:r>
        <w:rPr>
          <w:rFonts w:hint="eastAsia" w:ascii="宋体" w:hAnsi="宋体" w:cs="宋体"/>
          <w:sz w:val="24"/>
          <w:szCs w:val="24"/>
          <w:highlight w:val="none"/>
        </w:rPr>
        <w:t>4.2.售后服务标准要求：</w:t>
      </w:r>
    </w:p>
    <w:p w14:paraId="21FBE494">
      <w:pPr>
        <w:spacing w:line="560" w:lineRule="exact"/>
        <w:rPr>
          <w:rFonts w:ascii="宋体" w:hAnsi="宋体" w:cs="宋体"/>
          <w:sz w:val="24"/>
          <w:szCs w:val="24"/>
          <w:highlight w:val="none"/>
        </w:rPr>
      </w:pPr>
      <w:r>
        <w:rPr>
          <w:rFonts w:hint="eastAsia" w:ascii="宋体" w:hAnsi="宋体" w:cs="宋体"/>
          <w:sz w:val="24"/>
          <w:szCs w:val="24"/>
          <w:highlight w:val="none"/>
        </w:rPr>
        <w:t>4.2.1.在质保期内，对所投设备提供7</w:t>
      </w:r>
      <w:r>
        <w:rPr>
          <w:rFonts w:hint="eastAsia" w:ascii="宋体" w:hAnsi="宋体" w:eastAsia="宋体" w:cs="宋体"/>
          <w:sz w:val="24"/>
          <w:szCs w:val="24"/>
          <w:highlight w:val="none"/>
          <w:lang w:val="en-US" w:eastAsia="zh-CN"/>
        </w:rPr>
        <w:t>×</w:t>
      </w:r>
      <w:r>
        <w:rPr>
          <w:rFonts w:hint="eastAsia" w:ascii="宋体" w:hAnsi="宋体" w:cs="宋体"/>
          <w:sz w:val="24"/>
          <w:szCs w:val="24"/>
          <w:highlight w:val="none"/>
        </w:rPr>
        <w:t>24小时电话技术支持服务，所需费用包含在供应商报价中。</w:t>
      </w:r>
    </w:p>
    <w:p w14:paraId="57A45C8C">
      <w:pPr>
        <w:spacing w:line="560" w:lineRule="exact"/>
        <w:rPr>
          <w:rFonts w:ascii="宋体" w:hAnsi="宋体" w:cs="宋体"/>
          <w:sz w:val="24"/>
          <w:szCs w:val="24"/>
          <w:highlight w:val="none"/>
        </w:rPr>
      </w:pPr>
      <w:r>
        <w:rPr>
          <w:rFonts w:hint="eastAsia" w:ascii="宋体" w:hAnsi="宋体" w:cs="宋体"/>
          <w:sz w:val="24"/>
          <w:szCs w:val="24"/>
          <w:highlight w:val="none"/>
        </w:rPr>
        <w:t>4.2.2.在质保期内，中标人收到采购人的故障通知后，维修人员必须60分钟内响应、48小时内赶至现场处理</w:t>
      </w:r>
      <w:r>
        <w:rPr>
          <w:rFonts w:hint="eastAsia" w:ascii="宋体" w:hAnsi="宋体" w:eastAsia="宋体" w:cs="宋体"/>
          <w:sz w:val="24"/>
          <w:szCs w:val="24"/>
          <w:highlight w:val="none"/>
          <w:lang w:val="en-US" w:eastAsia="zh-CN"/>
        </w:rPr>
        <w:t>并</w:t>
      </w:r>
      <w:r>
        <w:rPr>
          <w:rFonts w:hint="eastAsia" w:ascii="宋体" w:hAnsi="宋体" w:cs="宋体"/>
          <w:sz w:val="24"/>
          <w:szCs w:val="24"/>
          <w:highlight w:val="none"/>
        </w:rPr>
        <w:t>排除故障，所需费用包含在供应商报价中。设备故障维修期间内，</w:t>
      </w:r>
      <w:r>
        <w:rPr>
          <w:rFonts w:hint="eastAsia" w:ascii="宋体" w:hAnsi="宋体" w:cs="宋体"/>
          <w:sz w:val="24"/>
          <w:szCs w:val="24"/>
          <w:highlight w:val="none"/>
          <w:lang w:val="en-US" w:eastAsia="zh-CN"/>
        </w:rPr>
        <w:t>若超过</w:t>
      </w:r>
      <w:r>
        <w:rPr>
          <w:rFonts w:hint="eastAsia" w:ascii="宋体" w:hAnsi="宋体" w:cs="宋体"/>
          <w:sz w:val="24"/>
          <w:szCs w:val="24"/>
          <w:highlight w:val="none"/>
        </w:rPr>
        <w:t>48小时</w:t>
      </w:r>
      <w:r>
        <w:rPr>
          <w:rFonts w:hint="eastAsia" w:ascii="宋体" w:hAnsi="宋体" w:cs="宋体"/>
          <w:sz w:val="24"/>
          <w:szCs w:val="24"/>
          <w:highlight w:val="none"/>
          <w:lang w:val="en-US" w:eastAsia="zh-CN"/>
        </w:rPr>
        <w:t>没有</w:t>
      </w:r>
      <w:r>
        <w:rPr>
          <w:rFonts w:hint="eastAsia" w:ascii="宋体" w:hAnsi="宋体" w:cs="宋体"/>
          <w:sz w:val="24"/>
          <w:szCs w:val="24"/>
          <w:highlight w:val="none"/>
        </w:rPr>
        <w:t>故障排除</w:t>
      </w:r>
      <w:r>
        <w:rPr>
          <w:rFonts w:hint="eastAsia" w:ascii="宋体" w:hAnsi="宋体" w:cs="宋体"/>
          <w:sz w:val="24"/>
          <w:szCs w:val="24"/>
          <w:highlight w:val="none"/>
          <w:lang w:val="en-US" w:eastAsia="zh-CN"/>
        </w:rPr>
        <w:t>的</w:t>
      </w:r>
      <w:r>
        <w:rPr>
          <w:rFonts w:hint="eastAsia" w:ascii="宋体" w:hAnsi="宋体" w:cs="宋体"/>
          <w:sz w:val="24"/>
          <w:szCs w:val="24"/>
          <w:highlight w:val="none"/>
          <w:lang w:eastAsia="zh-CN"/>
        </w:rPr>
        <w:t>，</w:t>
      </w:r>
      <w:r>
        <w:rPr>
          <w:rFonts w:hint="eastAsia" w:ascii="宋体" w:hAnsi="宋体" w:cs="宋体"/>
          <w:sz w:val="24"/>
          <w:szCs w:val="24"/>
          <w:highlight w:val="none"/>
        </w:rPr>
        <w:t>应先提供同档次备用机供采购人使用。</w:t>
      </w:r>
    </w:p>
    <w:p w14:paraId="1D2A6054">
      <w:pPr>
        <w:spacing w:line="560" w:lineRule="exact"/>
        <w:rPr>
          <w:rFonts w:ascii="宋体" w:hAnsi="宋体" w:cs="宋体"/>
          <w:sz w:val="24"/>
          <w:szCs w:val="24"/>
          <w:highlight w:val="none"/>
        </w:rPr>
      </w:pPr>
      <w:r>
        <w:rPr>
          <w:rFonts w:hint="eastAsia" w:ascii="宋体" w:hAnsi="宋体" w:cs="宋体"/>
          <w:sz w:val="24"/>
          <w:szCs w:val="24"/>
          <w:highlight w:val="none"/>
        </w:rPr>
        <w:t>4.2.3.在质保期内，如果设备发生故障，中标人要调查故障原因并修复直至满足设备性能的要求，或者更换整机或部分有缺陷的组件和材料，所需费用包含在投标报价中。</w:t>
      </w:r>
    </w:p>
    <w:p w14:paraId="00B9EB63">
      <w:pPr>
        <w:spacing w:line="560" w:lineRule="exact"/>
        <w:rPr>
          <w:rFonts w:ascii="宋体" w:hAnsi="宋体" w:cs="宋体"/>
          <w:sz w:val="24"/>
          <w:szCs w:val="24"/>
          <w:highlight w:val="none"/>
        </w:rPr>
      </w:pPr>
      <w:r>
        <w:rPr>
          <w:rFonts w:hint="eastAsia" w:ascii="宋体" w:hAnsi="宋体" w:cs="宋体"/>
          <w:sz w:val="24"/>
          <w:szCs w:val="24"/>
          <w:highlight w:val="none"/>
        </w:rPr>
        <w:t>4.2.4.培训：中标人须派专业技术人员到采购人指定地点提供针对采购人的操作人员及设备维修人员的现场</w:t>
      </w:r>
      <w:r>
        <w:rPr>
          <w:rFonts w:hint="eastAsia" w:ascii="宋体" w:hAnsi="宋体" w:eastAsia="宋体" w:cs="宋体"/>
          <w:sz w:val="24"/>
          <w:szCs w:val="24"/>
          <w:highlight w:val="none"/>
          <w:lang w:val="en-US" w:eastAsia="zh-CN"/>
        </w:rPr>
        <w:t>技术</w:t>
      </w:r>
      <w:r>
        <w:rPr>
          <w:rFonts w:hint="eastAsia" w:ascii="宋体" w:hAnsi="宋体" w:cs="宋体"/>
          <w:sz w:val="24"/>
          <w:szCs w:val="24"/>
          <w:highlight w:val="none"/>
        </w:rPr>
        <w:t>培训，</w:t>
      </w:r>
      <w:r>
        <w:rPr>
          <w:rFonts w:hint="eastAsia" w:ascii="宋体" w:hAnsi="宋体" w:eastAsia="宋体" w:cs="宋体"/>
          <w:b w:val="0"/>
          <w:bCs w:val="0"/>
          <w:color w:val="auto"/>
          <w:sz w:val="24"/>
          <w:szCs w:val="24"/>
          <w:highlight w:val="none"/>
          <w:lang w:val="en-US" w:eastAsia="zh-CN"/>
        </w:rPr>
        <w:t>现场技术培训≥5个工作日，</w:t>
      </w:r>
      <w:r>
        <w:rPr>
          <w:rFonts w:hint="eastAsia" w:ascii="宋体" w:hAnsi="宋体" w:cs="宋体"/>
          <w:sz w:val="24"/>
          <w:szCs w:val="24"/>
          <w:highlight w:val="none"/>
        </w:rPr>
        <w:t>使采购人的相关技术人员能熟练独立工作并完全掌握设备的使用与日常运行维护为止。中标人须提供培训记录及培训考核记录、仪器保养要求及操作流程、操作、维修注意事项，并提供操作手册、操作规程及维修手册</w:t>
      </w:r>
      <w:r>
        <w:rPr>
          <w:rFonts w:hint="eastAsia" w:ascii="宋体" w:hAnsi="宋体" w:cs="宋体"/>
          <w:sz w:val="24"/>
          <w:szCs w:val="24"/>
          <w:highlight w:val="none"/>
          <w:lang w:eastAsia="zh-CN"/>
        </w:rPr>
        <w:t>。</w:t>
      </w:r>
    </w:p>
    <w:p w14:paraId="7A744E76">
      <w:pPr>
        <w:spacing w:line="560" w:lineRule="exact"/>
        <w:rPr>
          <w:rFonts w:ascii="宋体" w:hAnsi="宋体" w:cs="宋体"/>
          <w:sz w:val="24"/>
          <w:szCs w:val="24"/>
          <w:highlight w:val="none"/>
        </w:rPr>
      </w:pPr>
      <w:r>
        <w:rPr>
          <w:rFonts w:hint="eastAsia" w:ascii="宋体" w:hAnsi="宋体" w:cs="宋体"/>
          <w:sz w:val="24"/>
          <w:szCs w:val="24"/>
          <w:highlight w:val="none"/>
        </w:rPr>
        <w:t>4.2.5.中标人的其它售后服务承诺属于本合同的一部分，如果有不同约定的，以服务水平和层级更高的为准。</w:t>
      </w:r>
    </w:p>
    <w:p w14:paraId="2FA9F02F">
      <w:pPr>
        <w:spacing w:line="560" w:lineRule="exact"/>
        <w:rPr>
          <w:rFonts w:ascii="宋体" w:hAnsi="宋体" w:cs="宋体"/>
          <w:sz w:val="24"/>
          <w:szCs w:val="24"/>
          <w:highlight w:val="none"/>
        </w:rPr>
      </w:pPr>
      <w:bookmarkStart w:id="22" w:name="_Toc8937"/>
      <w:bookmarkStart w:id="23" w:name="_Toc16322"/>
      <w:bookmarkStart w:id="24" w:name="_Toc17815"/>
      <w:bookmarkStart w:id="25" w:name="_Toc27137_WPSOffice_Level2"/>
      <w:bookmarkStart w:id="26" w:name="_Toc9410"/>
      <w:r>
        <w:rPr>
          <w:rFonts w:hint="eastAsia" w:ascii="宋体" w:hAnsi="宋体" w:cs="宋体"/>
          <w:sz w:val="24"/>
          <w:szCs w:val="24"/>
          <w:highlight w:val="none"/>
        </w:rPr>
        <w:t>5.保险</w:t>
      </w:r>
      <w:bookmarkEnd w:id="22"/>
      <w:bookmarkEnd w:id="23"/>
      <w:bookmarkEnd w:id="24"/>
      <w:bookmarkEnd w:id="25"/>
      <w:bookmarkEnd w:id="26"/>
      <w:r>
        <w:rPr>
          <w:rFonts w:hint="eastAsia" w:ascii="宋体" w:hAnsi="宋体" w:cs="宋体"/>
          <w:sz w:val="24"/>
          <w:szCs w:val="24"/>
          <w:highlight w:val="none"/>
        </w:rPr>
        <w:t>：包含财产保险（货物运输保险等）、人身保险、责任保险（公众责任保险、雇主责任保险等）、信用保险等。均应包含在投标总价中。</w:t>
      </w:r>
    </w:p>
    <w:p w14:paraId="3062DAA5">
      <w:pPr>
        <w:spacing w:line="560" w:lineRule="exact"/>
        <w:rPr>
          <w:rFonts w:ascii="宋体" w:hAnsi="宋体" w:cs="宋体"/>
          <w:sz w:val="24"/>
          <w:szCs w:val="24"/>
          <w:highlight w:val="none"/>
        </w:rPr>
      </w:pPr>
      <w:bookmarkStart w:id="27" w:name="_Toc11838"/>
      <w:bookmarkStart w:id="28" w:name="_Toc15900_WPSOffice_Level2"/>
      <w:bookmarkStart w:id="29" w:name="_Toc4912"/>
      <w:bookmarkStart w:id="30" w:name="_Toc30855"/>
      <w:bookmarkStart w:id="31" w:name="_Toc1000"/>
      <w:r>
        <w:rPr>
          <w:rFonts w:hint="eastAsia" w:ascii="宋体" w:hAnsi="宋体" w:cs="宋体"/>
          <w:sz w:val="24"/>
          <w:szCs w:val="24"/>
          <w:highlight w:val="none"/>
        </w:rPr>
        <w:t>6.其他要求</w:t>
      </w:r>
      <w:bookmarkEnd w:id="27"/>
      <w:bookmarkEnd w:id="28"/>
      <w:bookmarkEnd w:id="29"/>
      <w:bookmarkEnd w:id="30"/>
      <w:bookmarkEnd w:id="31"/>
      <w:r>
        <w:rPr>
          <w:rFonts w:hint="eastAsia" w:ascii="宋体" w:hAnsi="宋体" w:cs="宋体"/>
          <w:sz w:val="24"/>
          <w:szCs w:val="24"/>
          <w:highlight w:val="none"/>
        </w:rPr>
        <w:t>：</w:t>
      </w:r>
    </w:p>
    <w:p w14:paraId="78F54411">
      <w:pPr>
        <w:spacing w:line="560" w:lineRule="exact"/>
        <w:rPr>
          <w:rFonts w:ascii="宋体" w:hAnsi="宋体" w:cs="宋体"/>
          <w:sz w:val="24"/>
          <w:szCs w:val="24"/>
          <w:highlight w:val="none"/>
        </w:rPr>
      </w:pPr>
      <w:r>
        <w:rPr>
          <w:rFonts w:hint="eastAsia" w:ascii="宋体" w:hAnsi="宋体" w:cs="宋体"/>
          <w:sz w:val="24"/>
          <w:szCs w:val="24"/>
          <w:highlight w:val="none"/>
        </w:rPr>
        <w:t>6.1.报价要求：本项目为交钥匙工程：所有货物、材料、运输、转运、装卸、辅材、安装、施工、调试、安全文明生产、机械设备及耗材费、检测、验收、上线运行、培训、技术支持、保险、人员工资福利、国家法定假日加班费、劳保用品费、办公设备及办公费、管理费、利润、税金、售后服务、质保期内维修材料、缺陷期间维护及为完成该项目不可预见的费用等一切费用均包含在投标报价总价中，且合同期内单价不作调整。中标人应充分考虑本项目合同实施期间可能发生的一切费用，并承担由此而带来的风险。凡中标人在报价中未列明但又是建成该项目所必备的项目或遗漏项目，采购人将一律视为已包括在其报价中。</w:t>
      </w:r>
    </w:p>
    <w:p w14:paraId="39C1113E">
      <w:pPr>
        <w:spacing w:line="560" w:lineRule="exact"/>
        <w:rPr>
          <w:rFonts w:ascii="宋体" w:hAnsi="宋体" w:cs="宋体"/>
          <w:sz w:val="24"/>
          <w:szCs w:val="24"/>
          <w:highlight w:val="none"/>
        </w:rPr>
      </w:pPr>
      <w:r>
        <w:rPr>
          <w:rFonts w:hint="eastAsia" w:ascii="宋体" w:hAnsi="宋体" w:cs="宋体"/>
          <w:sz w:val="24"/>
          <w:szCs w:val="24"/>
          <w:highlight w:val="none"/>
        </w:rPr>
        <w:t>6.2.安装及货物验收要求：</w:t>
      </w:r>
    </w:p>
    <w:p w14:paraId="4F6C7F51">
      <w:pPr>
        <w:spacing w:line="560" w:lineRule="exact"/>
        <w:rPr>
          <w:rFonts w:ascii="宋体" w:hAnsi="宋体" w:cs="宋体"/>
          <w:sz w:val="24"/>
          <w:szCs w:val="24"/>
          <w:highlight w:val="none"/>
        </w:rPr>
      </w:pPr>
      <w:r>
        <w:rPr>
          <w:rFonts w:hint="eastAsia" w:ascii="宋体" w:hAnsi="宋体" w:cs="宋体"/>
          <w:sz w:val="24"/>
          <w:szCs w:val="24"/>
          <w:highlight w:val="none"/>
        </w:rPr>
        <w:t>6.2.1.验收方式、验收程序、验收内容：</w:t>
      </w:r>
    </w:p>
    <w:p w14:paraId="109D74F6">
      <w:pPr>
        <w:spacing w:line="560" w:lineRule="exact"/>
        <w:rPr>
          <w:rFonts w:ascii="宋体" w:hAnsi="宋体" w:cs="宋体"/>
          <w:sz w:val="24"/>
          <w:szCs w:val="24"/>
          <w:highlight w:val="none"/>
        </w:rPr>
      </w:pPr>
      <w:r>
        <w:rPr>
          <w:rFonts w:hint="eastAsia" w:ascii="宋体" w:hAnsi="宋体" w:cs="宋体"/>
          <w:sz w:val="24"/>
          <w:szCs w:val="24"/>
          <w:highlight w:val="none"/>
        </w:rPr>
        <w:t>货物达到指定地点后，由中标人提出到货验收申请，采购人同意后，按照职责权限，组织相关部门及人员形成验收小组，验收小组根据招标文件、投标文件、合同等项目文件约定内容进行货物的包装的检查、开箱检查，对合同货物的品名、型号规格、数量、附件及备件（如产品说明书、产品合格证书）等是否齐全进行核查，核查无误后进行硬件设备到货验收。合同货物安装调试完毕后，由中标人提出交付验收申请，采购人同意后，按照职责权限，组织相关部门及人员形成验收小组，验收小组根据招标文件、投标文件、合同等项目文件约定内容进行交付验收。</w:t>
      </w:r>
    </w:p>
    <w:p w14:paraId="53C69B0D">
      <w:pPr>
        <w:spacing w:line="560" w:lineRule="exact"/>
        <w:rPr>
          <w:rFonts w:ascii="宋体" w:hAnsi="宋体" w:cs="宋体"/>
          <w:sz w:val="24"/>
          <w:szCs w:val="24"/>
          <w:highlight w:val="none"/>
        </w:rPr>
      </w:pPr>
      <w:r>
        <w:rPr>
          <w:rFonts w:hint="eastAsia" w:ascii="宋体" w:hAnsi="宋体" w:cs="宋体"/>
          <w:sz w:val="24"/>
          <w:szCs w:val="24"/>
          <w:highlight w:val="none"/>
        </w:rPr>
        <w:t>视项目实施情况，采购人有权选择是否邀请第三方人员或检测机构，对货物进行验收或检测。如货物未能通过检测验收，中标人应按照采购人的要求更换相应货物直至达标，并承担由此产生的一切费用和损失。</w:t>
      </w:r>
    </w:p>
    <w:p w14:paraId="5971FF34">
      <w:pPr>
        <w:spacing w:line="560" w:lineRule="exact"/>
        <w:rPr>
          <w:rFonts w:ascii="宋体" w:hAnsi="宋体" w:cs="宋体"/>
          <w:sz w:val="24"/>
          <w:szCs w:val="24"/>
          <w:highlight w:val="none"/>
        </w:rPr>
      </w:pPr>
      <w:r>
        <w:rPr>
          <w:rFonts w:hint="eastAsia" w:ascii="宋体" w:hAnsi="宋体" w:cs="宋体"/>
          <w:sz w:val="24"/>
          <w:szCs w:val="24"/>
          <w:highlight w:val="none"/>
        </w:rPr>
        <w:t>如验收达不到规定要求，比如在验收过程中发现数量不足或有质量、技术等问题，中标人应负责按照采购人的要求采取补足、更换或退货等措施妥善处理，并承担由此发生的一切费用和损失；对于不合格的货物，中标人必须在10个工作日里及时更换。中标人若违约，采购人将依法追究相应法律责任。</w:t>
      </w:r>
    </w:p>
    <w:p w14:paraId="30B4F52D">
      <w:pPr>
        <w:spacing w:line="560" w:lineRule="exact"/>
        <w:rPr>
          <w:rFonts w:ascii="宋体" w:hAnsi="宋体" w:cs="宋体"/>
          <w:sz w:val="24"/>
          <w:szCs w:val="24"/>
          <w:highlight w:val="none"/>
        </w:rPr>
      </w:pPr>
      <w:r>
        <w:rPr>
          <w:rFonts w:hint="eastAsia" w:ascii="宋体" w:hAnsi="宋体" w:cs="宋体"/>
          <w:sz w:val="24"/>
          <w:szCs w:val="24"/>
          <w:highlight w:val="none"/>
        </w:rPr>
        <w:t>6.2.2.验收标准：</w:t>
      </w:r>
    </w:p>
    <w:p w14:paraId="4E913C3C">
      <w:pPr>
        <w:spacing w:line="560" w:lineRule="exact"/>
        <w:rPr>
          <w:rFonts w:ascii="宋体" w:hAnsi="宋体" w:cs="宋体"/>
          <w:sz w:val="24"/>
          <w:szCs w:val="24"/>
          <w:highlight w:val="none"/>
        </w:rPr>
      </w:pPr>
      <w:r>
        <w:rPr>
          <w:rFonts w:hint="eastAsia" w:ascii="宋体" w:hAnsi="宋体" w:cs="宋体"/>
          <w:sz w:val="24"/>
          <w:szCs w:val="24"/>
          <w:highlight w:val="none"/>
        </w:rPr>
        <w:t>（1）符合中华人民共和国国家安全质量标准、环保标准或行业标准；</w:t>
      </w:r>
    </w:p>
    <w:p w14:paraId="6B3E7532">
      <w:pPr>
        <w:spacing w:line="560" w:lineRule="exact"/>
        <w:rPr>
          <w:rFonts w:ascii="宋体" w:hAnsi="宋体" w:cs="宋体"/>
          <w:sz w:val="24"/>
          <w:szCs w:val="24"/>
          <w:highlight w:val="none"/>
        </w:rPr>
      </w:pPr>
      <w:r>
        <w:rPr>
          <w:rFonts w:hint="eastAsia" w:ascii="宋体" w:hAnsi="宋体" w:cs="宋体"/>
          <w:sz w:val="24"/>
          <w:szCs w:val="24"/>
          <w:highlight w:val="none"/>
        </w:rPr>
        <w:t>（2）符合招标文件和投标承诺中采购人认可的合理最佳配置、参数及各项要求；</w:t>
      </w:r>
    </w:p>
    <w:p w14:paraId="35F7B324">
      <w:pPr>
        <w:spacing w:line="560" w:lineRule="exact"/>
        <w:rPr>
          <w:rFonts w:ascii="宋体" w:hAnsi="宋体" w:cs="宋体"/>
          <w:sz w:val="24"/>
          <w:szCs w:val="24"/>
          <w:highlight w:val="none"/>
        </w:rPr>
      </w:pPr>
      <w:r>
        <w:rPr>
          <w:rFonts w:hint="eastAsia" w:ascii="宋体" w:hAnsi="宋体" w:cs="宋体"/>
          <w:sz w:val="24"/>
          <w:szCs w:val="24"/>
          <w:highlight w:val="none"/>
        </w:rPr>
        <w:t>（3）货物来源符合官方标准。上述标准必须是有关官方机构发布的最新版本的标准；</w:t>
      </w:r>
    </w:p>
    <w:p w14:paraId="1457EAC1">
      <w:pPr>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eastAsia" w:asciiTheme="minorEastAsia" w:hAnsiTheme="minorEastAsia" w:eastAsiaTheme="minorEastAsia" w:cstheme="minorEastAsia"/>
          <w:color w:val="auto"/>
          <w:spacing w:val="0"/>
          <w:w w:val="100"/>
          <w:position w:val="0"/>
          <w:sz w:val="24"/>
          <w:szCs w:val="24"/>
          <w:highlight w:val="none"/>
          <w:lang w:eastAsia="zh-CN"/>
        </w:rPr>
      </w:pPr>
      <w:r>
        <w:rPr>
          <w:rFonts w:hint="eastAsia" w:ascii="宋体" w:hAnsi="宋体" w:cs="宋体"/>
          <w:sz w:val="24"/>
          <w:szCs w:val="24"/>
          <w:highlight w:val="none"/>
        </w:rPr>
        <w:t>（4）如招标文件的技术要求或招标文件中承诺的技术要求，高于国家或行业标准，以高的标准进行验收。</w:t>
      </w:r>
    </w:p>
    <w:p w14:paraId="0D656C08">
      <w:bookmarkStart w:id="32" w:name="_GoBack"/>
      <w:bookmarkEnd w:id="3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8014EA"/>
    <w:rsid w:val="118014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2026-07-03T06:25:00Z</dcterms:created>
  <dc:creator>王承川</dc:creator>
  <cp:lastModifiedBy>王承川</cp:lastModifiedBy>
  <dcterms:modified xsi:type="dcterms:W3CDTF">2026-07-03T06:30:56Z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E257B2B239BB4A58B37C2D8C50BF98B4_11</vt:lpwstr>
  </property>
  <property fmtid="{D5CDD505-2E9C-101B-9397-08002B2CF9AE}" pid="4" name="KSOTemplateDocerSaveRecord">
    <vt:lpwstr>eyJoZGlkIjoiZDhjZTRlZDZjYThlOGZlOGM1Y2I3MzJjZDZhMDM3MzMiLCJ1c2VySWQiOiI0NDMzODM5NDAifQ==</vt:lpwstr>
  </property>
</Properties>
</file>