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10134F">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2B5D81D5">
      <w:pPr>
        <w:pageBreakBefore w:val="0"/>
        <w:widowControl w:val="0"/>
        <w:wordWrap/>
        <w:overflowPunct/>
        <w:topLinePunct w:val="0"/>
        <w:bidi w:val="0"/>
        <w:spacing w:line="257" w:lineRule="auto"/>
        <w:rPr>
          <w:color w:val="auto"/>
          <w:spacing w:val="0"/>
          <w:position w:val="0"/>
        </w:rPr>
      </w:pPr>
    </w:p>
    <w:p w14:paraId="62015141">
      <w:pPr>
        <w:pageBreakBefore w:val="0"/>
        <w:widowControl w:val="0"/>
        <w:wordWrap/>
        <w:overflowPunct/>
        <w:topLinePunct w:val="0"/>
        <w:bidi w:val="0"/>
        <w:spacing w:line="258" w:lineRule="auto"/>
        <w:rPr>
          <w:color w:val="auto"/>
          <w:spacing w:val="0"/>
          <w:position w:val="0"/>
        </w:rPr>
      </w:pPr>
    </w:p>
    <w:p w14:paraId="596A0952">
      <w:pPr>
        <w:pageBreakBefore w:val="0"/>
        <w:widowControl w:val="0"/>
        <w:wordWrap/>
        <w:overflowPunct/>
        <w:topLinePunct w:val="0"/>
        <w:bidi w:val="0"/>
        <w:spacing w:line="258" w:lineRule="auto"/>
        <w:rPr>
          <w:color w:val="auto"/>
          <w:spacing w:val="0"/>
          <w:position w:val="0"/>
        </w:rPr>
      </w:pPr>
    </w:p>
    <w:p w14:paraId="12E99285">
      <w:pPr>
        <w:keepNext w:val="0"/>
        <w:keepLines w:val="0"/>
        <w:pageBreakBefore w:val="0"/>
        <w:widowControl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 xml:space="preserve">（一） </w:t>
      </w:r>
      <w:r>
        <w:rPr>
          <w:rFonts w:hint="eastAsia" w:ascii="宋体" w:hAnsi="宋体" w:eastAsia="宋体" w:cs="宋体"/>
          <w:b/>
          <w:bCs/>
          <w:color w:val="auto"/>
          <w:spacing w:val="0"/>
          <w:position w:val="0"/>
          <w:sz w:val="24"/>
          <w:szCs w:val="24"/>
          <w:lang w:val="en-US" w:eastAsia="zh-CN"/>
        </w:rPr>
        <w:t>服务</w:t>
      </w:r>
      <w:r>
        <w:rPr>
          <w:rFonts w:hint="eastAsia" w:ascii="宋体" w:hAnsi="宋体" w:eastAsia="宋体" w:cs="宋体"/>
          <w:b/>
          <w:bCs/>
          <w:color w:val="auto"/>
          <w:spacing w:val="0"/>
          <w:position w:val="0"/>
          <w:sz w:val="24"/>
          <w:szCs w:val="24"/>
        </w:rPr>
        <w:t>需求</w:t>
      </w:r>
      <w:bookmarkStart w:id="0" w:name="_GoBack"/>
      <w:bookmarkEnd w:id="0"/>
    </w:p>
    <w:p w14:paraId="7EC61C6E">
      <w:pPr>
        <w:pStyle w:val="3"/>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outlineLvl w:val="0"/>
        <w:rPr>
          <w:rFonts w:hint="eastAsia" w:ascii="宋体" w:hAnsi="宋体" w:eastAsia="宋体" w:cs="宋体"/>
          <w:sz w:val="24"/>
          <w:szCs w:val="24"/>
          <w:lang w:eastAsia="zh-CN"/>
        </w:rPr>
      </w:pPr>
      <w:r>
        <w:rPr>
          <w:rFonts w:hint="eastAsia" w:ascii="宋体" w:hAnsi="宋体" w:eastAsia="宋体" w:cs="宋体"/>
          <w:b/>
          <w:bCs/>
          <w:spacing w:val="-6"/>
          <w:sz w:val="24"/>
          <w:szCs w:val="24"/>
          <w:lang w:val="en-US" w:eastAsia="zh-CN"/>
        </w:rPr>
        <w:t>11、</w:t>
      </w:r>
      <w:r>
        <w:rPr>
          <w:rFonts w:hint="eastAsia" w:ascii="宋体" w:hAnsi="宋体" w:eastAsia="宋体" w:cs="宋体"/>
          <w:b/>
          <w:bCs/>
          <w:spacing w:val="-6"/>
          <w:sz w:val="24"/>
          <w:szCs w:val="24"/>
          <w:lang w:eastAsia="zh-CN"/>
        </w:rPr>
        <w:t>采购</w:t>
      </w:r>
      <w:r>
        <w:rPr>
          <w:rFonts w:hint="eastAsia" w:ascii="宋体" w:hAnsi="宋体" w:eastAsia="宋体" w:cs="宋体"/>
          <w:sz w:val="24"/>
          <w:szCs w:val="24"/>
        </w:rPr>
        <mc:AlternateContent>
          <mc:Choice Requires="wps">
            <w:drawing>
              <wp:anchor distT="0" distB="0" distL="114300" distR="114300" simplePos="0" relativeHeight="251661312" behindDoc="0" locked="0" layoutInCell="1" allowOverlap="1">
                <wp:simplePos x="0" y="0"/>
                <wp:positionH relativeFrom="column">
                  <wp:posOffset>248920</wp:posOffset>
                </wp:positionH>
                <wp:positionV relativeFrom="paragraph">
                  <wp:posOffset>132715</wp:posOffset>
                </wp:positionV>
                <wp:extent cx="93980" cy="93345"/>
                <wp:effectExtent l="0" t="0" r="0" b="0"/>
                <wp:wrapNone/>
                <wp:docPr id="2" name="文本框 2"/>
                <wp:cNvGraphicFramePr/>
                <a:graphic xmlns:a="http://schemas.openxmlformats.org/drawingml/2006/main">
                  <a:graphicData uri="http://schemas.microsoft.com/office/word/2010/wordprocessingShape">
                    <wps:wsp>
                      <wps:cNvSpPr txBox="1"/>
                      <wps:spPr>
                        <a:xfrm>
                          <a:off x="0" y="0"/>
                          <a:ext cx="93980" cy="93345"/>
                        </a:xfrm>
                        <a:prstGeom prst="rect">
                          <a:avLst/>
                        </a:prstGeom>
                        <a:noFill/>
                        <a:ln>
                          <a:noFill/>
                        </a:ln>
                      </wps:spPr>
                      <wps:txbx>
                        <w:txbxContent>
                          <w:p w14:paraId="62353BB8">
                            <w:pPr>
                              <w:pStyle w:val="3"/>
                              <w:spacing w:before="20" w:line="106" w:lineRule="exact"/>
                              <w:ind w:left="20"/>
                              <w:rPr>
                                <w:sz w:val="7"/>
                                <w:szCs w:val="7"/>
                              </w:rPr>
                            </w:pPr>
                            <w:r>
                              <w:rPr>
                                <w:b/>
                                <w:bCs/>
                                <w:spacing w:val="19"/>
                                <w:w w:val="125"/>
                                <w:position w:val="2"/>
                                <w:sz w:val="7"/>
                                <w:szCs w:val="7"/>
                              </w:rPr>
                              <w:t>、</w:t>
                            </w:r>
                          </w:p>
                        </w:txbxContent>
                      </wps:txbx>
                      <wps:bodyPr lIns="0" tIns="0" rIns="0" bIns="0" upright="1"/>
                    </wps:wsp>
                  </a:graphicData>
                </a:graphic>
              </wp:anchor>
            </w:drawing>
          </mc:Choice>
          <mc:Fallback>
            <w:pict>
              <v:shape id="_x0000_s1026" o:spid="_x0000_s1026" o:spt="202" type="#_x0000_t202" style="position:absolute;left:0pt;margin-left:19.6pt;margin-top:10.45pt;height:7.35pt;width:7.4pt;z-index:251661312;mso-width-relative:page;mso-height-relative:page;" filled="f" stroked="f" coordsize="21600,21600" o:gfxdata="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uEFPTtYAAAAHAQAADwAAAAAAAAABACAAAAAiAAAAZHJzL2Rvd25yZXYueG1sUEsBAhQAFAAA&#10;AAgAh07iQNHGaOi4AQAAbwMAAA4AAAAAAAAAAQAgAAAAJQEAAGRycy9lMm9Eb2MueG1sUEsFBgAA&#10;AAAGAAYAWQEAAE8FAAAAAA==&#10;">
                <v:fill on="f" focussize="0,0"/>
                <v:stroke on="f"/>
                <v:imagedata o:title=""/>
                <o:lock v:ext="edit" aspectratio="f"/>
                <v:textbox inset="0mm,0mm,0mm,0mm">
                  <w:txbxContent>
                    <w:p w14:paraId="62353BB8">
                      <w:pPr>
                        <w:pStyle w:val="3"/>
                        <w:spacing w:before="20" w:line="106" w:lineRule="exact"/>
                        <w:ind w:left="20"/>
                        <w:rPr>
                          <w:sz w:val="7"/>
                          <w:szCs w:val="7"/>
                        </w:rPr>
                      </w:pPr>
                      <w:r>
                        <w:rPr>
                          <w:b/>
                          <w:bCs/>
                          <w:spacing w:val="19"/>
                          <w:w w:val="125"/>
                          <w:position w:val="2"/>
                          <w:sz w:val="7"/>
                          <w:szCs w:val="7"/>
                        </w:rPr>
                        <w:t>、</w:t>
                      </w:r>
                    </w:p>
                  </w:txbxContent>
                </v:textbox>
              </v:shape>
            </w:pict>
          </mc:Fallback>
        </mc:AlternateContent>
      </w:r>
      <w:r>
        <w:rPr>
          <w:rFonts w:hint="eastAsia" w:ascii="宋体" w:hAnsi="宋体" w:eastAsia="宋体" w:cs="宋体"/>
          <w:b/>
          <w:bCs/>
          <w:spacing w:val="-7"/>
          <w:sz w:val="24"/>
          <w:szCs w:val="24"/>
          <w:lang w:eastAsia="zh-CN"/>
        </w:rPr>
        <w:t>需求清单</w:t>
      </w:r>
      <w:r>
        <w:rPr>
          <w:rFonts w:hint="eastAsia" w:ascii="宋体" w:hAnsi="宋体" w:eastAsia="宋体" w:cs="宋体"/>
          <w:b/>
          <w:bCs/>
          <w:spacing w:val="-6"/>
          <w:sz w:val="24"/>
          <w:szCs w:val="24"/>
          <w:lang w:eastAsia="zh-CN"/>
        </w:rPr>
        <w:t>及数量</w:t>
      </w:r>
    </w:p>
    <w:tbl>
      <w:tblPr>
        <w:tblStyle w:val="7"/>
        <w:tblW w:w="929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26"/>
        <w:gridCol w:w="1369"/>
        <w:gridCol w:w="756"/>
        <w:gridCol w:w="999"/>
        <w:gridCol w:w="1206"/>
        <w:gridCol w:w="4336"/>
      </w:tblGrid>
      <w:tr w14:paraId="6F7FD6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626" w:type="dxa"/>
            <w:vAlign w:val="center"/>
          </w:tcPr>
          <w:p w14:paraId="4D4E8274">
            <w:pPr>
              <w:keepNext w:val="0"/>
              <w:keepLines w:val="0"/>
              <w:pageBreakBefore w:val="0"/>
              <w:kinsoku w:val="0"/>
              <w:wordWrap/>
              <w:overflowPunct/>
              <w:topLinePunct w:val="0"/>
              <w:autoSpaceDE w:val="0"/>
              <w:autoSpaceDN w:val="0"/>
              <w:bidi w:val="0"/>
              <w:adjustRightInd w:val="0"/>
              <w:snapToGrid w:val="0"/>
              <w:spacing w:line="360" w:lineRule="auto"/>
              <w:ind w:right="0"/>
              <w:jc w:val="both"/>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序号</w:t>
            </w:r>
          </w:p>
        </w:tc>
        <w:tc>
          <w:tcPr>
            <w:tcW w:w="1369" w:type="dxa"/>
            <w:vAlign w:val="center"/>
          </w:tcPr>
          <w:p w14:paraId="54088FF5">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业务类型</w:t>
            </w:r>
          </w:p>
        </w:tc>
        <w:tc>
          <w:tcPr>
            <w:tcW w:w="756" w:type="dxa"/>
            <w:vAlign w:val="center"/>
          </w:tcPr>
          <w:p w14:paraId="7C2C1D5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3"/>
                <w:sz w:val="24"/>
                <w:szCs w:val="24"/>
              </w:rPr>
              <w:t>单位</w:t>
            </w:r>
          </w:p>
        </w:tc>
        <w:tc>
          <w:tcPr>
            <w:tcW w:w="999" w:type="dxa"/>
            <w:vAlign w:val="center"/>
          </w:tcPr>
          <w:p w14:paraId="68BB52B3">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数量</w:t>
            </w:r>
          </w:p>
        </w:tc>
        <w:tc>
          <w:tcPr>
            <w:tcW w:w="1206" w:type="dxa"/>
            <w:vAlign w:val="center"/>
          </w:tcPr>
          <w:p w14:paraId="335C55C1">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服务期</w:t>
            </w:r>
          </w:p>
        </w:tc>
        <w:tc>
          <w:tcPr>
            <w:tcW w:w="4336" w:type="dxa"/>
            <w:vAlign w:val="center"/>
          </w:tcPr>
          <w:p w14:paraId="61FA2DD4">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
                <w:sz w:val="24"/>
                <w:szCs w:val="24"/>
              </w:rPr>
              <w:t>简要服务说明</w:t>
            </w:r>
          </w:p>
        </w:tc>
      </w:tr>
      <w:tr w14:paraId="3CBA07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9292" w:type="dxa"/>
            <w:gridSpan w:val="6"/>
          </w:tcPr>
          <w:p w14:paraId="029425A8">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一、云服务资源专属包(独享计算/存储型)</w:t>
            </w:r>
          </w:p>
        </w:tc>
      </w:tr>
      <w:tr w14:paraId="5D2542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9" w:hRule="atLeast"/>
        </w:trPr>
        <w:tc>
          <w:tcPr>
            <w:tcW w:w="626" w:type="dxa"/>
            <w:vAlign w:val="center"/>
          </w:tcPr>
          <w:p w14:paraId="59A84CCC">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p>
          <w:p w14:paraId="6FD04E4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369" w:type="dxa"/>
            <w:vAlign w:val="center"/>
          </w:tcPr>
          <w:p w14:paraId="79030DF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4F433FD4">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
                <w:sz w:val="24"/>
                <w:szCs w:val="24"/>
              </w:rPr>
              <w:t>VCPU</w:t>
            </w:r>
          </w:p>
        </w:tc>
        <w:tc>
          <w:tcPr>
            <w:tcW w:w="756" w:type="dxa"/>
            <w:vAlign w:val="center"/>
          </w:tcPr>
          <w:p w14:paraId="2F5AB487">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5DED031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核</w:t>
            </w:r>
          </w:p>
        </w:tc>
        <w:tc>
          <w:tcPr>
            <w:tcW w:w="999" w:type="dxa"/>
            <w:vAlign w:val="center"/>
          </w:tcPr>
          <w:p w14:paraId="544DDC41">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2B931903">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5"/>
                <w:sz w:val="24"/>
                <w:szCs w:val="24"/>
              </w:rPr>
              <w:t>5234</w:t>
            </w:r>
          </w:p>
        </w:tc>
        <w:tc>
          <w:tcPr>
            <w:tcW w:w="1206" w:type="dxa"/>
            <w:vAlign w:val="center"/>
          </w:tcPr>
          <w:p w14:paraId="42C8EF4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5810303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2451F09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rPr>
            </w:pPr>
            <w:r>
              <w:rPr>
                <w:rFonts w:hint="eastAsia" w:ascii="宋体" w:hAnsi="宋体" w:eastAsia="宋体" w:cs="宋体"/>
                <w:spacing w:val="-4"/>
                <w:sz w:val="24"/>
                <w:szCs w:val="24"/>
                <w:lang w:eastAsia="zh-CN"/>
              </w:rPr>
              <w:t>配套高性能网络，支持2-64核配置，</w:t>
            </w:r>
            <w:r>
              <w:rPr>
                <w:rFonts w:hint="eastAsia" w:ascii="宋体" w:hAnsi="宋体" w:eastAsia="宋体" w:cs="宋体"/>
                <w:spacing w:val="-1"/>
                <w:sz w:val="24"/>
                <w:szCs w:val="24"/>
                <w:lang w:eastAsia="zh-CN"/>
              </w:rPr>
              <w:t>满足江西法院信息化系统所需的计算资</w:t>
            </w:r>
            <w:r>
              <w:rPr>
                <w:rFonts w:hint="eastAsia" w:ascii="宋体" w:hAnsi="宋体" w:eastAsia="宋体" w:cs="宋体"/>
                <w:spacing w:val="-2"/>
                <w:sz w:val="24"/>
                <w:szCs w:val="24"/>
              </w:rPr>
              <w:t>源能力</w:t>
            </w:r>
          </w:p>
        </w:tc>
      </w:tr>
      <w:tr w14:paraId="3146E8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5" w:hRule="atLeast"/>
        </w:trPr>
        <w:tc>
          <w:tcPr>
            <w:tcW w:w="626" w:type="dxa"/>
            <w:vAlign w:val="center"/>
          </w:tcPr>
          <w:p w14:paraId="5684691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2</w:t>
            </w:r>
          </w:p>
        </w:tc>
        <w:tc>
          <w:tcPr>
            <w:tcW w:w="1369" w:type="dxa"/>
            <w:vAlign w:val="center"/>
          </w:tcPr>
          <w:p w14:paraId="7A5E209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2"/>
                <w:sz w:val="24"/>
                <w:szCs w:val="24"/>
              </w:rPr>
              <w:t>内存</w:t>
            </w:r>
          </w:p>
        </w:tc>
        <w:tc>
          <w:tcPr>
            <w:tcW w:w="756" w:type="dxa"/>
            <w:vAlign w:val="center"/>
          </w:tcPr>
          <w:p w14:paraId="23436AA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G</w:t>
            </w:r>
          </w:p>
        </w:tc>
        <w:tc>
          <w:tcPr>
            <w:tcW w:w="999" w:type="dxa"/>
            <w:vAlign w:val="center"/>
          </w:tcPr>
          <w:p w14:paraId="6436E2F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5"/>
                <w:sz w:val="24"/>
                <w:szCs w:val="24"/>
              </w:rPr>
              <w:t>14665</w:t>
            </w:r>
          </w:p>
        </w:tc>
        <w:tc>
          <w:tcPr>
            <w:tcW w:w="1206" w:type="dxa"/>
            <w:vAlign w:val="center"/>
          </w:tcPr>
          <w:p w14:paraId="01EF96E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2A178E4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4"/>
                <w:sz w:val="24"/>
                <w:szCs w:val="24"/>
                <w:lang w:eastAsia="zh-CN"/>
              </w:rPr>
              <w:t>支持2-128G内存配置，满足江西法院</w:t>
            </w:r>
            <w:r>
              <w:rPr>
                <w:rFonts w:hint="eastAsia" w:ascii="宋体" w:hAnsi="宋体" w:eastAsia="宋体" w:cs="宋体"/>
                <w:spacing w:val="-1"/>
                <w:sz w:val="24"/>
                <w:szCs w:val="24"/>
                <w:lang w:eastAsia="zh-CN"/>
              </w:rPr>
              <w:t>信息化系统所需的内存资源</w:t>
            </w:r>
          </w:p>
        </w:tc>
      </w:tr>
      <w:tr w14:paraId="0501B1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0" w:hRule="atLeast"/>
        </w:trPr>
        <w:tc>
          <w:tcPr>
            <w:tcW w:w="626" w:type="dxa"/>
            <w:vAlign w:val="center"/>
          </w:tcPr>
          <w:p w14:paraId="28B9E0C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p>
          <w:p w14:paraId="7104E32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p>
          <w:p w14:paraId="2415FB8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3</w:t>
            </w:r>
          </w:p>
        </w:tc>
        <w:tc>
          <w:tcPr>
            <w:tcW w:w="1369" w:type="dxa"/>
            <w:vAlign w:val="center"/>
          </w:tcPr>
          <w:p w14:paraId="3FF3803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40BE474C">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5BD5C4E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4"/>
                <w:sz w:val="24"/>
                <w:szCs w:val="24"/>
              </w:rPr>
              <w:t>SAS存储</w:t>
            </w:r>
          </w:p>
        </w:tc>
        <w:tc>
          <w:tcPr>
            <w:tcW w:w="756" w:type="dxa"/>
            <w:vAlign w:val="center"/>
          </w:tcPr>
          <w:p w14:paraId="2083DFEE">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2A8D8A77">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109CBF6A">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T</w:t>
            </w:r>
          </w:p>
        </w:tc>
        <w:tc>
          <w:tcPr>
            <w:tcW w:w="999" w:type="dxa"/>
            <w:vAlign w:val="center"/>
          </w:tcPr>
          <w:p w14:paraId="064F03F4">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1382C6C6">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7FF245EC">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val="en-US" w:eastAsia="zh-CN"/>
              </w:rPr>
            </w:pPr>
            <w:r>
              <w:rPr>
                <w:rFonts w:hint="eastAsia" w:ascii="宋体" w:hAnsi="宋体" w:eastAsia="宋体" w:cs="宋体"/>
                <w:color w:val="auto"/>
                <w:spacing w:val="-6"/>
                <w:sz w:val="24"/>
                <w:szCs w:val="24"/>
              </w:rPr>
              <w:t>1</w:t>
            </w:r>
            <w:r>
              <w:rPr>
                <w:rFonts w:hint="eastAsia" w:ascii="宋体" w:hAnsi="宋体" w:eastAsia="宋体" w:cs="宋体"/>
                <w:color w:val="auto"/>
                <w:spacing w:val="-6"/>
                <w:sz w:val="24"/>
                <w:szCs w:val="24"/>
                <w:lang w:val="en-US" w:eastAsia="zh-CN"/>
              </w:rPr>
              <w:t>5</w:t>
            </w:r>
            <w:r>
              <w:rPr>
                <w:rFonts w:hint="eastAsia" w:ascii="宋体" w:hAnsi="宋体" w:eastAsia="宋体" w:cs="宋体"/>
                <w:color w:val="auto"/>
                <w:spacing w:val="-6"/>
                <w:sz w:val="24"/>
                <w:szCs w:val="24"/>
              </w:rPr>
              <w:t>4</w:t>
            </w:r>
            <w:r>
              <w:rPr>
                <w:rFonts w:hint="eastAsia" w:ascii="宋体" w:hAnsi="宋体" w:eastAsia="宋体" w:cs="宋体"/>
                <w:color w:val="auto"/>
                <w:spacing w:val="-6"/>
                <w:sz w:val="24"/>
                <w:szCs w:val="24"/>
                <w:lang w:val="en-US" w:eastAsia="zh-CN"/>
              </w:rPr>
              <w:t>4</w:t>
            </w:r>
          </w:p>
        </w:tc>
        <w:tc>
          <w:tcPr>
            <w:tcW w:w="1206" w:type="dxa"/>
            <w:vAlign w:val="center"/>
          </w:tcPr>
          <w:p w14:paraId="18EC2D3A">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0607764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210F968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20670B9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4"/>
                <w:sz w:val="24"/>
                <w:szCs w:val="24"/>
                <w:lang w:eastAsia="zh-CN"/>
              </w:rPr>
              <w:t>单盘IOPS满足6IOPS/GB，单盘最小</w:t>
            </w:r>
          </w:p>
          <w:p w14:paraId="1E84D84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rPr>
            </w:pPr>
            <w:r>
              <w:rPr>
                <w:rFonts w:hint="eastAsia" w:ascii="宋体" w:hAnsi="宋体" w:eastAsia="宋体" w:cs="宋体"/>
                <w:spacing w:val="-5"/>
                <w:sz w:val="24"/>
                <w:szCs w:val="24"/>
              </w:rPr>
              <w:t>IOP1200，最大IOPS5000，最大吞吐</w:t>
            </w:r>
          </w:p>
          <w:p w14:paraId="2BEE5498">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量/磁盘180MB/s,满足江西法院信息化</w:t>
            </w:r>
          </w:p>
          <w:p w14:paraId="59BE0B1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系统所需的存储资源</w:t>
            </w:r>
          </w:p>
        </w:tc>
      </w:tr>
      <w:tr w14:paraId="74C9ED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9292" w:type="dxa"/>
            <w:gridSpan w:val="6"/>
          </w:tcPr>
          <w:p w14:paraId="0389107F">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r>
              <w:rPr>
                <w:rFonts w:hint="eastAsia" w:ascii="宋体" w:hAnsi="宋体" w:eastAsia="宋体" w:cs="宋体"/>
                <w:spacing w:val="-1"/>
                <w:sz w:val="24"/>
                <w:szCs w:val="24"/>
              </w:rPr>
              <w:t>二、云专线服务项目</w:t>
            </w:r>
          </w:p>
        </w:tc>
      </w:tr>
      <w:tr w14:paraId="18F462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8" w:hRule="atLeast"/>
        </w:trPr>
        <w:tc>
          <w:tcPr>
            <w:tcW w:w="626" w:type="dxa"/>
          </w:tcPr>
          <w:p w14:paraId="0106F92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4</w:t>
            </w:r>
          </w:p>
        </w:tc>
        <w:tc>
          <w:tcPr>
            <w:tcW w:w="1369" w:type="dxa"/>
          </w:tcPr>
          <w:p w14:paraId="7A19B03A">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专属云接入</w:t>
            </w:r>
          </w:p>
        </w:tc>
        <w:tc>
          <w:tcPr>
            <w:tcW w:w="756" w:type="dxa"/>
          </w:tcPr>
          <w:p w14:paraId="768145D1">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条</w:t>
            </w:r>
          </w:p>
        </w:tc>
        <w:tc>
          <w:tcPr>
            <w:tcW w:w="999" w:type="dxa"/>
          </w:tcPr>
          <w:p w14:paraId="69BC8A4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2</w:t>
            </w:r>
          </w:p>
        </w:tc>
        <w:tc>
          <w:tcPr>
            <w:tcW w:w="1206" w:type="dxa"/>
          </w:tcPr>
          <w:p w14:paraId="20642518">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5D03979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专属云平台与高法机房互通专线,规格</w:t>
            </w:r>
            <w:r>
              <w:rPr>
                <w:rFonts w:hint="eastAsia" w:ascii="宋体" w:hAnsi="宋体" w:eastAsia="宋体" w:cs="宋体"/>
                <w:spacing w:val="-5"/>
                <w:sz w:val="24"/>
                <w:szCs w:val="24"/>
                <w:lang w:eastAsia="zh-CN"/>
              </w:rPr>
              <w:t>1.5G,</w:t>
            </w:r>
          </w:p>
        </w:tc>
      </w:tr>
      <w:tr w14:paraId="12F9A2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626" w:type="dxa"/>
          </w:tcPr>
          <w:p w14:paraId="55806A07">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5</w:t>
            </w:r>
          </w:p>
        </w:tc>
        <w:tc>
          <w:tcPr>
            <w:tcW w:w="1369" w:type="dxa"/>
          </w:tcPr>
          <w:p w14:paraId="54313A0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互联网接入</w:t>
            </w:r>
          </w:p>
        </w:tc>
        <w:tc>
          <w:tcPr>
            <w:tcW w:w="756" w:type="dxa"/>
          </w:tcPr>
          <w:p w14:paraId="11913BC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条</w:t>
            </w:r>
          </w:p>
        </w:tc>
        <w:tc>
          <w:tcPr>
            <w:tcW w:w="999" w:type="dxa"/>
          </w:tcPr>
          <w:p w14:paraId="48A0A27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tcPr>
          <w:p w14:paraId="703BABE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3B4AA7D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3"/>
                <w:sz w:val="24"/>
                <w:szCs w:val="24"/>
                <w:lang w:eastAsia="zh-CN"/>
              </w:rPr>
              <w:t>专属云平台与互联网接入，规格800M</w:t>
            </w:r>
          </w:p>
        </w:tc>
      </w:tr>
      <w:tr w14:paraId="7D784A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9292" w:type="dxa"/>
            <w:gridSpan w:val="6"/>
          </w:tcPr>
          <w:p w14:paraId="11D02F4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rPr>
            </w:pPr>
            <w:r>
              <w:rPr>
                <w:rFonts w:hint="eastAsia" w:ascii="宋体" w:hAnsi="宋体" w:eastAsia="宋体" w:cs="宋体"/>
                <w:spacing w:val="-1"/>
                <w:sz w:val="24"/>
                <w:szCs w:val="24"/>
              </w:rPr>
              <w:t>三、配套服务项目</w:t>
            </w:r>
          </w:p>
        </w:tc>
      </w:tr>
      <w:tr w14:paraId="1F6D89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9" w:hRule="atLeast"/>
        </w:trPr>
        <w:tc>
          <w:tcPr>
            <w:tcW w:w="626" w:type="dxa"/>
          </w:tcPr>
          <w:p w14:paraId="6B85CD6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3C0D502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6</w:t>
            </w:r>
          </w:p>
        </w:tc>
        <w:tc>
          <w:tcPr>
            <w:tcW w:w="1369" w:type="dxa"/>
          </w:tcPr>
          <w:p w14:paraId="26DB4B0C">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1497D75F">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云安全卫士</w:t>
            </w:r>
          </w:p>
        </w:tc>
        <w:tc>
          <w:tcPr>
            <w:tcW w:w="756" w:type="dxa"/>
          </w:tcPr>
          <w:p w14:paraId="26623C5E">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20E42498">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tcPr>
          <w:p w14:paraId="4734BA11">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00123F26">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tcPr>
          <w:p w14:paraId="7D02B27C">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046C5BBB">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734094EA">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资产清点、软件漏洞、基线检查、弱口</w:t>
            </w:r>
          </w:p>
          <w:p w14:paraId="03FF300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令检测、暴力破解、异常登录、操作审</w:t>
            </w:r>
          </w:p>
          <w:p w14:paraId="12828F5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rPr>
            </w:pPr>
            <w:r>
              <w:rPr>
                <w:rFonts w:hint="eastAsia" w:ascii="宋体" w:hAnsi="宋体" w:eastAsia="宋体" w:cs="宋体"/>
                <w:sz w:val="24"/>
                <w:szCs w:val="24"/>
              </w:rPr>
              <w:t>计</w:t>
            </w:r>
          </w:p>
        </w:tc>
      </w:tr>
      <w:tr w14:paraId="552388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626" w:type="dxa"/>
          </w:tcPr>
          <w:p w14:paraId="27B8ADF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7</w:t>
            </w:r>
          </w:p>
        </w:tc>
        <w:tc>
          <w:tcPr>
            <w:tcW w:w="1369" w:type="dxa"/>
          </w:tcPr>
          <w:p w14:paraId="117C344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云堡垒机</w:t>
            </w:r>
          </w:p>
        </w:tc>
        <w:tc>
          <w:tcPr>
            <w:tcW w:w="756" w:type="dxa"/>
          </w:tcPr>
          <w:p w14:paraId="0B4CED25">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tcPr>
          <w:p w14:paraId="3ED1D3E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tcPr>
          <w:p w14:paraId="5260C009">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11FC7BA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提供运维人员操作监控</w:t>
            </w:r>
          </w:p>
        </w:tc>
      </w:tr>
      <w:tr w14:paraId="3227D9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8" w:hRule="atLeast"/>
        </w:trPr>
        <w:tc>
          <w:tcPr>
            <w:tcW w:w="626" w:type="dxa"/>
            <w:vAlign w:val="center"/>
          </w:tcPr>
          <w:p w14:paraId="13A29B3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8</w:t>
            </w:r>
          </w:p>
        </w:tc>
        <w:tc>
          <w:tcPr>
            <w:tcW w:w="1369" w:type="dxa"/>
            <w:vAlign w:val="center"/>
          </w:tcPr>
          <w:p w14:paraId="7FED09F4">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eastAsia="zh-CN"/>
              </w:rPr>
              <w:t>云主机安全</w:t>
            </w:r>
          </w:p>
          <w:p w14:paraId="1621E72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漏洞扫描服</w:t>
            </w:r>
          </w:p>
          <w:p w14:paraId="186C4AB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务</w:t>
            </w:r>
          </w:p>
        </w:tc>
        <w:tc>
          <w:tcPr>
            <w:tcW w:w="756" w:type="dxa"/>
            <w:vAlign w:val="center"/>
          </w:tcPr>
          <w:p w14:paraId="6BE60375">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vAlign w:val="center"/>
          </w:tcPr>
          <w:p w14:paraId="20184C6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vAlign w:val="center"/>
          </w:tcPr>
          <w:p w14:paraId="07AA8F2D">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1131C72D">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both"/>
              <w:textAlignment w:val="baseline"/>
              <w:rPr>
                <w:rFonts w:hint="eastAsia" w:ascii="宋体" w:hAnsi="宋体" w:eastAsia="宋体" w:cs="宋体"/>
                <w:sz w:val="24"/>
                <w:szCs w:val="24"/>
              </w:rPr>
            </w:pPr>
            <w:r>
              <w:rPr>
                <w:rFonts w:hint="eastAsia" w:ascii="宋体" w:hAnsi="宋体" w:eastAsia="宋体" w:cs="宋体"/>
                <w:spacing w:val="-1"/>
                <w:sz w:val="24"/>
                <w:szCs w:val="24"/>
                <w:lang w:eastAsia="zh-CN"/>
              </w:rPr>
              <w:t>安全漏洞扫描服务是通过在公网或内网</w:t>
            </w:r>
            <w:r>
              <w:rPr>
                <w:rFonts w:hint="eastAsia" w:ascii="宋体" w:hAnsi="宋体" w:eastAsia="宋体" w:cs="宋体"/>
                <w:spacing w:val="-5"/>
                <w:sz w:val="24"/>
                <w:szCs w:val="24"/>
                <w:lang w:eastAsia="zh-CN"/>
              </w:rPr>
              <w:t>部署漏洞扫描器，基于漏洞数据库，通</w:t>
            </w:r>
            <w:r>
              <w:rPr>
                <w:rFonts w:hint="eastAsia" w:ascii="宋体" w:hAnsi="宋体" w:eastAsia="宋体" w:cs="宋体"/>
                <w:spacing w:val="-1"/>
                <w:sz w:val="24"/>
                <w:szCs w:val="24"/>
                <w:lang w:eastAsia="zh-CN"/>
              </w:rPr>
              <w:t>过扫描对指定的远程或者本地计算机系</w:t>
            </w:r>
            <w:r>
              <w:rPr>
                <w:rFonts w:hint="eastAsia" w:ascii="宋体" w:hAnsi="宋体" w:eastAsia="宋体" w:cs="宋体"/>
                <w:spacing w:val="-3"/>
                <w:sz w:val="24"/>
                <w:szCs w:val="24"/>
                <w:lang w:eastAsia="zh-CN"/>
              </w:rPr>
              <w:t>统安全的脆弱性检测，可对公网或内网的资产进行扫描，扫描完成后出具专业扫描报告，并可提供漏洞修复建议、漏</w:t>
            </w:r>
            <w:r>
              <w:rPr>
                <w:rFonts w:hint="eastAsia" w:ascii="宋体" w:hAnsi="宋体" w:eastAsia="宋体" w:cs="宋体"/>
                <w:spacing w:val="-1"/>
                <w:sz w:val="24"/>
                <w:szCs w:val="24"/>
              </w:rPr>
              <w:t>洞复测服务。</w:t>
            </w:r>
          </w:p>
        </w:tc>
      </w:tr>
    </w:tbl>
    <w:p w14:paraId="6A27F2C3">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p>
    <w:p w14:paraId="566EBFF8">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sectPr>
          <w:footerReference r:id="rId3" w:type="default"/>
          <w:pgSz w:w="11906" w:h="16839"/>
          <w:pgMar w:top="1440" w:right="1800" w:bottom="1440" w:left="1800" w:header="0" w:footer="599" w:gutter="0"/>
          <w:pgNumType w:fmt="decimal"/>
          <w:cols w:space="720" w:num="1"/>
        </w:sectPr>
      </w:pPr>
    </w:p>
    <w:p w14:paraId="7528DB6F">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p>
    <w:p w14:paraId="010F8E38">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p>
    <w:p w14:paraId="5911CD9B">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p>
    <w:p w14:paraId="53E53173">
      <w:pPr>
        <w:keepNext w:val="0"/>
        <w:keepLines w:val="0"/>
        <w:pageBreakBefore w:val="0"/>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sz w:val="24"/>
          <w:szCs w:val="24"/>
        </w:rPr>
      </w:pPr>
    </w:p>
    <w:tbl>
      <w:tblPr>
        <w:tblStyle w:val="7"/>
        <w:tblW w:w="929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8"/>
        <w:gridCol w:w="1467"/>
        <w:gridCol w:w="756"/>
        <w:gridCol w:w="999"/>
        <w:gridCol w:w="1206"/>
        <w:gridCol w:w="4336"/>
      </w:tblGrid>
      <w:tr w14:paraId="04DFC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6" w:hRule="atLeast"/>
        </w:trPr>
        <w:tc>
          <w:tcPr>
            <w:tcW w:w="528" w:type="dxa"/>
          </w:tcPr>
          <w:p w14:paraId="614632D5">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9</w:t>
            </w:r>
          </w:p>
        </w:tc>
        <w:tc>
          <w:tcPr>
            <w:tcW w:w="1467" w:type="dxa"/>
          </w:tcPr>
          <w:p w14:paraId="0F53C49A">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云防火墙</w:t>
            </w:r>
          </w:p>
        </w:tc>
        <w:tc>
          <w:tcPr>
            <w:tcW w:w="756" w:type="dxa"/>
          </w:tcPr>
          <w:p w14:paraId="794A4782">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tcPr>
          <w:p w14:paraId="08F19069">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tcPr>
          <w:p w14:paraId="3DB735EC">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57947CFD">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14FA9BA1">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06FFA6A8">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3E8B3B3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jc w:val="both"/>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云下一代防火墙是专门为云计算环境设</w:t>
            </w:r>
            <w:r>
              <w:rPr>
                <w:rFonts w:hint="eastAsia" w:ascii="宋体" w:hAnsi="宋体" w:eastAsia="宋体" w:cs="宋体"/>
                <w:spacing w:val="-2"/>
                <w:sz w:val="24"/>
                <w:szCs w:val="24"/>
                <w:lang w:eastAsia="zh-CN"/>
              </w:rPr>
              <w:t>计的虚拟化网络安全产品，内嵌网络防</w:t>
            </w:r>
            <w:r>
              <w:rPr>
                <w:rFonts w:hint="eastAsia" w:ascii="宋体" w:hAnsi="宋体" w:eastAsia="宋体" w:cs="宋体"/>
                <w:spacing w:val="-3"/>
                <w:sz w:val="24"/>
                <w:szCs w:val="24"/>
                <w:lang w:eastAsia="zh-CN"/>
              </w:rPr>
              <w:t>火墙专用操作系统，以虚拟主机形态提</w:t>
            </w:r>
            <w:r>
              <w:rPr>
                <w:rFonts w:hint="eastAsia" w:ascii="宋体" w:hAnsi="宋体" w:eastAsia="宋体" w:cs="宋体"/>
                <w:spacing w:val="-1"/>
                <w:sz w:val="24"/>
                <w:szCs w:val="24"/>
                <w:lang w:eastAsia="zh-CN"/>
              </w:rPr>
              <w:t>供高性价比、不同安全等级应用之间的安全隔离防护的云安全边界解决方案。</w:t>
            </w:r>
          </w:p>
        </w:tc>
      </w:tr>
      <w:tr w14:paraId="3A4614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1" w:hRule="atLeast"/>
        </w:trPr>
        <w:tc>
          <w:tcPr>
            <w:tcW w:w="528" w:type="dxa"/>
          </w:tcPr>
          <w:p w14:paraId="7B040A75">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p>
          <w:p w14:paraId="273A1033">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lang w:eastAsia="zh-CN"/>
              </w:rPr>
            </w:pPr>
          </w:p>
          <w:p w14:paraId="1E4AADA8">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3"/>
                <w:sz w:val="24"/>
                <w:szCs w:val="24"/>
              </w:rPr>
              <w:t>10</w:t>
            </w:r>
          </w:p>
        </w:tc>
        <w:tc>
          <w:tcPr>
            <w:tcW w:w="1467" w:type="dxa"/>
          </w:tcPr>
          <w:p w14:paraId="4B2947AD">
            <w:pPr>
              <w:keepNext w:val="0"/>
              <w:keepLines w:val="0"/>
              <w:pageBreakBefore w:val="0"/>
              <w:widowControl/>
              <w:kinsoku w:val="0"/>
              <w:wordWrap/>
              <w:overflowPunct/>
              <w:topLinePunct w:val="0"/>
              <w:autoSpaceDE w:val="0"/>
              <w:autoSpaceDN w:val="0"/>
              <w:bidi w:val="0"/>
              <w:adjustRightInd/>
              <w:snapToGrid/>
              <w:spacing w:line="360" w:lineRule="auto"/>
              <w:ind w:left="0" w:right="0" w:firstLine="1"/>
              <w:jc w:val="center"/>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eastAsia="zh-CN"/>
              </w:rPr>
              <w:t>云管理平台</w:t>
            </w:r>
            <w:r>
              <w:rPr>
                <w:rFonts w:hint="eastAsia" w:ascii="宋体" w:hAnsi="宋体" w:eastAsia="宋体" w:cs="宋体"/>
                <w:spacing w:val="-1"/>
                <w:sz w:val="24"/>
                <w:szCs w:val="24"/>
                <w:lang w:eastAsia="zh-CN"/>
              </w:rPr>
              <w:t>软件云主机资源开通、</w:t>
            </w:r>
          </w:p>
          <w:p w14:paraId="3B1A1387">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监控等</w:t>
            </w:r>
          </w:p>
        </w:tc>
        <w:tc>
          <w:tcPr>
            <w:tcW w:w="756" w:type="dxa"/>
          </w:tcPr>
          <w:p w14:paraId="2AA3FC66">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68A106E0">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tcPr>
          <w:p w14:paraId="7A907420">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2947EAA4">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tcPr>
          <w:p w14:paraId="197C447A">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4DDF1554">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486ADC1F">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56DC61B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8" w:firstLineChars="200"/>
              <w:jc w:val="both"/>
              <w:textAlignment w:val="baseline"/>
              <w:rPr>
                <w:rFonts w:hint="eastAsia" w:ascii="宋体" w:hAnsi="宋体" w:eastAsia="宋体" w:cs="宋体"/>
                <w:sz w:val="24"/>
                <w:szCs w:val="24"/>
              </w:rPr>
            </w:pPr>
            <w:r>
              <w:rPr>
                <w:rFonts w:hint="eastAsia" w:ascii="宋体" w:hAnsi="宋体" w:eastAsia="宋体" w:cs="宋体"/>
                <w:spacing w:val="-3"/>
                <w:sz w:val="24"/>
                <w:szCs w:val="24"/>
                <w:lang w:eastAsia="zh-CN"/>
              </w:rPr>
              <w:t>提供资源操作，监控。提供相关资源监</w:t>
            </w:r>
            <w:r>
              <w:rPr>
                <w:rFonts w:hint="eastAsia" w:ascii="宋体" w:hAnsi="宋体" w:eastAsia="宋体" w:cs="宋体"/>
                <w:spacing w:val="-5"/>
                <w:sz w:val="24"/>
                <w:szCs w:val="24"/>
                <w:lang w:eastAsia="zh-CN"/>
              </w:rPr>
              <w:t>控平台，实时对使用资源，从应用、虚</w:t>
            </w:r>
            <w:r>
              <w:rPr>
                <w:rFonts w:hint="eastAsia" w:ascii="宋体" w:hAnsi="宋体" w:eastAsia="宋体" w:cs="宋体"/>
                <w:spacing w:val="-1"/>
                <w:sz w:val="24"/>
                <w:szCs w:val="24"/>
                <w:lang w:eastAsia="zh-CN"/>
              </w:rPr>
              <w:t>拟机、资源、时间等维度进行监控和统</w:t>
            </w:r>
            <w:r>
              <w:rPr>
                <w:rFonts w:hint="eastAsia" w:ascii="宋体" w:hAnsi="宋体" w:eastAsia="宋体" w:cs="宋体"/>
                <w:spacing w:val="-2"/>
                <w:sz w:val="24"/>
                <w:szCs w:val="24"/>
              </w:rPr>
              <w:t>计。</w:t>
            </w:r>
          </w:p>
        </w:tc>
      </w:tr>
      <w:tr w14:paraId="4E52EB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63" w:hRule="atLeast"/>
        </w:trPr>
        <w:tc>
          <w:tcPr>
            <w:tcW w:w="528" w:type="dxa"/>
            <w:vAlign w:val="center"/>
          </w:tcPr>
          <w:p w14:paraId="5FF52E42">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p>
          <w:p w14:paraId="15BE2B58">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3"/>
                <w:sz w:val="24"/>
                <w:szCs w:val="24"/>
              </w:rPr>
              <w:t>11</w:t>
            </w:r>
          </w:p>
        </w:tc>
        <w:tc>
          <w:tcPr>
            <w:tcW w:w="1467" w:type="dxa"/>
            <w:vAlign w:val="center"/>
          </w:tcPr>
          <w:p w14:paraId="6B4D030F">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eastAsia="zh-CN"/>
              </w:rPr>
              <w:t>弹性伸缩服</w:t>
            </w:r>
          </w:p>
          <w:p w14:paraId="56AEA6CC">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务应对突发</w:t>
            </w:r>
          </w:p>
          <w:p w14:paraId="6C821045">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流量提供云</w:t>
            </w:r>
          </w:p>
          <w:p w14:paraId="52325674">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主机应用承</w:t>
            </w:r>
          </w:p>
          <w:p w14:paraId="0884D3BB">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2"/>
                <w:sz w:val="24"/>
                <w:szCs w:val="24"/>
              </w:rPr>
              <w:t>载服务</w:t>
            </w:r>
          </w:p>
        </w:tc>
        <w:tc>
          <w:tcPr>
            <w:tcW w:w="756" w:type="dxa"/>
            <w:vAlign w:val="center"/>
          </w:tcPr>
          <w:p w14:paraId="63E73105">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337B3127">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vAlign w:val="center"/>
          </w:tcPr>
          <w:p w14:paraId="7968F487">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p>
          <w:p w14:paraId="0E20028D">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vAlign w:val="center"/>
          </w:tcPr>
          <w:p w14:paraId="2EEF5676">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4315F336">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p>
          <w:p w14:paraId="06CF791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应对突发流量提供云主机应用承载服</w:t>
            </w:r>
          </w:p>
          <w:p w14:paraId="64EF4FD2">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3"/>
                <w:sz w:val="24"/>
                <w:szCs w:val="24"/>
                <w:lang w:eastAsia="zh-CN"/>
              </w:rPr>
              <w:t>务。每月提供一次资源探测报告，并对</w:t>
            </w:r>
            <w:r>
              <w:rPr>
                <w:rFonts w:hint="eastAsia" w:ascii="宋体" w:hAnsi="宋体" w:eastAsia="宋体" w:cs="宋体"/>
                <w:spacing w:val="-1"/>
                <w:sz w:val="24"/>
                <w:szCs w:val="24"/>
                <w:lang w:eastAsia="zh-CN"/>
              </w:rPr>
              <w:t>云资源使用提供优化建议。</w:t>
            </w:r>
          </w:p>
        </w:tc>
      </w:tr>
      <w:tr w14:paraId="3F380D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7" w:hRule="atLeast"/>
        </w:trPr>
        <w:tc>
          <w:tcPr>
            <w:tcW w:w="528" w:type="dxa"/>
            <w:vAlign w:val="center"/>
          </w:tcPr>
          <w:p w14:paraId="43915AF0">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3"/>
                <w:sz w:val="24"/>
                <w:szCs w:val="24"/>
              </w:rPr>
              <w:t>12</w:t>
            </w:r>
          </w:p>
        </w:tc>
        <w:tc>
          <w:tcPr>
            <w:tcW w:w="1467" w:type="dxa"/>
            <w:vAlign w:val="center"/>
          </w:tcPr>
          <w:p w14:paraId="493193D7">
            <w:pPr>
              <w:keepNext w:val="0"/>
              <w:keepLines w:val="0"/>
              <w:pageBreakBefore w:val="0"/>
              <w:widowControl/>
              <w:kinsoku w:val="0"/>
              <w:wordWrap/>
              <w:overflowPunct/>
              <w:topLinePunct w:val="0"/>
              <w:autoSpaceDE w:val="0"/>
              <w:autoSpaceDN w:val="0"/>
              <w:bidi w:val="0"/>
              <w:adjustRightInd/>
              <w:snapToGrid/>
              <w:spacing w:line="360" w:lineRule="auto"/>
              <w:ind w:left="0" w:right="0" w:hanging="120"/>
              <w:jc w:val="center"/>
              <w:textAlignment w:val="baseline"/>
              <w:rPr>
                <w:rFonts w:hint="eastAsia" w:ascii="宋体" w:hAnsi="宋体" w:eastAsia="宋体" w:cs="宋体"/>
                <w:spacing w:val="-1"/>
                <w:sz w:val="24"/>
                <w:szCs w:val="24"/>
              </w:rPr>
            </w:pPr>
            <w:r>
              <w:rPr>
                <w:rFonts w:hint="eastAsia" w:ascii="宋体" w:hAnsi="宋体" w:eastAsia="宋体" w:cs="宋体"/>
                <w:spacing w:val="-1"/>
                <w:sz w:val="24"/>
                <w:szCs w:val="24"/>
              </w:rPr>
              <w:t>数据全生命</w:t>
            </w:r>
          </w:p>
          <w:p w14:paraId="459339E6">
            <w:pPr>
              <w:keepNext w:val="0"/>
              <w:keepLines w:val="0"/>
              <w:pageBreakBefore w:val="0"/>
              <w:widowControl/>
              <w:kinsoku w:val="0"/>
              <w:wordWrap/>
              <w:overflowPunct/>
              <w:topLinePunct w:val="0"/>
              <w:autoSpaceDE w:val="0"/>
              <w:autoSpaceDN w:val="0"/>
              <w:bidi w:val="0"/>
              <w:adjustRightInd/>
              <w:snapToGrid/>
              <w:spacing w:line="360" w:lineRule="auto"/>
              <w:ind w:left="0" w:right="0" w:hanging="120"/>
              <w:jc w:val="center"/>
              <w:textAlignment w:val="baseline"/>
              <w:rPr>
                <w:rFonts w:hint="eastAsia" w:ascii="宋体" w:hAnsi="宋体" w:eastAsia="宋体" w:cs="宋体"/>
                <w:sz w:val="24"/>
                <w:szCs w:val="24"/>
              </w:rPr>
            </w:pPr>
            <w:r>
              <w:rPr>
                <w:rFonts w:hint="eastAsia" w:ascii="宋体" w:hAnsi="宋体" w:eastAsia="宋体" w:cs="宋体"/>
                <w:spacing w:val="-1"/>
                <w:sz w:val="24"/>
                <w:szCs w:val="24"/>
              </w:rPr>
              <w:t>周期管理</w:t>
            </w:r>
          </w:p>
        </w:tc>
        <w:tc>
          <w:tcPr>
            <w:tcW w:w="756" w:type="dxa"/>
            <w:vAlign w:val="center"/>
          </w:tcPr>
          <w:p w14:paraId="50C16A70">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vAlign w:val="center"/>
          </w:tcPr>
          <w:p w14:paraId="5788FF77">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vAlign w:val="center"/>
          </w:tcPr>
          <w:p w14:paraId="593871FA">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26EBC7B9">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3"/>
                <w:sz w:val="24"/>
                <w:szCs w:val="24"/>
                <w:lang w:eastAsia="zh-CN"/>
              </w:rPr>
              <w:t>对云上数据进行全生命周期管理，实现</w:t>
            </w:r>
            <w:r>
              <w:rPr>
                <w:rFonts w:hint="eastAsia" w:ascii="宋体" w:hAnsi="宋体" w:eastAsia="宋体" w:cs="宋体"/>
                <w:spacing w:val="-1"/>
                <w:sz w:val="24"/>
                <w:szCs w:val="24"/>
                <w:lang w:eastAsia="zh-CN"/>
              </w:rPr>
              <w:t>质效和成本的一致</w:t>
            </w:r>
          </w:p>
        </w:tc>
      </w:tr>
      <w:tr w14:paraId="0D2F27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528" w:type="dxa"/>
            <w:vAlign w:val="center"/>
          </w:tcPr>
          <w:p w14:paraId="74539D53">
            <w:pPr>
              <w:keepNext w:val="0"/>
              <w:keepLines w:val="0"/>
              <w:pageBreakBefore w:val="0"/>
              <w:kinsoku w:val="0"/>
              <w:wordWrap/>
              <w:overflowPunct/>
              <w:topLinePunct w:val="0"/>
              <w:autoSpaceDE w:val="0"/>
              <w:autoSpaceDN w:val="0"/>
              <w:bidi w:val="0"/>
              <w:adjustRightInd w:val="0"/>
              <w:snapToGrid w:val="0"/>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3"/>
                <w:sz w:val="24"/>
                <w:szCs w:val="24"/>
              </w:rPr>
              <w:t>13</w:t>
            </w:r>
          </w:p>
        </w:tc>
        <w:tc>
          <w:tcPr>
            <w:tcW w:w="1467" w:type="dxa"/>
            <w:vAlign w:val="center"/>
          </w:tcPr>
          <w:p w14:paraId="24FC182E">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1"/>
                <w:sz w:val="24"/>
                <w:szCs w:val="24"/>
              </w:rPr>
              <w:t>备份配套服</w:t>
            </w:r>
          </w:p>
          <w:p w14:paraId="4440FD0F">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outlineLvl w:val="1"/>
              <w:rPr>
                <w:rFonts w:hint="eastAsia" w:ascii="宋体" w:hAnsi="宋体" w:eastAsia="宋体" w:cs="宋体"/>
                <w:sz w:val="24"/>
                <w:szCs w:val="24"/>
              </w:rPr>
            </w:pPr>
            <w:r>
              <w:rPr>
                <w:rFonts w:hint="eastAsia" w:ascii="宋体" w:hAnsi="宋体" w:eastAsia="宋体" w:cs="宋体"/>
                <w:sz w:val="24"/>
                <w:szCs w:val="24"/>
              </w:rPr>
              <w:t>务</w:t>
            </w:r>
          </w:p>
        </w:tc>
        <w:tc>
          <w:tcPr>
            <w:tcW w:w="756" w:type="dxa"/>
            <w:vAlign w:val="center"/>
          </w:tcPr>
          <w:p w14:paraId="535AB8D5">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项</w:t>
            </w:r>
          </w:p>
        </w:tc>
        <w:tc>
          <w:tcPr>
            <w:tcW w:w="999" w:type="dxa"/>
            <w:vAlign w:val="center"/>
          </w:tcPr>
          <w:p w14:paraId="7719070E">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z w:val="24"/>
                <w:szCs w:val="24"/>
              </w:rPr>
              <w:t>1</w:t>
            </w:r>
          </w:p>
        </w:tc>
        <w:tc>
          <w:tcPr>
            <w:tcW w:w="1206" w:type="dxa"/>
            <w:vAlign w:val="center"/>
          </w:tcPr>
          <w:p w14:paraId="76131942">
            <w:pPr>
              <w:keepNext w:val="0"/>
              <w:keepLines w:val="0"/>
              <w:pageBreakBefore w:val="0"/>
              <w:widowControl/>
              <w:kinsoku w:val="0"/>
              <w:wordWrap/>
              <w:overflowPunct/>
              <w:topLinePunct w:val="0"/>
              <w:autoSpaceDE w:val="0"/>
              <w:autoSpaceDN w:val="0"/>
              <w:bidi w:val="0"/>
              <w:adjustRightInd/>
              <w:snapToGrid/>
              <w:spacing w:line="360" w:lineRule="auto"/>
              <w:ind w:left="0" w:right="0"/>
              <w:jc w:val="center"/>
              <w:textAlignment w:val="baseline"/>
              <w:rPr>
                <w:rFonts w:hint="eastAsia" w:ascii="宋体" w:hAnsi="宋体" w:eastAsia="宋体" w:cs="宋体"/>
                <w:sz w:val="24"/>
                <w:szCs w:val="24"/>
              </w:rPr>
            </w:pPr>
            <w:r>
              <w:rPr>
                <w:rFonts w:hint="eastAsia" w:ascii="宋体" w:hAnsi="宋体" w:eastAsia="宋体" w:cs="宋体"/>
                <w:spacing w:val="-7"/>
                <w:sz w:val="24"/>
                <w:szCs w:val="24"/>
              </w:rPr>
              <w:t>12个月</w:t>
            </w:r>
          </w:p>
        </w:tc>
        <w:tc>
          <w:tcPr>
            <w:tcW w:w="4336" w:type="dxa"/>
          </w:tcPr>
          <w:p w14:paraId="7CA78F6E">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提供云上系统和数据备份配套服务</w:t>
            </w:r>
          </w:p>
        </w:tc>
      </w:tr>
    </w:tbl>
    <w:p w14:paraId="79C3D858">
      <w:pPr>
        <w:rPr>
          <w:lang w:eastAsia="zh-CN"/>
        </w:rPr>
      </w:pPr>
    </w:p>
    <w:p w14:paraId="55C8E988">
      <w:pPr>
        <w:rPr>
          <w:lang w:eastAsia="zh-CN"/>
        </w:rPr>
        <w:sectPr>
          <w:footerReference r:id="rId4" w:type="default"/>
          <w:pgSz w:w="11906" w:h="16839"/>
          <w:pgMar w:top="400" w:right="1304" w:bottom="813" w:left="1304" w:header="0" w:footer="599" w:gutter="0"/>
          <w:pgNumType w:fmt="decimal"/>
          <w:cols w:space="720" w:num="1"/>
        </w:sectPr>
      </w:pPr>
    </w:p>
    <w:p w14:paraId="02CFD93B">
      <w:pPr>
        <w:spacing w:line="247" w:lineRule="auto"/>
        <w:rPr>
          <w:lang w:eastAsia="zh-CN"/>
        </w:rPr>
      </w:pPr>
    </w:p>
    <w:p w14:paraId="71B677AA">
      <w:pPr>
        <w:rPr>
          <w:lang w:eastAsia="zh-CN"/>
        </w:rPr>
      </w:pPr>
    </w:p>
    <w:p w14:paraId="0B960AD0">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sz w:val="24"/>
          <w:szCs w:val="24"/>
          <w:lang w:eastAsia="zh-CN"/>
        </w:rPr>
      </w:pPr>
      <w:r>
        <w:rPr>
          <w:rFonts w:hint="eastAsia" w:ascii="宋体" w:hAnsi="宋体" w:eastAsia="宋体" w:cs="宋体"/>
          <w:b/>
          <w:bCs/>
          <w:spacing w:val="-5"/>
          <w:sz w:val="24"/>
          <w:szCs w:val="24"/>
          <w:lang w:val="en-US" w:eastAsia="zh-CN"/>
        </w:rPr>
        <w:t>2、</w:t>
      </w:r>
      <w:r>
        <w:rPr>
          <w:rFonts w:hint="eastAsia" w:ascii="宋体" w:hAnsi="宋体" w:eastAsia="宋体" w:cs="宋体"/>
          <w:b/>
          <w:bCs/>
          <w:spacing w:val="-5"/>
          <w:sz w:val="24"/>
          <w:szCs w:val="24"/>
          <w:lang w:eastAsia="zh-CN"/>
        </w:rPr>
        <w:t>技术要求</w:t>
      </w:r>
    </w:p>
    <w:p w14:paraId="24814225">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46" w:firstLineChars="200"/>
        <w:textAlignment w:val="baseline"/>
        <w:outlineLvl w:val="2"/>
        <w:rPr>
          <w:rFonts w:hint="eastAsia" w:ascii="宋体" w:hAnsi="宋体" w:eastAsia="宋体" w:cs="宋体"/>
          <w:sz w:val="24"/>
          <w:szCs w:val="24"/>
          <w:lang w:eastAsia="zh-CN"/>
        </w:rPr>
      </w:pPr>
      <w:r>
        <w:rPr>
          <w:rFonts w:hint="eastAsia" w:ascii="宋体" w:hAnsi="宋体" w:eastAsia="宋体" w:cs="宋体"/>
          <w:b/>
          <w:bCs/>
          <w:spacing w:val="-9"/>
          <w:position w:val="4"/>
          <w:sz w:val="24"/>
          <w:szCs w:val="24"/>
          <w:lang w:val="en-US" w:eastAsia="zh-CN"/>
        </w:rPr>
        <w:t>2.1、</w:t>
      </w:r>
      <w:r>
        <w:rPr>
          <w:rFonts w:hint="eastAsia" w:ascii="宋体" w:hAnsi="宋体" w:eastAsia="宋体" w:cs="宋体"/>
          <w:b/>
          <w:bCs/>
          <w:spacing w:val="-9"/>
          <w:position w:val="4"/>
          <w:sz w:val="24"/>
          <w:szCs w:val="24"/>
          <w:lang w:eastAsia="zh-CN"/>
        </w:rPr>
        <w:t>项目背景</w:t>
      </w:r>
    </w:p>
    <w:p w14:paraId="6B31E8A5">
      <w:pPr>
        <w:pStyle w:val="3"/>
        <w:keepNext/>
        <w:keepLines/>
        <w:pageBreakBefore w:val="0"/>
        <w:widowControl/>
        <w:kinsoku/>
        <w:wordWrap w:val="0"/>
        <w:overflowPunct/>
        <w:topLinePunct/>
        <w:autoSpaceDE/>
        <w:autoSpaceDN/>
        <w:bidi w:val="0"/>
        <w:adjustRightInd/>
        <w:snapToGrid/>
        <w:spacing w:line="360" w:lineRule="auto"/>
        <w:ind w:left="0" w:right="0" w:firstLine="476" w:firstLineChars="200"/>
        <w:jc w:val="both"/>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国家制定出台的实施网络强国战略、实施“互联网+”行动计划、实施国家大数据战略、坚决维护信息安全等重大部署，和最高人民法院提出的促进审判体系和审判能力现代化，为开展法院信息化工作营造了新的制度环境，以云计算、大数据、物联网和移动互联网等为代表的新一代信息技术给法院信息化发展带来很大机遇，通过数据汇聚、整合并驱动应用，形成以数据为中心的业务应用，消除系统烟囱、信息孤岛和无效冗余、充分提升大数据和智能化服务能力将成为法院信息化一个大的趋势；利用云计算技术，通过云平台的形式提供通讯、存储、计算、管理、应用等信息服务能力，将成为法院信息化发展方向；运用移动互联技术，实现互联网+诉讼结合，为人民群众提供“零距离”和“无时限”、便捷有价值的信息服务成为法院信息化工作的重要任务之一。</w:t>
      </w:r>
    </w:p>
    <w:p w14:paraId="67C002BB">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（1）传统IT建设模式无法满足业务快速高效部署需要</w:t>
      </w:r>
    </w:p>
    <w:p w14:paraId="52C9F9AE">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传统建设存在诸多弊端，受限于自身机房大小、项目工程工期、项目实施难度、售后维护等因素。传统方式：部署一套系统，需考虑购买：机柜、扩充电力、制冷系统、相关网络及安全设备、操作系统、服务器硬件、存储设备、项目集成等，建设周期长。云服务方式：无需考虑上述环节，像用水、用电模式，可以先使用后付费，完全可满足1周内上线目标。</w:t>
      </w:r>
    </w:p>
    <w:p w14:paraId="03C7301E">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（2）传统建设模式各业务系统相对孤立</w:t>
      </w:r>
    </w:p>
    <w:p w14:paraId="4428DD01">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参照旧模式建设的信息系统，方方面面提供了不间断的服务，但是系统之间相对独立，数据应用效率不高。各系统相对分散的数据，信息整合能力不强，这是遇到的最大问题，运行维护的投入压力非常大。</w:t>
      </w:r>
    </w:p>
    <w:p w14:paraId="42FE986D">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（3）云服务建设方式的优势</w:t>
      </w:r>
    </w:p>
    <w:p w14:paraId="03374A6A">
      <w:pPr>
        <w:pStyle w:val="3"/>
        <w:keepNext/>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云计算可从基础物理设施中解放应用程序，将其交付给Internet或Intranet上的最终用户。计算可处理程序，而无需直接连接计算机、应用程序所有者或基础设施。在21世纪，智能就在基础设施中。在已定义并交付的技术与技能基础构件之间，云计算能担当“结缔组织”。云借助虚拟化的能力和灵活性，改善了资源利用率。有助于通过IT服务自动化，将资源作为服务交付并访问，减少系统和应用程序管理成本，快速交付标准化服务。通过云计算服务平台，可实现动态灵活的基础设施支撑，使法院信息化建设专注业务创新。其优势包括：提供了统一标准的先进平台，保证了产品开发的质量；与国际接轨，提供统一的质量控制的方法论和工具，降低了IT管理的复杂性，并大大降低产品开发和获取信息的成本；共享昂贵的软件工具费用，解决软件版权问题；提高了对业务需求的响应速度，具有可扩展性，当业务需求提高时，可以动态调整系统容量，为法务业务系统的可持续发展提供可能；提供一个鼓励开放协作的平台，有效共享基础设施资源，并共享各法务业务系统的资源。</w:t>
      </w:r>
    </w:p>
    <w:p w14:paraId="211B8917">
      <w:pPr>
        <w:pStyle w:val="3"/>
        <w:keepNext/>
        <w:keepLines w:val="0"/>
        <w:pageBreakBefore w:val="0"/>
        <w:widowControl/>
        <w:kinsoku w:val="0"/>
        <w:wordWrap/>
        <w:overflowPunct/>
        <w:topLinePunct w:val="0"/>
        <w:autoSpaceDE w:val="0"/>
        <w:autoSpaceDN w:val="0"/>
        <w:bidi w:val="0"/>
        <w:adjustRightInd w:val="0"/>
        <w:snapToGrid w:val="0"/>
        <w:spacing w:line="360" w:lineRule="auto"/>
        <w:ind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综上所述，云计算以其高可用性、动态分配、节能的优势，以及其虚拟化和可扩展的特性，可以实现资源快速扩展和有效共享，云计算公共服务平台建设必将带来可观的经济效益和社会效益。</w:t>
      </w:r>
    </w:p>
    <w:p w14:paraId="1CBBC874">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54" w:firstLineChars="200"/>
        <w:textAlignment w:val="baseline"/>
        <w:outlineLvl w:val="2"/>
        <w:rPr>
          <w:rFonts w:hint="eastAsia" w:ascii="宋体" w:hAnsi="宋体" w:eastAsia="宋体" w:cs="宋体"/>
          <w:sz w:val="24"/>
          <w:szCs w:val="24"/>
          <w:lang w:eastAsia="zh-CN"/>
        </w:rPr>
      </w:pPr>
      <w:r>
        <w:rPr>
          <w:rFonts w:hint="eastAsia" w:ascii="宋体" w:hAnsi="宋体" w:eastAsia="宋体" w:cs="宋体"/>
          <w:b/>
          <w:bCs/>
          <w:spacing w:val="-7"/>
          <w:position w:val="4"/>
          <w:sz w:val="24"/>
          <w:szCs w:val="24"/>
          <w:lang w:val="en-US" w:eastAsia="zh-CN"/>
        </w:rPr>
        <w:t>2.2、</w:t>
      </w:r>
      <w:r>
        <w:rPr>
          <w:rFonts w:hint="eastAsia" w:ascii="宋体" w:hAnsi="宋体" w:eastAsia="宋体" w:cs="宋体"/>
          <w:b/>
          <w:bCs/>
          <w:spacing w:val="-7"/>
          <w:position w:val="4"/>
          <w:sz w:val="24"/>
          <w:szCs w:val="24"/>
          <w:lang w:eastAsia="zh-CN"/>
        </w:rPr>
        <w:t>建设总体目标</w:t>
      </w:r>
    </w:p>
    <w:p w14:paraId="4778B1D2">
      <w:pPr>
        <w:pStyle w:val="3"/>
        <w:keepNext/>
        <w:keepLines/>
        <w:pageBreakBefore w:val="0"/>
        <w:widowControl/>
        <w:kinsoku/>
        <w:wordWrap w:val="0"/>
        <w:overflowPunct/>
        <w:topLinePunct/>
        <w:autoSpaceDE/>
        <w:autoSpaceDN/>
        <w:bidi w:val="0"/>
        <w:adjustRightInd w:val="0"/>
        <w:snapToGrid w:val="0"/>
        <w:spacing w:line="360" w:lineRule="auto"/>
        <w:ind w:left="0" w:right="0" w:firstLine="476" w:firstLineChars="20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napToGrid w:val="0"/>
          <w:color w:val="000000"/>
          <w:spacing w:val="-1"/>
          <w:sz w:val="24"/>
          <w:szCs w:val="24"/>
          <w:lang w:val="en-US" w:eastAsia="zh-CN" w:bidi="ar-SA"/>
        </w:rPr>
        <w:t>本期项目采用共建服务方式，搭建标准统一、功能完善、系统稳定、安全可靠、纵横互通的江西省全省法院统一的智慧法院云平台，云平台具备管理使用权。具体要求如下：</w:t>
      </w:r>
    </w:p>
    <w:p w14:paraId="405547EB">
      <w:pPr>
        <w:pStyle w:val="3"/>
        <w:keepNext/>
        <w:keepLines/>
        <w:pageBreakBefore w:val="0"/>
        <w:widowControl/>
        <w:numPr>
          <w:ilvl w:val="0"/>
          <w:numId w:val="1"/>
        </w:numPr>
        <w:kinsoku/>
        <w:wordWrap w:val="0"/>
        <w:overflowPunct/>
        <w:topLinePunct/>
        <w:autoSpaceDE/>
        <w:autoSpaceDN/>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17"/>
          <w:w w:val="91"/>
          <w:sz w:val="24"/>
          <w:szCs w:val="24"/>
          <w:lang w:eastAsia="zh-CN"/>
        </w:rPr>
        <w:t>采</w:t>
      </w:r>
      <w:r>
        <w:rPr>
          <w:rFonts w:hint="eastAsia" w:ascii="宋体" w:hAnsi="宋体" w:eastAsia="宋体" w:cs="宋体"/>
          <w:snapToGrid w:val="0"/>
          <w:color w:val="000000"/>
          <w:spacing w:val="-1"/>
          <w:sz w:val="24"/>
          <w:szCs w:val="24"/>
          <w:lang w:val="en-US" w:eastAsia="zh-CN" w:bidi="ar-SA"/>
        </w:rPr>
        <w:t>用云计算技术，结合创新建设模式，搭建标准统一、功能完善、系统稳定、安全可靠、纵横互通的全省法院统一的智慧法院云平台。</w:t>
      </w:r>
    </w:p>
    <w:p w14:paraId="476E0249">
      <w:pPr>
        <w:pStyle w:val="3"/>
        <w:keepNext/>
        <w:keepLines/>
        <w:pageBreakBefore w:val="0"/>
        <w:widowControl/>
        <w:numPr>
          <w:ilvl w:val="0"/>
          <w:numId w:val="1"/>
        </w:numPr>
        <w:kinsoku/>
        <w:wordWrap w:val="0"/>
        <w:overflowPunct/>
        <w:topLinePunct/>
        <w:autoSpaceDE/>
        <w:autoSpaceDN/>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eastAsia="zh-CN"/>
        </w:rPr>
        <w:t>通</w:t>
      </w:r>
      <w:r>
        <w:rPr>
          <w:rFonts w:hint="eastAsia" w:ascii="宋体" w:hAnsi="宋体" w:eastAsia="宋体" w:cs="宋体"/>
          <w:snapToGrid w:val="0"/>
          <w:color w:val="000000"/>
          <w:spacing w:val="-1"/>
          <w:sz w:val="24"/>
          <w:szCs w:val="24"/>
          <w:lang w:val="en-US" w:eastAsia="zh-CN" w:bidi="ar-SA"/>
        </w:rPr>
        <w:t>过建设智慧法院云平台，方便未来将新增应用快速部署到云计算平台上，大大缩短新IT系统的上线时间，预期将节省设备30%，节约能耗50%。</w:t>
      </w:r>
    </w:p>
    <w:p w14:paraId="6DA0AEFF">
      <w:pPr>
        <w:pStyle w:val="3"/>
        <w:keepNext/>
        <w:keepLines/>
        <w:pageBreakBefore w:val="0"/>
        <w:widowControl/>
        <w:numPr>
          <w:ilvl w:val="0"/>
          <w:numId w:val="1"/>
        </w:numPr>
        <w:kinsoku/>
        <w:wordWrap w:val="0"/>
        <w:overflowPunct/>
        <w:topLinePunct/>
        <w:autoSpaceDE/>
        <w:autoSpaceDN/>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19"/>
          <w:w w:val="98"/>
          <w:sz w:val="24"/>
          <w:szCs w:val="24"/>
          <w:lang w:eastAsia="zh-CN"/>
        </w:rPr>
        <w:t>解</w:t>
      </w:r>
      <w:r>
        <w:rPr>
          <w:rFonts w:hint="eastAsia" w:ascii="宋体" w:hAnsi="宋体" w:eastAsia="宋体" w:cs="宋体"/>
          <w:snapToGrid w:val="0"/>
          <w:color w:val="000000"/>
          <w:spacing w:val="-1"/>
          <w:sz w:val="24"/>
          <w:szCs w:val="24"/>
          <w:lang w:val="en-US" w:eastAsia="zh-CN" w:bidi="ar-SA"/>
        </w:rPr>
        <w:t>决“信息孤岛”，实现信息共享，提高信息安全水平，提升生态环境监控能力和响应速度，提高环境管理实现科学化、精细化、精准化服务。</w:t>
      </w:r>
    </w:p>
    <w:p w14:paraId="28C44D65">
      <w:pPr>
        <w:pStyle w:val="3"/>
        <w:keepNext/>
        <w:keepLines/>
        <w:pageBreakBefore w:val="0"/>
        <w:widowControl/>
        <w:numPr>
          <w:ilvl w:val="0"/>
          <w:numId w:val="1"/>
        </w:numPr>
        <w:kinsoku/>
        <w:wordWrap w:val="0"/>
        <w:overflowPunct/>
        <w:topLinePunct/>
        <w:autoSpaceDE/>
        <w:autoSpaceDN/>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16"/>
          <w:w w:val="97"/>
          <w:sz w:val="24"/>
          <w:szCs w:val="24"/>
          <w:lang w:eastAsia="zh-CN"/>
        </w:rPr>
        <w:t>通</w:t>
      </w:r>
      <w:r>
        <w:rPr>
          <w:rFonts w:hint="eastAsia" w:ascii="宋体" w:hAnsi="宋体" w:eastAsia="宋体" w:cs="宋体"/>
          <w:sz w:val="24"/>
          <w:szCs w:val="24"/>
          <w:lang w:eastAsia="zh-CN"/>
        </w:rPr>
        <w:t>过降低成本、提升效率、节能减排，满足江西省全省法院信息化建设，贯彻落实科学发展观，转变发展模式的需要。</w:t>
      </w:r>
    </w:p>
    <w:p w14:paraId="7B8951E9">
      <w:pPr>
        <w:pStyle w:val="3"/>
        <w:keepNext/>
        <w:keepLines/>
        <w:pageBreakBefore w:val="0"/>
        <w:widowControl/>
        <w:numPr>
          <w:ilvl w:val="0"/>
          <w:numId w:val="1"/>
        </w:numPr>
        <w:kinsoku/>
        <w:wordWrap w:val="0"/>
        <w:overflowPunct/>
        <w:topLinePunct/>
        <w:autoSpaceDE/>
        <w:autoSpaceDN/>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17"/>
          <w:w w:val="97"/>
          <w:sz w:val="24"/>
          <w:szCs w:val="24"/>
          <w:lang w:eastAsia="zh-CN"/>
        </w:rPr>
        <w:t>满</w:t>
      </w:r>
      <w:r>
        <w:rPr>
          <w:rFonts w:hint="eastAsia" w:ascii="宋体" w:hAnsi="宋体" w:eastAsia="宋体" w:cs="宋体"/>
          <w:snapToGrid w:val="0"/>
          <w:color w:val="000000"/>
          <w:spacing w:val="-1"/>
          <w:sz w:val="24"/>
          <w:szCs w:val="24"/>
          <w:lang w:val="en-US" w:eastAsia="zh-CN" w:bidi="ar-SA"/>
        </w:rPr>
        <w:t>足在智慧法院云平台上搭建智慧法院业务应用系统的需要，包括以三层架构为主的应用系统：大访问量的应用系统、大数据处理量的应用系统和大计算量的应用系统。</w:t>
      </w:r>
    </w:p>
    <w:p w14:paraId="45ADC087">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46" w:firstLineChars="200"/>
        <w:textAlignment w:val="baseline"/>
        <w:outlineLvl w:val="2"/>
        <w:rPr>
          <w:rFonts w:hint="eastAsia" w:ascii="宋体" w:hAnsi="宋体" w:eastAsia="宋体" w:cs="宋体"/>
          <w:sz w:val="24"/>
          <w:szCs w:val="24"/>
          <w:lang w:eastAsia="zh-CN"/>
        </w:rPr>
      </w:pPr>
      <w:r>
        <w:rPr>
          <w:rFonts w:hint="eastAsia" w:ascii="宋体" w:hAnsi="宋体" w:eastAsia="宋体" w:cs="宋体"/>
          <w:b/>
          <w:bCs/>
          <w:spacing w:val="-9"/>
          <w:position w:val="4"/>
          <w:sz w:val="24"/>
          <w:szCs w:val="24"/>
          <w:lang w:val="en-US" w:eastAsia="zh-CN"/>
        </w:rPr>
        <w:t>2.3、</w:t>
      </w:r>
      <w:r>
        <w:rPr>
          <w:rFonts w:hint="eastAsia" w:ascii="宋体" w:hAnsi="宋体" w:eastAsia="宋体" w:cs="宋体"/>
          <w:b/>
          <w:bCs/>
          <w:spacing w:val="-9"/>
          <w:position w:val="4"/>
          <w:sz w:val="24"/>
          <w:szCs w:val="24"/>
          <w:lang w:eastAsia="zh-CN"/>
        </w:rPr>
        <w:t>建设要求</w:t>
      </w:r>
    </w:p>
    <w:p w14:paraId="0D43EC12">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02" w:firstLineChars="200"/>
        <w:jc w:val="both"/>
        <w:textAlignment w:val="baseline"/>
        <w:rPr>
          <w:rFonts w:hint="eastAsia" w:ascii="宋体" w:hAnsi="宋体" w:eastAsia="宋体" w:cs="宋体"/>
          <w:sz w:val="24"/>
          <w:szCs w:val="24"/>
          <w:lang w:eastAsia="zh-CN"/>
        </w:rPr>
      </w:pPr>
      <w:r>
        <w:rPr>
          <w:rFonts w:hint="eastAsia" w:ascii="宋体" w:hAnsi="宋体" w:eastAsia="宋体" w:cs="宋体"/>
          <w:spacing w:val="-18"/>
          <w:w w:val="99"/>
          <w:sz w:val="24"/>
          <w:szCs w:val="24"/>
          <w:lang w:eastAsia="zh-CN"/>
        </w:rPr>
        <w:t>投</w:t>
      </w:r>
      <w:r>
        <w:rPr>
          <w:rFonts w:hint="eastAsia" w:ascii="宋体" w:hAnsi="宋体" w:eastAsia="宋体" w:cs="宋体"/>
          <w:snapToGrid w:val="0"/>
          <w:color w:val="000000"/>
          <w:spacing w:val="-1"/>
          <w:sz w:val="24"/>
          <w:szCs w:val="24"/>
          <w:lang w:val="en-US" w:eastAsia="zh-CN" w:bidi="ar-SA"/>
        </w:rPr>
        <w:t>标人提供云服务必须具有独享计算和网络资源，并可在管理控制台统一管理，灵活使用专属资源、集中部署、资源独享、提供简单方便的独享IaaS资源，同时配套提供一个可高度管控、灵活使用的专属云管理平台，实现对专属云内容、资源灵活、快速管理，实现以下功能：</w:t>
      </w:r>
    </w:p>
    <w:p w14:paraId="50278D44">
      <w:pPr>
        <w:pStyle w:val="3"/>
        <w:keepNext/>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right="0" w:firstLine="400" w:firstLineChars="0"/>
        <w:textAlignment w:val="baseline"/>
        <w:rPr>
          <w:rFonts w:hint="eastAsia" w:ascii="宋体" w:hAnsi="宋体" w:eastAsia="宋体" w:cs="宋体"/>
          <w:snapToGrid w:val="0"/>
          <w:color w:val="000000"/>
          <w:spacing w:val="-1"/>
          <w:sz w:val="24"/>
          <w:szCs w:val="24"/>
          <w:lang w:val="en-US" w:eastAsia="zh-CN" w:bidi="ar-SA"/>
        </w:rPr>
      </w:pPr>
      <w:r>
        <w:rPr>
          <w:rFonts w:hint="eastAsia" w:ascii="宋体" w:hAnsi="宋体" w:eastAsia="宋体" w:cs="宋体"/>
          <w:spacing w:val="-19"/>
          <w:w w:val="98"/>
          <w:sz w:val="24"/>
          <w:szCs w:val="24"/>
          <w:lang w:eastAsia="zh-CN"/>
        </w:rPr>
        <w:t>计</w:t>
      </w:r>
      <w:r>
        <w:rPr>
          <w:rFonts w:hint="eastAsia" w:ascii="宋体" w:hAnsi="宋体" w:eastAsia="宋体" w:cs="宋体"/>
          <w:snapToGrid w:val="0"/>
          <w:color w:val="000000"/>
          <w:spacing w:val="-1"/>
          <w:sz w:val="24"/>
          <w:szCs w:val="24"/>
          <w:lang w:val="en-US" w:eastAsia="zh-CN" w:bidi="ar-SA"/>
        </w:rPr>
        <w:t>算资源物理隔离：用户独享专属云内计算资源，云主机资源确保创建在物理隔离的物理服务器上；</w:t>
      </w:r>
    </w:p>
    <w:p w14:paraId="17D50D19">
      <w:pPr>
        <w:pStyle w:val="3"/>
        <w:keepNext/>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4"/>
          <w:sz w:val="24"/>
          <w:szCs w:val="24"/>
          <w:lang w:eastAsia="zh-CN"/>
        </w:rPr>
        <w:t>网络隔离：用户独占VPC，用户之间网络二、三层隔离；提供自定</w:t>
      </w:r>
      <w:r>
        <w:rPr>
          <w:rFonts w:hint="eastAsia" w:ascii="宋体" w:hAnsi="宋体" w:eastAsia="宋体" w:cs="宋体"/>
          <w:spacing w:val="-5"/>
          <w:sz w:val="24"/>
          <w:szCs w:val="24"/>
          <w:lang w:eastAsia="zh-CN"/>
        </w:rPr>
        <w:t>义网段，方</w:t>
      </w:r>
      <w:r>
        <w:rPr>
          <w:rFonts w:hint="eastAsia" w:ascii="宋体" w:hAnsi="宋体" w:eastAsia="宋体" w:cs="宋体"/>
          <w:spacing w:val="-1"/>
          <w:sz w:val="24"/>
          <w:szCs w:val="24"/>
          <w:lang w:eastAsia="zh-CN"/>
        </w:rPr>
        <w:t>便用户自配置网络；提供南北向和东西向的安全策略，方便用户构建立</w:t>
      </w:r>
      <w:r>
        <w:rPr>
          <w:rFonts w:hint="eastAsia" w:ascii="宋体" w:hAnsi="宋体" w:eastAsia="宋体" w:cs="宋体"/>
          <w:spacing w:val="-2"/>
          <w:sz w:val="24"/>
          <w:szCs w:val="24"/>
          <w:lang w:eastAsia="zh-CN"/>
        </w:rPr>
        <w:t>体防护网络；</w:t>
      </w:r>
    </w:p>
    <w:p w14:paraId="56090E87">
      <w:pPr>
        <w:pStyle w:val="3"/>
        <w:keepNext/>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3"/>
          <w:position w:val="4"/>
          <w:sz w:val="24"/>
          <w:szCs w:val="24"/>
          <w:lang w:eastAsia="zh-CN"/>
        </w:rPr>
        <w:t>存储：支持分布式块存储和对象存储。</w:t>
      </w:r>
    </w:p>
    <w:p w14:paraId="47AEDCB1">
      <w:pPr>
        <w:pStyle w:val="3"/>
        <w:keepNext/>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right="0" w:firstLine="400" w:firstLineChars="0"/>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eastAsia="zh-CN"/>
        </w:rPr>
        <w:t>资源管控：用户可以查看专属云下设备节点的计算资源总量及消耗情况。</w:t>
      </w:r>
    </w:p>
    <w:p w14:paraId="6248178A">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54" w:firstLineChars="200"/>
        <w:textAlignment w:val="baseline"/>
        <w:outlineLvl w:val="2"/>
        <w:rPr>
          <w:rFonts w:hint="eastAsia" w:ascii="宋体" w:hAnsi="宋体" w:eastAsia="宋体" w:cs="宋体"/>
          <w:color w:val="auto"/>
          <w:sz w:val="24"/>
          <w:szCs w:val="24"/>
          <w:lang w:eastAsia="zh-CN"/>
        </w:rPr>
      </w:pPr>
      <w:r>
        <w:rPr>
          <w:rFonts w:hint="eastAsia" w:ascii="宋体" w:hAnsi="宋体" w:eastAsia="宋体" w:cs="宋体"/>
          <w:b/>
          <w:bCs/>
          <w:color w:val="auto"/>
          <w:spacing w:val="-7"/>
          <w:position w:val="4"/>
          <w:sz w:val="24"/>
          <w:szCs w:val="24"/>
          <w:lang w:val="en-US" w:eastAsia="zh-CN"/>
        </w:rPr>
        <w:t>2.4、</w:t>
      </w:r>
      <w:r>
        <w:rPr>
          <w:rFonts w:hint="eastAsia" w:ascii="宋体" w:hAnsi="宋体" w:eastAsia="宋体" w:cs="宋体"/>
          <w:b/>
          <w:bCs/>
          <w:color w:val="auto"/>
          <w:spacing w:val="-7"/>
          <w:position w:val="4"/>
          <w:sz w:val="24"/>
          <w:szCs w:val="24"/>
          <w:lang w:eastAsia="zh-CN"/>
        </w:rPr>
        <w:t>项目建设情况</w:t>
      </w:r>
    </w:p>
    <w:p w14:paraId="5E66BE3E">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6" w:firstLineChars="200"/>
        <w:textAlignment w:val="baseline"/>
        <w:rPr>
          <w:rFonts w:hint="eastAsia" w:ascii="宋体" w:hAnsi="宋体" w:eastAsia="宋体" w:cs="宋体"/>
          <w:color w:val="auto"/>
          <w:sz w:val="24"/>
          <w:szCs w:val="24"/>
          <w:lang w:eastAsia="zh-CN"/>
        </w:rPr>
      </w:pPr>
      <w:r>
        <w:rPr>
          <w:rFonts w:hint="eastAsia" w:ascii="宋体" w:hAnsi="宋体" w:eastAsia="宋体" w:cs="宋体"/>
          <w:color w:val="auto"/>
          <w:spacing w:val="-1"/>
          <w:sz w:val="24"/>
          <w:szCs w:val="24"/>
          <w:lang w:eastAsia="zh-CN"/>
        </w:rPr>
        <w:t>截至目前，“全省法院智慧云平台”云资源部署了6</w:t>
      </w:r>
      <w:r>
        <w:rPr>
          <w:rFonts w:hint="eastAsia" w:ascii="宋体" w:hAnsi="宋体" w:eastAsia="宋体" w:cs="宋体"/>
          <w:color w:val="auto"/>
          <w:spacing w:val="-1"/>
          <w:sz w:val="24"/>
          <w:szCs w:val="24"/>
          <w:lang w:val="en-US" w:eastAsia="zh-CN"/>
        </w:rPr>
        <w:t>00余</w:t>
      </w:r>
      <w:r>
        <w:rPr>
          <w:rFonts w:hint="eastAsia" w:ascii="宋体" w:hAnsi="宋体" w:eastAsia="宋体" w:cs="宋体"/>
          <w:color w:val="auto"/>
          <w:spacing w:val="-1"/>
          <w:sz w:val="24"/>
          <w:szCs w:val="24"/>
          <w:lang w:eastAsia="zh-CN"/>
        </w:rPr>
        <w:t>台云主机，建设包括集约送达平台、司法政务平台、图文能力平台、智能语音大数据平台、即时通讯工具、融媒体</w:t>
      </w:r>
      <w:r>
        <w:rPr>
          <w:rFonts w:hint="eastAsia" w:ascii="宋体" w:hAnsi="宋体" w:eastAsia="宋体" w:cs="宋体"/>
          <w:color w:val="auto"/>
          <w:spacing w:val="-2"/>
          <w:sz w:val="24"/>
          <w:szCs w:val="24"/>
          <w:lang w:eastAsia="zh-CN"/>
        </w:rPr>
        <w:t>、法院审判系统、档案管理</w:t>
      </w:r>
      <w:r>
        <w:rPr>
          <w:rFonts w:hint="eastAsia" w:ascii="宋体" w:hAnsi="宋体" w:eastAsia="宋体" w:cs="宋体"/>
          <w:color w:val="auto"/>
          <w:spacing w:val="-3"/>
          <w:sz w:val="24"/>
          <w:szCs w:val="24"/>
          <w:lang w:eastAsia="zh-CN"/>
        </w:rPr>
        <w:t>系统、赣法民意中心、</w:t>
      </w:r>
      <w:r>
        <w:rPr>
          <w:rFonts w:hint="eastAsia" w:ascii="宋体" w:hAnsi="宋体" w:eastAsia="宋体" w:cs="宋体"/>
          <w:color w:val="auto"/>
          <w:spacing w:val="-2"/>
          <w:sz w:val="24"/>
          <w:szCs w:val="24"/>
          <w:lang w:eastAsia="zh-CN"/>
        </w:rPr>
        <w:t>赣法通系统等1</w:t>
      </w:r>
      <w:r>
        <w:rPr>
          <w:rFonts w:hint="eastAsia" w:ascii="宋体" w:hAnsi="宋体" w:eastAsia="宋体" w:cs="宋体"/>
          <w:color w:val="auto"/>
          <w:spacing w:val="-2"/>
          <w:sz w:val="24"/>
          <w:szCs w:val="24"/>
          <w:lang w:val="en-US" w:eastAsia="zh-CN"/>
        </w:rPr>
        <w:t>7</w:t>
      </w:r>
      <w:r>
        <w:rPr>
          <w:rFonts w:hint="eastAsia" w:ascii="宋体" w:hAnsi="宋体" w:eastAsia="宋体" w:cs="宋体"/>
          <w:color w:val="auto"/>
          <w:spacing w:val="-2"/>
          <w:sz w:val="24"/>
          <w:szCs w:val="24"/>
          <w:lang w:eastAsia="zh-CN"/>
        </w:rPr>
        <w:t>0余个智慧法院系统。本期项目延续</w:t>
      </w:r>
      <w:r>
        <w:rPr>
          <w:rFonts w:hint="eastAsia" w:ascii="宋体" w:hAnsi="宋体" w:eastAsia="宋体" w:cs="宋体"/>
          <w:color w:val="auto"/>
          <w:spacing w:val="-3"/>
          <w:sz w:val="24"/>
          <w:szCs w:val="24"/>
          <w:lang w:eastAsia="zh-CN"/>
        </w:rPr>
        <w:t>前期项目方式，采用共建专属云服务模式建设。</w:t>
      </w:r>
    </w:p>
    <w:p w14:paraId="4536520B">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66" w:firstLineChars="200"/>
        <w:textAlignment w:val="baseline"/>
        <w:outlineLvl w:val="2"/>
        <w:rPr>
          <w:rFonts w:hint="eastAsia" w:ascii="宋体" w:hAnsi="宋体" w:eastAsia="宋体" w:cs="宋体"/>
          <w:sz w:val="24"/>
          <w:szCs w:val="24"/>
          <w:lang w:eastAsia="zh-CN"/>
        </w:rPr>
      </w:pPr>
      <w:r>
        <w:rPr>
          <w:rFonts w:hint="eastAsia" w:ascii="宋体" w:hAnsi="宋体" w:eastAsia="宋体" w:cs="宋体"/>
          <w:b/>
          <w:bCs/>
          <w:spacing w:val="-4"/>
          <w:position w:val="4"/>
          <w:sz w:val="24"/>
          <w:szCs w:val="24"/>
          <w:lang w:val="en-US" w:eastAsia="zh-CN"/>
        </w:rPr>
        <w:t>2.5、</w:t>
      </w:r>
      <w:r>
        <w:rPr>
          <w:rFonts w:hint="eastAsia" w:ascii="宋体" w:hAnsi="宋体" w:eastAsia="宋体" w:cs="宋体"/>
          <w:b/>
          <w:bCs/>
          <w:spacing w:val="-4"/>
          <w:position w:val="4"/>
          <w:sz w:val="24"/>
          <w:szCs w:val="24"/>
          <w:lang w:eastAsia="zh-CN"/>
        </w:rPr>
        <w:t>云服务资源专属包(独享计算/存储型)、云专线服务基本要求</w:t>
      </w:r>
    </w:p>
    <w:p w14:paraId="1578EC6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投标人提供云服务至少包括需要提供专属云资源包（其中VCPU5234核，内存14665G,SAS存储1544TB），二条专属云平台与高法侧机房互通规格为1.5G专线，独享800M互联网带宽接入以及配套云服务，投标人所提供云服务必须具有以下特点：</w:t>
      </w:r>
    </w:p>
    <w:p w14:paraId="15FFDD6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1、投标人所提供的云服务必须满足本项目设备安装所需机柜空间，每机柜提供双路不间断供电，机房空间和供电在满足本期建设规模基础上，具备适应业务发展的扩展能力。</w:t>
      </w:r>
    </w:p>
    <w:p w14:paraId="61E11191">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2、投标人所提供的云服务及云机房须设置在项目所在地省内，提供的云机房应具备独立的管理和监控能力。</w:t>
      </w:r>
    </w:p>
    <w:p w14:paraId="23C9764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3、提供高性能的安防、环境监控、灭火系统等基础设施服务，机房抗震烈度达8度或以上。</w:t>
      </w:r>
    </w:p>
    <w:p w14:paraId="5D83374D">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4、机房具备环境智能监控，实现对设备电流量的监控、机房温度监控、机房湿度监控。</w:t>
      </w:r>
    </w:p>
    <w:p w14:paraId="4CB34C6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5、投标人所提供的云服务必须保证服务器设备可持续获得电力供应，每年持续电力供应时间在99%以上，以确保应用系统可持续工作。</w:t>
      </w:r>
    </w:p>
    <w:p w14:paraId="3507DF34">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6、投标人所提供机房服务的基本要求，应不低于GB50174-2008《电子信息系统机房设计规范》A级标准，满足安全可靠、节能环保、扩展灵活等建设原则，应保证提供不间断的云服务，可用性应在99%以上。</w:t>
      </w:r>
    </w:p>
    <w:p w14:paraId="6351ACBA">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7、投标人需提供一套成熟的云管理平台软件交采购人使用，完成搭建工作并提供相应服务。提供的服务无许可限制，如投标人采用的云管理平台提供商确有许可限制，云服务商应包含在提供的云服务内，采购人拒绝为许可单独付费，增量服务也必须如此。</w:t>
      </w:r>
    </w:p>
    <w:p w14:paraId="2F25881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8、投标人必须保障未来提供云服务的硬件设备在功能和性能上相当于或者优于本次投标产品的配置要求，如果投标人提供的设备不满足以上条件，采购人有权责令云服务商进行整改，如投标人拒绝整改，采购人有权取消合同，由此造成的一切责任和后果由云服务商承担。</w:t>
      </w:r>
    </w:p>
    <w:p w14:paraId="1061044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9、投标人所提供云服务必须提供完整、可靠、先进的安全防护设施和容灾备份设施，包括但不仅限于防火墙、WAF、堡垒机、漏洞扫描等设备。</w:t>
      </w:r>
    </w:p>
    <w:p w14:paraId="0073A0B4">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color w:val="auto"/>
          <w:spacing w:val="2"/>
          <w:sz w:val="24"/>
          <w:szCs w:val="24"/>
          <w:lang w:val="en-US" w:eastAsia="zh-CN"/>
        </w:rPr>
        <w:t>10、投标人所提供云服务平台提供的服务应满足《信息安全技术云计算服务安全能力要求》（GBT31168-2023）、《信息安全技术云计算服务安全指南》（GBT31167-2023）、《关于加强党政部门云计算服务网络安全管理的意见》（中网办发文【2015】14号）及国家主管部门发</w:t>
      </w:r>
      <w:r>
        <w:rPr>
          <w:rFonts w:hint="eastAsia" w:ascii="宋体" w:hAnsi="宋体" w:eastAsia="宋体" w:cs="宋体"/>
          <w:spacing w:val="2"/>
          <w:sz w:val="24"/>
          <w:szCs w:val="24"/>
          <w:lang w:val="en-US" w:eastAsia="zh-CN"/>
        </w:rPr>
        <w:t>布的其他标准规范要求。投标人所投云服务提供的服务总体应满足业务需求，确保云平台安全、稳定、可靠运行。</w:t>
      </w:r>
    </w:p>
    <w:p w14:paraId="6DFC959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11、投标人具备信息管理制度及混合云解决方案，提供素质高、专业性强、经验丰富、稳定的运维团队，负责整个云服务平台的硬件和网络运维；投标人须提供7*24不间断技术服务支持时间、专线呼叫中心服务且请求响应时间小于30分钟。</w:t>
      </w:r>
    </w:p>
    <w:p w14:paraId="2627774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12、为确保信息的安全保密，投标人需分别与采购人签署保密协议。</w:t>
      </w:r>
    </w:p>
    <w:p w14:paraId="4199A2C1">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13、为了保证云服务商提供的服务具备可靠性、稳定性，降低云平台对高法业务系统的影响和风险。</w:t>
      </w:r>
    </w:p>
    <w:p w14:paraId="6F41B46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14、投标人应保障本项目建设本地化的云资源节点，提供的云服务IaaS层须提供硬件和软件基础设施服务，具体应包括：云主机，云存储，操作系统，SaaS层支持即开即用的软件服务，使得用户无须采购、安装、维护独立软件。</w:t>
      </w:r>
    </w:p>
    <w:p w14:paraId="7299AED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15、投标人应保障在合同期内每年用户云服务业务可用时间的概率（不低于95%），即每年实际可用时间/(实际可用时间+不可用时间)。</w:t>
      </w:r>
    </w:p>
    <w:p w14:paraId="2967E8C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16、投标人应保障在合同期内数据保存不丢的概率（不低于95%），即每年完好数据/(完好数据+丢失数据)。</w:t>
      </w:r>
    </w:p>
    <w:p w14:paraId="541E47DB">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17、投标人应保障用户能够控制数据的迁移，保证启用或弃用该云服务时，数据能迁入和迁出。</w:t>
      </w:r>
    </w:p>
    <w:p w14:paraId="0B593563">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18、投标人应保障用户应有加密或隔离等手段保证同一物理资源池的用户数据互不可见。</w:t>
      </w:r>
    </w:p>
    <w:p w14:paraId="3FE73B34">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19、投标人应保障用户能了解数据存储位置和使用的知情程度。可以根据用户要求提供数据存储、备份的物理位置，以及云服务商是否直接或间接使用了用户数据。</w:t>
      </w:r>
    </w:p>
    <w:p w14:paraId="6CF4DF9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20、投标人应保障用户在必要的条件下由于合规或是安全取证调查等原因可以提供相关的信息：如关键组件的运行日志。将遵守国家相应的法律法规，配合政府监管部门的监管审查，应提供云计算平台关键组件的运行日志实例。</w:t>
      </w:r>
    </w:p>
    <w:p w14:paraId="25AECD0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21、投标人应保障所提供云服务具备计费能力。</w:t>
      </w:r>
    </w:p>
    <w:p w14:paraId="5D9E373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22、投标人应保障用户业务某项指标没有达到服务协议中承诺的要求时，提供具体赔偿方式，承诺对不可用时间、数据丢失等进行赔偿。</w:t>
      </w:r>
    </w:p>
    <w:p w14:paraId="214F21B3">
      <w:pPr>
        <w:pStyle w:val="3"/>
        <w:keepNext/>
        <w:keepLines w:val="0"/>
        <w:pageBreakBefore w:val="0"/>
        <w:widowControl/>
        <w:kinsoku/>
        <w:wordWrap w:val="0"/>
        <w:overflowPunct/>
        <w:topLinePunct/>
        <w:autoSpaceDE/>
        <w:autoSpaceDN/>
        <w:bidi w:val="0"/>
        <w:adjustRightInd w:val="0"/>
        <w:snapToGrid w:val="0"/>
        <w:spacing w:line="360" w:lineRule="auto"/>
        <w:ind w:left="0" w:right="0" w:firstLine="490"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b/>
          <w:bCs/>
          <w:spacing w:val="2"/>
          <w:sz w:val="24"/>
          <w:szCs w:val="24"/>
          <w:lang w:val="en-US" w:eastAsia="zh-CN"/>
        </w:rPr>
        <w:t>23、本项目包含系统和数据迁移部署工作</w:t>
      </w:r>
      <w:r>
        <w:rPr>
          <w:rFonts w:hint="eastAsia" w:ascii="宋体" w:hAnsi="宋体" w:eastAsia="宋体" w:cs="宋体"/>
          <w:spacing w:val="2"/>
          <w:sz w:val="24"/>
          <w:szCs w:val="24"/>
          <w:lang w:val="en-US" w:eastAsia="zh-CN"/>
        </w:rPr>
        <w:t>。投标人应保障完成现有云平台业务系统和数据迁移至投标人所投云平台服务上。</w:t>
      </w:r>
      <w:r>
        <w:rPr>
          <w:rFonts w:hint="eastAsia" w:ascii="宋体" w:hAnsi="宋体" w:eastAsia="宋体" w:cs="宋体"/>
          <w:color w:val="auto"/>
          <w:spacing w:val="2"/>
          <w:sz w:val="24"/>
          <w:szCs w:val="24"/>
          <w:lang w:val="en-US" w:eastAsia="zh-CN"/>
        </w:rPr>
        <w:t>迁移内容包括600余台主机，涉及智慧法院信息化业务系统，其中包括：集约送达平台、司法政务平台、图文能力平台、智能语音大数据平台、即时通讯工具、融媒体、法院审判系统、档案管理系统、赣法民意中心、赣法通系统等。需对迁移进行前期调研评估、规</w:t>
      </w:r>
      <w:r>
        <w:rPr>
          <w:rFonts w:hint="eastAsia" w:ascii="宋体" w:hAnsi="宋体" w:eastAsia="宋体" w:cs="宋体"/>
          <w:spacing w:val="2"/>
          <w:sz w:val="24"/>
          <w:szCs w:val="24"/>
          <w:lang w:val="en-US" w:eastAsia="zh-CN"/>
        </w:rPr>
        <w:t>划设计迁移方案、准备迁移环境进行迁移实施及最终验证迁移情况并进行优化，要求迁移过程实现协址迁移， 保证迁移前后ip地址及域名不发生变化，整个迁移过程需保证现有法院业务系统的连续性、可用性，避免因迁移导致业务系统中断或异常，导致 法院相关工作无法正常开展。投标人采用交钥匙工程方式完成部署和迁移工作，负责迁移部署过程中的所有组织、协调、管理、实施等工作，本项目所投费用包含迁移过程中的所有人员、物资、实施和配合费等支出，确保各类应用的平滑过渡，持续为应用系统提供稳定可靠的应用环境。</w:t>
      </w:r>
    </w:p>
    <w:p w14:paraId="00DF65E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24、本项目需提供国产化服务能力，投标人应具备提供满足本项目需求的国产化服务能力。</w:t>
      </w:r>
    </w:p>
    <w:p w14:paraId="70BD37BC">
      <w:pPr>
        <w:pStyle w:val="3"/>
        <w:keepNext/>
        <w:keepLines w:val="0"/>
        <w:pageBreakBefore w:val="0"/>
        <w:widowControl/>
        <w:kinsoku/>
        <w:wordWrap w:val="0"/>
        <w:overflowPunct/>
        <w:topLinePunct/>
        <w:autoSpaceDE/>
        <w:autoSpaceDN/>
        <w:bidi w:val="0"/>
        <w:adjustRightInd w:val="0"/>
        <w:snapToGrid w:val="0"/>
        <w:spacing w:line="360" w:lineRule="auto"/>
        <w:ind w:left="0" w:right="0" w:firstLine="460" w:firstLineChars="200"/>
        <w:jc w:val="both"/>
        <w:textAlignment w:val="baseline"/>
        <w:rPr>
          <w:rFonts w:hint="eastAsia" w:ascii="宋体" w:hAnsi="宋体" w:eastAsia="宋体" w:cs="宋体"/>
          <w:spacing w:val="-5"/>
          <w:sz w:val="24"/>
          <w:szCs w:val="24"/>
          <w:lang w:eastAsia="zh-CN"/>
        </w:rPr>
      </w:pPr>
      <w:r>
        <w:rPr>
          <w:rFonts w:hint="eastAsia" w:ascii="宋体" w:hAnsi="宋体" w:eastAsia="宋体" w:cs="宋体"/>
          <w:spacing w:val="-5"/>
          <w:sz w:val="24"/>
          <w:szCs w:val="24"/>
          <w:lang w:eastAsia="zh-CN"/>
        </w:rPr>
        <w:t>25、云服务功能基本要求</w:t>
      </w:r>
    </w:p>
    <w:p w14:paraId="2D4EB1A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1）投标人需提供的云服务平台云主机应具备可靠性及稳定性，降低云平台对高法业务系统的影响，避免由于主机运行异常导致高法业务异常宕机，云服务云计算平台单台云主机业务整体可用性不低于99.95%。</w:t>
      </w:r>
    </w:p>
    <w:p w14:paraId="0F43D2F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2）投标人提供不同规格配比云主机服务，可根据业务需求弹性扩容。</w:t>
      </w:r>
    </w:p>
    <w:p w14:paraId="72BC895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3）投标人提供的云主机支持弹性负载均衡配置，满足业务高并发需求。</w:t>
      </w:r>
    </w:p>
    <w:p w14:paraId="5F3A0C2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4）投标人所投云主机支持常用的Linux、Windows镜像，且满足镜像定制功能。</w:t>
      </w:r>
    </w:p>
    <w:p w14:paraId="516C7761">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5）投标人所投云主机支持挂载多块云硬盘，且最大支持挂载5块以上云硬盘，单块云硬盘支持16TB以上容量。</w:t>
      </w:r>
    </w:p>
    <w:p w14:paraId="0049860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6）投标人所投云服务平台支持对云主机性能指标进行监控。</w:t>
      </w:r>
    </w:p>
    <w:p w14:paraId="034048E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7）投标人所投云服务采用的云计算平台具备对象存储服务能力，并提供支持标准S3协议与对象存储进行对接。</w:t>
      </w:r>
    </w:p>
    <w:p w14:paraId="4097BB6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8）投标人所投云计算平台对象存储需支持弹性扩展功能。</w:t>
      </w:r>
    </w:p>
    <w:p w14:paraId="5AB50E4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9）投标人所投云服务块存储数据存储持久性不低于99.9%。</w:t>
      </w:r>
    </w:p>
    <w:p w14:paraId="1745589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10）投标人所投云服务块存储需满足三种不同类型存储SATA/SAS/SSD。</w:t>
      </w:r>
    </w:p>
    <w:p w14:paraId="64B492D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11）投标人所投云服务块存储支持弹性扩展功能。</w:t>
      </w:r>
    </w:p>
    <w:p w14:paraId="6648C384">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12）投标人所投云服务块存储支持创建、挂载、卸载、删除等操作。</w:t>
      </w:r>
    </w:p>
    <w:p w14:paraId="4788327B">
      <w:pPr>
        <w:pStyle w:val="3"/>
        <w:keepNext/>
        <w:keepLines w:val="0"/>
        <w:pageBreakBefore w:val="0"/>
        <w:widowControl/>
        <w:kinsoku/>
        <w:wordWrap w:val="0"/>
        <w:overflowPunct/>
        <w:topLinePunct/>
        <w:autoSpaceDE/>
        <w:autoSpaceDN/>
        <w:bidi w:val="0"/>
        <w:adjustRightInd w:val="0"/>
        <w:snapToGrid w:val="0"/>
        <w:spacing w:line="360" w:lineRule="auto"/>
        <w:ind w:left="0" w:right="0" w:firstLine="476" w:firstLineChars="200"/>
        <w:textAlignment w:val="baseline"/>
        <w:rPr>
          <w:rFonts w:hint="eastAsia" w:ascii="宋体" w:hAnsi="宋体" w:eastAsia="宋体" w:cs="宋体"/>
          <w:sz w:val="24"/>
          <w:szCs w:val="24"/>
          <w:lang w:eastAsia="zh-CN"/>
        </w:rPr>
      </w:pPr>
      <w:r>
        <w:rPr>
          <w:rFonts w:hint="eastAsia" w:ascii="宋体" w:hAnsi="宋体" w:eastAsia="宋体" w:cs="宋体"/>
          <w:spacing w:val="-1"/>
          <w:sz w:val="24"/>
          <w:szCs w:val="24"/>
          <w:lang w:eastAsia="zh-CN"/>
        </w:rPr>
        <w:t>26、云服务制度基本要求：</w:t>
      </w:r>
    </w:p>
    <w:p w14:paraId="3A14508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1）投标人所提供云服务具有信息管理制度及混合云解决方案。</w:t>
      </w:r>
    </w:p>
    <w:p w14:paraId="1C25B341">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2）投标人须提供7*24小时云平台运维保障及7*24小时热线支持。</w:t>
      </w:r>
    </w:p>
    <w:p w14:paraId="41619AB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27、云服务安全性</w:t>
      </w:r>
    </w:p>
    <w:p w14:paraId="00F6793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1）投标人所提供云服务具有安全、可靠性。</w:t>
      </w:r>
    </w:p>
    <w:p w14:paraId="7984CA6A">
      <w:pPr>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lang w:val="en-US" w:eastAsia="zh-CN"/>
        </w:rPr>
        <w:t>2）投标人所投云服务平台可提供四层到七层的DDos攻击防护能力，包括CC、SYNflood、UDPflood等所有的DDos攻击方式。</w:t>
      </w:r>
    </w:p>
    <w:p w14:paraId="7A97F8D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28、满足采购人其他有关云平台工作要求</w:t>
      </w:r>
    </w:p>
    <w:p w14:paraId="20FC11CF">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58" w:firstLineChars="200"/>
        <w:textAlignment w:val="baseline"/>
        <w:outlineLvl w:val="2"/>
        <w:rPr>
          <w:rFonts w:hint="eastAsia" w:ascii="宋体" w:hAnsi="宋体" w:eastAsia="宋体" w:cs="宋体"/>
          <w:sz w:val="24"/>
          <w:szCs w:val="24"/>
          <w:lang w:eastAsia="zh-CN"/>
        </w:rPr>
      </w:pPr>
      <w:r>
        <w:rPr>
          <w:rFonts w:hint="eastAsia" w:ascii="宋体" w:hAnsi="宋体" w:eastAsia="宋体" w:cs="宋体"/>
          <w:b/>
          <w:bCs/>
          <w:spacing w:val="-6"/>
          <w:position w:val="4"/>
          <w:sz w:val="24"/>
          <w:szCs w:val="24"/>
          <w:lang w:val="en-US" w:eastAsia="zh-CN"/>
        </w:rPr>
        <w:t>2.6、</w:t>
      </w:r>
      <w:r>
        <w:rPr>
          <w:rFonts w:hint="eastAsia" w:ascii="宋体" w:hAnsi="宋体" w:eastAsia="宋体" w:cs="宋体"/>
          <w:b/>
          <w:bCs/>
          <w:spacing w:val="-6"/>
          <w:position w:val="4"/>
          <w:sz w:val="24"/>
          <w:szCs w:val="24"/>
          <w:lang w:eastAsia="zh-CN"/>
        </w:rPr>
        <w:t>配套服务项目基本要求</w:t>
      </w:r>
    </w:p>
    <w:p w14:paraId="79F9CC0D">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88" w:firstLineChars="20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2.6.1、云服务其他要求：</w:t>
      </w:r>
    </w:p>
    <w:p w14:paraId="431D727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提供资源操作服务，包括云管理平台软件云主机资源开通、调整、监控和删除等。提供相关资源监控平台，实时对使用资源，从应用、虚拟机、资源、时间等维度进行监控和统计。每月提供一次资源探测报告，并对云资源使用提供优化建议。</w:t>
      </w:r>
    </w:p>
    <w:p w14:paraId="07EAA1C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2）软件漏洞，精准本地分析漏洞，包含精准POC探测和版本漏洞探测；支持CVSS等漏洞信息详细描述，支持漏洞修复影响检查；提供命令级漏洞修复建议。</w:t>
      </w:r>
    </w:p>
    <w:p w14:paraId="624EF87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3）基线检查，高效基线模版、自动快速检测使基线管理行之有效；命令级修复建议，优化繁琐修复工作。</w:t>
      </w:r>
    </w:p>
    <w:p w14:paraId="02303BB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4)弱口令检测，自动匹配账号名相关易猜解密码，支持弱口令字典自定义。</w:t>
      </w:r>
    </w:p>
    <w:p w14:paraId="18F122DD">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5)暴力破解，实时暴力破解多层次监控、支持暴力破解拦截功能，支持自动黑名单记录。</w:t>
      </w:r>
    </w:p>
    <w:p w14:paraId="0F8CB4F3">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6)异常登录，实时异常登录监控，发现异常IP、区域、时间等的异常登录，支持恶意库配置，支持自动更新黑名单。可提供堡垒机服务，针对云主机、云数据库、网络设备等的运维权限、运维行为进行管理和审计，可提供多种运维访问协议，包括字符协议（SSHv1、SSHv2、TELNET）、图形化协议（RDP、VNC）文件传输协议（FTP、SFTP）等。同时支持字符协议和文件传输协议的协议审计，审计详细的操作语句和操作语句的执行结果，支持通过应用发布实现数据库、字符协议、文件传输协议命令和录像的双重审计效果。可提供安全漏洞扫描服务，对公网或内网的资产进行扫描，扫描漏洞、恶意软件及Web应用程序扫描，扫描完成后出具专业扫描报告，并可提供漏洞修复建议、漏洞复测服务。</w:t>
      </w:r>
    </w:p>
    <w:p w14:paraId="26821349">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7）提供弹性伸缩服务，面对突发的大流量访问，弹性伸缩服务会自动增加服务器数量，确保服务能够流畅运行，不会因为访问量过大而崩溃。</w:t>
      </w:r>
    </w:p>
    <w:p w14:paraId="3BB60DDD">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8）提供互联网侧云堡垒机服务，包括堡垒机账号管理、认证服务、授权管理、访问控制、审计录像和日志服务等。</w:t>
      </w:r>
    </w:p>
    <w:p w14:paraId="2567574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9）云防火墙配套服务，为云平台服务器提供访问控制、入侵防御、流量分析、日志审计、安全策略管理和资产识别管理等服务。</w:t>
      </w:r>
    </w:p>
    <w:p w14:paraId="48BA8355">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10）提供云资源监管平台，主要功能提供针对云资源的订单管理，以及云资源使用情况的监管展示两大方面。通过对云资源使用情况的实时监管展示，使得用户可以快捷迅速的了解到当前云资源使用状态，可通过云资源订单管理平台对客户持有的云资源进行新增、注销、缩容以及其他变更的操作，达到节约资源、合理把控系统消耗的目的，为客户的云资源管理提高高效有力的服务和支撑。</w:t>
      </w:r>
    </w:p>
    <w:p w14:paraId="2FACBC8F">
      <w:pPr>
        <w:pStyle w:val="3"/>
        <w:keepNext/>
        <w:keepLines w:val="0"/>
        <w:pageBreakBefore w:val="0"/>
        <w:widowControl/>
        <w:kinsoku w:val="0"/>
        <w:wordWrap/>
        <w:overflowPunct/>
        <w:topLinePunct w:val="0"/>
        <w:autoSpaceDE w:val="0"/>
        <w:autoSpaceDN w:val="0"/>
        <w:bidi w:val="0"/>
        <w:adjustRightInd w:val="0"/>
        <w:snapToGrid w:val="0"/>
        <w:spacing w:line="360" w:lineRule="auto"/>
        <w:ind w:left="0" w:right="0" w:firstLine="478" w:firstLineChars="200"/>
        <w:textAlignment w:val="baseline"/>
        <w:rPr>
          <w:rFonts w:hint="eastAsia" w:ascii="宋体" w:hAnsi="宋体" w:eastAsia="宋体" w:cs="宋体"/>
          <w:b/>
          <w:bCs/>
          <w:sz w:val="24"/>
          <w:szCs w:val="24"/>
          <w:lang w:eastAsia="zh-CN"/>
        </w:rPr>
      </w:pPr>
      <w:r>
        <w:rPr>
          <w:rFonts w:hint="eastAsia" w:ascii="宋体" w:hAnsi="宋体" w:eastAsia="宋体" w:cs="宋体"/>
          <w:b/>
          <w:bCs/>
          <w:spacing w:val="-1"/>
          <w:sz w:val="24"/>
          <w:szCs w:val="24"/>
          <w:lang w:val="en-US" w:eastAsia="zh-CN"/>
        </w:rPr>
        <w:t>2.6.</w:t>
      </w:r>
      <w:r>
        <w:rPr>
          <w:rFonts w:hint="eastAsia" w:ascii="宋体" w:hAnsi="宋体" w:eastAsia="宋体" w:cs="宋体"/>
          <w:b/>
          <w:bCs/>
          <w:spacing w:val="-6"/>
          <w:sz w:val="24"/>
          <w:szCs w:val="24"/>
          <w:lang w:eastAsia="zh-CN"/>
        </w:rPr>
        <w:t>2、其他配套服务项目</w:t>
      </w:r>
    </w:p>
    <w:p w14:paraId="0C83B2BA">
      <w:pPr>
        <w:pStyle w:val="3"/>
        <w:keepNext/>
        <w:keepLines w:val="0"/>
        <w:pageBreakBefore w:val="0"/>
        <w:widowControl/>
        <w:kinsoku/>
        <w:wordWrap w:val="0"/>
        <w:overflowPunct/>
        <w:topLinePunct/>
        <w:autoSpaceDE/>
        <w:autoSpaceDN/>
        <w:bidi w:val="0"/>
        <w:adjustRightInd w:val="0"/>
        <w:snapToGrid w:val="0"/>
        <w:spacing w:line="360" w:lineRule="auto"/>
        <w:ind w:left="0" w:right="0" w:firstLine="450" w:firstLineChars="200"/>
        <w:textAlignment w:val="baseline"/>
        <w:rPr>
          <w:rFonts w:hint="eastAsia" w:ascii="宋体" w:hAnsi="宋体" w:eastAsia="宋体" w:cs="宋体"/>
          <w:b/>
          <w:bCs/>
          <w:spacing w:val="-8"/>
          <w:sz w:val="24"/>
          <w:szCs w:val="24"/>
          <w:lang w:eastAsia="zh-CN"/>
        </w:rPr>
      </w:pPr>
      <w:r>
        <w:rPr>
          <w:rFonts w:hint="eastAsia" w:ascii="宋体" w:hAnsi="宋体" w:eastAsia="宋体" w:cs="宋体"/>
          <w:b/>
          <w:bCs/>
          <w:spacing w:val="-8"/>
          <w:sz w:val="24"/>
          <w:szCs w:val="24"/>
          <w:lang w:val="en-US" w:eastAsia="zh-CN"/>
        </w:rPr>
        <w:t>2.6.2.1</w:t>
      </w:r>
      <w:r>
        <w:rPr>
          <w:rFonts w:hint="eastAsia" w:ascii="宋体" w:hAnsi="宋体" w:eastAsia="宋体" w:cs="宋体"/>
          <w:b/>
          <w:bCs/>
          <w:spacing w:val="-8"/>
          <w:sz w:val="24"/>
          <w:szCs w:val="24"/>
          <w:lang w:eastAsia="zh-CN"/>
        </w:rPr>
        <w:t>数据全生命周期管理。</w:t>
      </w:r>
    </w:p>
    <w:p w14:paraId="739E43BE">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包括对原有非信创云平台的核心数据备份归档至信创备份存储容量需求，以及在线数据、数据库等关键数据的备份及快速恢复存储容量需求。</w:t>
      </w:r>
    </w:p>
    <w:p w14:paraId="02A4AF8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90"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b/>
          <w:bCs/>
          <w:spacing w:val="2"/>
          <w:sz w:val="24"/>
          <w:szCs w:val="24"/>
          <w:lang w:val="en-US" w:eastAsia="zh-CN"/>
        </w:rPr>
        <w:t>信创存储扩容要求。</w:t>
      </w:r>
      <w:r>
        <w:rPr>
          <w:rFonts w:hint="eastAsia" w:ascii="宋体" w:hAnsi="宋体" w:eastAsia="宋体" w:cs="宋体"/>
          <w:spacing w:val="2"/>
          <w:sz w:val="24"/>
          <w:szCs w:val="24"/>
          <w:lang w:val="en-US" w:eastAsia="zh-CN"/>
        </w:rPr>
        <w:t>扩容现有信创备份存储设备容量的方式，满足原有非信创云平台的核心数据备份归档至信创备份存储，进行全生命周期管理的需求。具体能力要求包括但不限于：</w:t>
      </w:r>
    </w:p>
    <w:p w14:paraId="04D131FF">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支持硬盘缓上电技术，避免大量硬盘同时上电时，引起电流过载，跳闸风险；</w:t>
      </w:r>
    </w:p>
    <w:p w14:paraId="2DB9DE6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配置≥37块20TB 7200转NL-SAS企业级硬盘，RAID6（8+2）及最少2块热备盘后可用容量≥500TB，以及配套硬盘扩展柜；</w:t>
      </w:r>
    </w:p>
    <w:p w14:paraId="4FC3089B">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采购的设备用于给现有信创存储进行扩容，要求扩容之后，所扩容的硬盘能够被现有存储控制器进行统一管理。为保证现有业务连续性及安全性，要求做到扩容实施过程中，现有业务稳定且不中断；</w:t>
      </w:r>
    </w:p>
    <w:p w14:paraId="45F404D3">
      <w:pPr>
        <w:pStyle w:val="3"/>
        <w:keepNext/>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20" w:leftChars="0" w:right="0" w:rightChars="0"/>
        <w:textAlignment w:val="baseline"/>
        <w:rPr>
          <w:rFonts w:hint="eastAsia" w:ascii="宋体" w:hAnsi="宋体" w:eastAsia="宋体" w:cs="宋体"/>
          <w:spacing w:val="-6"/>
          <w:sz w:val="24"/>
          <w:szCs w:val="24"/>
          <w:lang w:eastAsia="zh-CN"/>
        </w:rPr>
      </w:pPr>
      <w:r>
        <w:rPr>
          <w:rFonts w:hint="eastAsia" w:ascii="宋体" w:hAnsi="宋体" w:eastAsia="宋体" w:cs="宋体"/>
          <w:spacing w:val="-6"/>
          <w:sz w:val="24"/>
          <w:szCs w:val="24"/>
          <w:lang w:val="en-US" w:eastAsia="zh-CN"/>
        </w:rPr>
        <w:t>配置开放数据存储平台：具备</w:t>
      </w:r>
      <w:r>
        <w:rPr>
          <w:rFonts w:hint="eastAsia" w:ascii="宋体" w:hAnsi="宋体" w:eastAsia="宋体" w:cs="宋体"/>
          <w:spacing w:val="-6"/>
          <w:sz w:val="24"/>
          <w:szCs w:val="24"/>
          <w:lang w:eastAsia="zh-CN"/>
        </w:rPr>
        <w:t>级联快照功能，在快照基础上再次创建快照，同时支持级联快照的跨级回滚，以保障快照数据安全；</w:t>
      </w:r>
    </w:p>
    <w:p w14:paraId="335BF31E">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配置安全快照功能，支持对快照设置保护周期，在保护周期内快照无法删除，无法篡改快照中的数据；</w:t>
      </w:r>
    </w:p>
    <w:p w14:paraId="42A1914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配置自动精简功能，统筹动态分配存储资源；</w:t>
      </w:r>
    </w:p>
    <w:p w14:paraId="6B81B1F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扩容硬件含原厂工程师部署规划、设计、现场扩容实施等服务；</w:t>
      </w:r>
    </w:p>
    <w:p w14:paraId="73F9B9E7">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扩容设备提供不少于三年原厂质保服务、原厂上门安装服务、介质保留服务。</w:t>
      </w:r>
    </w:p>
    <w:p w14:paraId="324F0B5D">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提供设备用于给现有存储进行扩容，要求扩容之后，所扩容的硬盘能够被现有存储控制器进行统一管理。</w:t>
      </w:r>
    </w:p>
    <w:p w14:paraId="7B630201">
      <w:pPr>
        <w:pStyle w:val="3"/>
        <w:keepNext/>
        <w:keepLines w:val="0"/>
        <w:pageBreakBefore w:val="0"/>
        <w:widowControl/>
        <w:kinsoku/>
        <w:wordWrap w:val="0"/>
        <w:overflowPunct/>
        <w:topLinePunct/>
        <w:autoSpaceDE/>
        <w:autoSpaceDN/>
        <w:bidi w:val="0"/>
        <w:adjustRightInd w:val="0"/>
        <w:snapToGrid w:val="0"/>
        <w:spacing w:line="360" w:lineRule="auto"/>
        <w:ind w:left="0" w:right="0" w:firstLine="450" w:firstLineChars="200"/>
        <w:textAlignment w:val="baseline"/>
        <w:rPr>
          <w:rFonts w:hint="eastAsia" w:ascii="宋体" w:hAnsi="宋体" w:eastAsia="宋体" w:cs="宋体"/>
          <w:b/>
          <w:bCs/>
          <w:spacing w:val="-8"/>
          <w:sz w:val="24"/>
          <w:szCs w:val="24"/>
          <w:lang w:val="en-US" w:eastAsia="zh-CN"/>
        </w:rPr>
      </w:pPr>
      <w:r>
        <w:rPr>
          <w:rFonts w:hint="eastAsia" w:ascii="宋体" w:hAnsi="宋体" w:eastAsia="宋体" w:cs="宋体"/>
          <w:b/>
          <w:bCs/>
          <w:spacing w:val="-8"/>
          <w:sz w:val="24"/>
          <w:szCs w:val="24"/>
          <w:lang w:val="en-US" w:eastAsia="zh-CN"/>
        </w:rPr>
        <w:t>2.6.2.2本地备份存储扩容要求</w:t>
      </w:r>
    </w:p>
    <w:p w14:paraId="742497E8">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对现有备份合成池进行扩容，增加备份存储空间，满足在线数据、数据库等关键数据的备份及快速恢复，具体能力要求包括但不限于：</w:t>
      </w:r>
    </w:p>
    <w:p w14:paraId="1AB6A15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支持硬盘缓上电技术，避免大量硬盘同时上电时，引起电流过载，跳闸风险；</w:t>
      </w:r>
    </w:p>
    <w:p w14:paraId="76087A6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配置≥24块12TB 7200转NL-SAS企业级硬盘，RAID6（8+2）及最少1块热备盘后可用容量≥200TB ，以及配套硬盘扩展柜；</w:t>
      </w:r>
    </w:p>
    <w:p w14:paraId="030628C0">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采购的设备用于给现有备份存储进行扩容，要求扩容之后，所扩容的硬盘能够被现有存储控制器进行统一管理。为保证现有业务连续性及安全性，要求做到扩容实施过程中，现有业务稳定且不中断；</w:t>
      </w:r>
    </w:p>
    <w:p w14:paraId="4798E582">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在线文件备份功能，包含：全量备份、增量备份与合成备份。支持对单文件/目录进行细颗粒度的合成备份和恢复。支持备份数据集通过挂载方式进行快速恢复；</w:t>
      </w:r>
    </w:p>
    <w:p w14:paraId="676D5014">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支持文件、对象存储、Hadoop HDFS的在线备份和彼此之间的交互恢复，支持对象存储和Hadoop HDFS的备份数据恢复到异构的Linux文件系统。</w:t>
      </w:r>
    </w:p>
    <w:p w14:paraId="7460BF17">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扩容硬件含原厂工程师部署规划、设计、现场扩容实施等服务；</w:t>
      </w:r>
    </w:p>
    <w:p w14:paraId="66B41CC6">
      <w:pPr>
        <w:pStyle w:val="3"/>
        <w:keepNext/>
        <w:keepLines w:val="0"/>
        <w:pageBreakBefore w:val="0"/>
        <w:widowControl/>
        <w:kinsoku/>
        <w:wordWrap w:val="0"/>
        <w:overflowPunct/>
        <w:topLinePunct/>
        <w:autoSpaceDE/>
        <w:autoSpaceDN/>
        <w:bidi w:val="0"/>
        <w:adjustRightInd w:val="0"/>
        <w:snapToGrid w:val="0"/>
        <w:spacing w:line="360" w:lineRule="auto"/>
        <w:ind w:left="0" w:right="0" w:firstLine="488" w:firstLineChars="200"/>
        <w:textAlignment w:val="baseline"/>
        <w:rPr>
          <w:rFonts w:hint="eastAsia"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提供设备用于给现有存储进行扩容，要求扩容之后，所扩容的硬盘能够被现有存储控制器进行统一管理。</w:t>
      </w:r>
    </w:p>
    <w:p w14:paraId="096E9F62">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1D8A7CEF">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7D563AAB">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6FE45353">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3E147DC3">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03DBDEBF">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b/>
          <w:bCs/>
          <w:spacing w:val="-5"/>
          <w:sz w:val="24"/>
          <w:szCs w:val="24"/>
          <w:lang w:eastAsia="zh-CN"/>
        </w:rPr>
      </w:pPr>
    </w:p>
    <w:p w14:paraId="005883AF">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62" w:firstLineChars="200"/>
        <w:textAlignment w:val="baseline"/>
        <w:outlineLvl w:val="0"/>
        <w:rPr>
          <w:rFonts w:hint="eastAsia" w:ascii="宋体" w:hAnsi="宋体" w:eastAsia="宋体" w:cs="宋体"/>
          <w:sz w:val="24"/>
          <w:szCs w:val="24"/>
        </w:rPr>
      </w:pPr>
      <w:r>
        <w:rPr>
          <w:rFonts w:hint="eastAsia" w:ascii="宋体" w:hAnsi="宋体" w:eastAsia="宋体" w:cs="宋体"/>
          <w:b/>
          <w:bCs/>
          <w:spacing w:val="-5"/>
          <w:sz w:val="24"/>
          <w:szCs w:val="24"/>
          <w:lang w:eastAsia="zh-CN"/>
        </w:rPr>
        <w:t>（</w:t>
      </w:r>
      <w:r>
        <w:rPr>
          <w:rFonts w:hint="eastAsia" w:ascii="宋体" w:hAnsi="宋体" w:eastAsia="宋体" w:cs="宋体"/>
          <w:b/>
          <w:bCs/>
          <w:spacing w:val="-5"/>
          <w:sz w:val="24"/>
          <w:szCs w:val="24"/>
          <w:lang w:val="en-US" w:eastAsia="zh-CN"/>
        </w:rPr>
        <w:t>二</w:t>
      </w:r>
      <w:r>
        <w:rPr>
          <w:rFonts w:hint="eastAsia" w:ascii="宋体" w:hAnsi="宋体" w:eastAsia="宋体" w:cs="宋体"/>
          <w:b/>
          <w:bCs/>
          <w:spacing w:val="-5"/>
          <w:sz w:val="24"/>
          <w:szCs w:val="24"/>
          <w:lang w:eastAsia="zh-CN"/>
        </w:rPr>
        <w:t>）</w:t>
      </w:r>
      <w:r>
        <w:rPr>
          <w:rFonts w:hint="eastAsia" w:ascii="宋体" w:hAnsi="宋体" w:eastAsia="宋体" w:cs="宋体"/>
          <w:b/>
          <w:bCs/>
          <w:spacing w:val="-5"/>
          <w:sz w:val="24"/>
          <w:szCs w:val="24"/>
        </w:rPr>
        <w:t>、商务要求</w:t>
      </w:r>
    </w:p>
    <w:tbl>
      <w:tblPr>
        <w:tblStyle w:val="7"/>
        <w:tblW w:w="937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9"/>
        <w:gridCol w:w="1240"/>
        <w:gridCol w:w="7458"/>
      </w:tblGrid>
      <w:tr w14:paraId="0E9163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9" w:hRule="atLeast"/>
        </w:trPr>
        <w:tc>
          <w:tcPr>
            <w:tcW w:w="679" w:type="dxa"/>
            <w:shd w:val="clear" w:color="auto" w:fill="EEEEEE"/>
            <w:vAlign w:val="center"/>
          </w:tcPr>
          <w:p w14:paraId="78D26590">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1</w:t>
            </w:r>
          </w:p>
        </w:tc>
        <w:tc>
          <w:tcPr>
            <w:tcW w:w="1240" w:type="dxa"/>
            <w:shd w:val="clear" w:color="auto" w:fill="EEEEEE"/>
            <w:vAlign w:val="center"/>
          </w:tcPr>
          <w:p w14:paraId="2097F538">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服务地点</w:t>
            </w:r>
          </w:p>
        </w:tc>
        <w:tc>
          <w:tcPr>
            <w:tcW w:w="7458" w:type="dxa"/>
            <w:shd w:val="clear" w:color="auto" w:fill="EEEEEE"/>
          </w:tcPr>
          <w:p w14:paraId="2638367D">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采购人指定地点</w:t>
            </w:r>
          </w:p>
        </w:tc>
      </w:tr>
      <w:tr w14:paraId="44172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79" w:type="dxa"/>
            <w:vAlign w:val="center"/>
          </w:tcPr>
          <w:p w14:paraId="15F30D98">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2</w:t>
            </w:r>
          </w:p>
        </w:tc>
        <w:tc>
          <w:tcPr>
            <w:tcW w:w="1240" w:type="dxa"/>
            <w:vAlign w:val="center"/>
          </w:tcPr>
          <w:p w14:paraId="45C0C943">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服务期限</w:t>
            </w:r>
          </w:p>
        </w:tc>
        <w:tc>
          <w:tcPr>
            <w:tcW w:w="7458" w:type="dxa"/>
          </w:tcPr>
          <w:p w14:paraId="3DAAEAB2">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合同签订后12个月。</w:t>
            </w:r>
          </w:p>
        </w:tc>
      </w:tr>
      <w:tr w14:paraId="757990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84" w:hRule="atLeast"/>
        </w:trPr>
        <w:tc>
          <w:tcPr>
            <w:tcW w:w="679" w:type="dxa"/>
            <w:vAlign w:val="center"/>
          </w:tcPr>
          <w:p w14:paraId="4F041F6F">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3</w:t>
            </w:r>
          </w:p>
        </w:tc>
        <w:tc>
          <w:tcPr>
            <w:tcW w:w="1240" w:type="dxa"/>
            <w:vAlign w:val="center"/>
          </w:tcPr>
          <w:p w14:paraId="23291048">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付款方式</w:t>
            </w:r>
          </w:p>
        </w:tc>
        <w:tc>
          <w:tcPr>
            <w:tcW w:w="7458" w:type="dxa"/>
          </w:tcPr>
          <w:p w14:paraId="71BDCB4C">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3.1项目每月出具云资源使用和优化报告，每半年核算验收一次，按实际使用的资源数、服务项目和计算服务时长进行核算，并参照人民法院信息化系统运维工作规范，对中标人服务绩效考核，核算完成后15个工作日内采购人通知相关法院支付对应完成部分的金额给中标人。</w:t>
            </w:r>
          </w:p>
          <w:p w14:paraId="47EB1595">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3.2采购人付款前，中标人须开具合法、等额的发票，否则采购人有权拒绝付款并无需承担违约责任。</w:t>
            </w:r>
          </w:p>
        </w:tc>
      </w:tr>
      <w:tr w14:paraId="53264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4" w:hRule="atLeast"/>
        </w:trPr>
        <w:tc>
          <w:tcPr>
            <w:tcW w:w="679" w:type="dxa"/>
            <w:vAlign w:val="center"/>
          </w:tcPr>
          <w:p w14:paraId="15C9F3E6">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4</w:t>
            </w:r>
          </w:p>
        </w:tc>
        <w:tc>
          <w:tcPr>
            <w:tcW w:w="1240" w:type="dxa"/>
            <w:vAlign w:val="center"/>
          </w:tcPr>
          <w:p w14:paraId="48F004B6">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投标报价</w:t>
            </w:r>
          </w:p>
        </w:tc>
        <w:tc>
          <w:tcPr>
            <w:tcW w:w="7458" w:type="dxa"/>
          </w:tcPr>
          <w:p w14:paraId="0C89DE64">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both"/>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以人民币报价，本项目为交钥匙工程，投标报价是指为完成本次采购范围内全部内容的所有费用,报价应包括人员、资料、安装调试、软件开发、项目验收费用、测试、培训、维护等一切税金和费用。</w:t>
            </w:r>
          </w:p>
        </w:tc>
      </w:tr>
      <w:tr w14:paraId="3F2EAB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15" w:hRule="atLeast"/>
        </w:trPr>
        <w:tc>
          <w:tcPr>
            <w:tcW w:w="679" w:type="dxa"/>
            <w:vAlign w:val="center"/>
          </w:tcPr>
          <w:p w14:paraId="023533B8">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w:t>
            </w:r>
          </w:p>
        </w:tc>
        <w:tc>
          <w:tcPr>
            <w:tcW w:w="1240" w:type="dxa"/>
            <w:vAlign w:val="center"/>
          </w:tcPr>
          <w:p w14:paraId="4CD706FB">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云服务开通、验收</w:t>
            </w:r>
          </w:p>
        </w:tc>
        <w:tc>
          <w:tcPr>
            <w:tcW w:w="7458" w:type="dxa"/>
          </w:tcPr>
          <w:p w14:paraId="3F6DF223">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5.1中标人承诺在合同签订后30个工作日内完成云服务的交付。</w:t>
            </w:r>
          </w:p>
          <w:p w14:paraId="4E3BF38E">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5.2云服务每半年核算验收一次，按实际使用的资源数、服务项目和计算服务时长进行验收。</w:t>
            </w:r>
          </w:p>
          <w:p w14:paraId="202F07A9">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both"/>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5.3中标人按月提供云资源运行维护报告，按月提供开通服务资源总量数据，并按照合同定义的价格进行费用结算并提供账单，按月提供云资源使用优化意见报告及实施计划，报告应体现上月度云资源弹性伸缩服务、缩配服务情况等。存储资源结算方式为主机CPU月度平均使用率达到40%时，按实际开通的CPU核数进行结算；内存平均使用率达到50%时，按实际开通的内存数量进行结算。</w:t>
            </w:r>
          </w:p>
          <w:p w14:paraId="0C704DBA">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jc w:val="both"/>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5.4每季度进行一次云平台应急演练，应对突发紧急情况，提升处理突发情况时云平台各部门响应速度，避免影响扩大和延时，做到正确、有序、高效地进行应急处理突发事件。</w:t>
            </w:r>
          </w:p>
          <w:p w14:paraId="63DCF0FC">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5.5中标人所提供云服务平台提供的服务应满足《信息安全技术云计算服务安全能力要求》(GBT31168-2023)、《信息安全技术云计算服务安全指南》(GBT31167-2023)、《关于加强党政部门云计算服务网络安全管理的意见》(中网办发文〔2015]14号)及国家主管部门发布的其他标准规范要求。每年度配套云平台的等保测评报告一份到采购人备案。</w:t>
            </w:r>
          </w:p>
          <w:p w14:paraId="72DEC111">
            <w:pPr>
              <w:pStyle w:val="8"/>
              <w:keepNext w:val="0"/>
              <w:keepLines/>
              <w:pageBreakBefore w:val="0"/>
              <w:widowControl/>
              <w:kinsoku/>
              <w:wordWrap w:val="0"/>
              <w:overflowPunct/>
              <w:topLinePunct/>
              <w:autoSpaceDE/>
              <w:autoSpaceDN/>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5.6提供云计算服务的供应商应承诺在合同执行期限内，按照《云计算服务安全评估办法》对所提供的云计算服务通过安全评估。</w:t>
            </w:r>
          </w:p>
        </w:tc>
      </w:tr>
      <w:tr w14:paraId="239820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87" w:hRule="atLeast"/>
        </w:trPr>
        <w:tc>
          <w:tcPr>
            <w:tcW w:w="679" w:type="dxa"/>
            <w:vAlign w:val="center"/>
          </w:tcPr>
          <w:p w14:paraId="31EAAAEC">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p>
          <w:p w14:paraId="48CC03E3">
            <w:pPr>
              <w:pStyle w:val="8"/>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6</w:t>
            </w:r>
          </w:p>
        </w:tc>
        <w:tc>
          <w:tcPr>
            <w:tcW w:w="1240" w:type="dxa"/>
            <w:vAlign w:val="center"/>
          </w:tcPr>
          <w:p w14:paraId="24A4E220">
            <w:pPr>
              <w:pStyle w:val="8"/>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质保期和售后服务</w:t>
            </w:r>
          </w:p>
        </w:tc>
        <w:tc>
          <w:tcPr>
            <w:tcW w:w="7458" w:type="dxa"/>
            <w:vAlign w:val="top"/>
          </w:tcPr>
          <w:p w14:paraId="487A2EBB">
            <w:pPr>
              <w:pStyle w:val="8"/>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6.1服务期限自合同签订生效之日开始，至中标人为采购人完成服务为止。项目在服务期内免费提供质量保证。</w:t>
            </w:r>
          </w:p>
          <w:p w14:paraId="3181C10D">
            <w:pPr>
              <w:pStyle w:val="8"/>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6.2在服务期限内，凡在正常使用中出现故障的，投标人应负责免费维修，其维修人员的差旅、食宿等费用和维修所产生的货物包装和往返运费等费用均由投标人承担。</w:t>
            </w:r>
          </w:p>
          <w:p w14:paraId="78DABD93">
            <w:pPr>
              <w:pStyle w:val="8"/>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rightChars="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6.3在服务期内，出现因中标人故障导致云资源使用暂停及信息系统数据丢失的，由中标人负责及时恢复，并按云平台服务质量考核标准要求扣除合同额或等价补偿云资源。</w:t>
            </w:r>
          </w:p>
        </w:tc>
      </w:tr>
      <w:tr w14:paraId="3D4941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5" w:hRule="atLeast"/>
        </w:trPr>
        <w:tc>
          <w:tcPr>
            <w:tcW w:w="679" w:type="dxa"/>
            <w:vAlign w:val="center"/>
          </w:tcPr>
          <w:p w14:paraId="3884E33E">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7</w:t>
            </w:r>
          </w:p>
        </w:tc>
        <w:tc>
          <w:tcPr>
            <w:tcW w:w="1240" w:type="dxa"/>
            <w:vAlign w:val="center"/>
          </w:tcPr>
          <w:p w14:paraId="78693B66">
            <w:pPr>
              <w:pStyle w:val="8"/>
              <w:keepNext w:val="0"/>
              <w:pageBreakBefore w:val="0"/>
              <w:widowControl/>
              <w:overflowPunct/>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项目服务</w:t>
            </w:r>
          </w:p>
          <w:p w14:paraId="31BF01B8">
            <w:pPr>
              <w:pStyle w:val="8"/>
              <w:keepNext w:val="0"/>
              <w:pageBreakBefore w:val="0"/>
              <w:widowControl/>
              <w:overflowPunct/>
              <w:bidi w:val="0"/>
              <w:adjustRightInd w:val="0"/>
              <w:snapToGrid w:val="0"/>
              <w:spacing w:line="360" w:lineRule="auto"/>
              <w:ind w:left="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团队综合</w:t>
            </w:r>
          </w:p>
          <w:p w14:paraId="4D29BBCC">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实力</w:t>
            </w:r>
          </w:p>
        </w:tc>
        <w:tc>
          <w:tcPr>
            <w:tcW w:w="7458" w:type="dxa"/>
            <w:vAlign w:val="top"/>
          </w:tcPr>
          <w:p w14:paraId="6F66C96F">
            <w:pPr>
              <w:pStyle w:val="8"/>
              <w:keepNext w:val="0"/>
              <w:pageBreakBefore w:val="0"/>
              <w:widowControl/>
              <w:overflowPunct/>
              <w:bidi w:val="0"/>
              <w:adjustRightInd w:val="0"/>
              <w:snapToGrid w:val="0"/>
              <w:spacing w:line="360" w:lineRule="auto"/>
              <w:ind w:left="0" w:leftChars="0" w:right="0" w:rightChars="0" w:firstLine="0" w:firstLineChars="0"/>
              <w:jc w:val="both"/>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投标人承诺中标后在本项目组建一支不少于10人（不含项目经理和云安全专员各1人）的服务团队，在本项目服务期内提供相应服务，并针对本项目指派一名项目经理，项目经理每月至少在采购人办公地点办公5天。</w:t>
            </w:r>
          </w:p>
        </w:tc>
      </w:tr>
      <w:tr w14:paraId="1422D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18" w:hRule="atLeast"/>
        </w:trPr>
        <w:tc>
          <w:tcPr>
            <w:tcW w:w="679" w:type="dxa"/>
            <w:vAlign w:val="center"/>
          </w:tcPr>
          <w:p w14:paraId="44461098">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8</w:t>
            </w:r>
          </w:p>
        </w:tc>
        <w:tc>
          <w:tcPr>
            <w:tcW w:w="1240" w:type="dxa"/>
            <w:vAlign w:val="center"/>
          </w:tcPr>
          <w:p w14:paraId="5C1806B3">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培训</w:t>
            </w:r>
          </w:p>
        </w:tc>
        <w:tc>
          <w:tcPr>
            <w:tcW w:w="7458" w:type="dxa"/>
            <w:vAlign w:val="top"/>
          </w:tcPr>
          <w:p w14:paraId="37A32A8A">
            <w:pPr>
              <w:pStyle w:val="8"/>
              <w:keepNext w:val="0"/>
              <w:pageBreakBefore w:val="0"/>
              <w:widowControl/>
              <w:overflowPunct/>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8.1为保证云服务交付后的正常运行使用，中标人应负责对采购人的技术人员进行培训，具体培训地点、人数等由双方协商确定。</w:t>
            </w:r>
          </w:p>
          <w:p w14:paraId="0C4C2C1A">
            <w:pPr>
              <w:pStyle w:val="8"/>
              <w:keepNext w:val="0"/>
              <w:pageBreakBefore w:val="0"/>
              <w:widowControl/>
              <w:overflowPunct/>
              <w:bidi w:val="0"/>
              <w:adjustRightInd w:val="0"/>
              <w:snapToGrid w:val="0"/>
              <w:spacing w:line="360" w:lineRule="auto"/>
              <w:ind w:left="0" w:right="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8.2对于所有培训，中标人必须派出具有相应专业资格和实际工作经验的工程师员进行培训，培训所使用的语言必须是中文，否则必须提供相应的翻译。</w:t>
            </w:r>
          </w:p>
          <w:p w14:paraId="6C3E13C7">
            <w:pPr>
              <w:pStyle w:val="8"/>
              <w:keepNext w:val="0"/>
              <w:pageBreakBefore w:val="0"/>
              <w:widowControl/>
              <w:overflowPunct/>
              <w:bidi w:val="0"/>
              <w:adjustRightInd w:val="0"/>
              <w:snapToGrid w:val="0"/>
              <w:spacing w:line="360" w:lineRule="auto"/>
              <w:ind w:left="0" w:leftChars="0" w:right="0" w:rightChars="0" w:firstLine="0" w:firstLineChars="0"/>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8.3培训费（含培训教材费、交通费用、食宿费用及各项费用等）包含在本项目总报价中。</w:t>
            </w:r>
          </w:p>
        </w:tc>
      </w:tr>
      <w:tr w14:paraId="715345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2" w:hRule="atLeast"/>
        </w:trPr>
        <w:tc>
          <w:tcPr>
            <w:tcW w:w="679" w:type="dxa"/>
            <w:vAlign w:val="center"/>
          </w:tcPr>
          <w:p w14:paraId="5F7CF2EE">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9</w:t>
            </w:r>
          </w:p>
        </w:tc>
        <w:tc>
          <w:tcPr>
            <w:tcW w:w="1240" w:type="dxa"/>
            <w:vAlign w:val="center"/>
          </w:tcPr>
          <w:p w14:paraId="19ACA395">
            <w:pPr>
              <w:pStyle w:val="8"/>
              <w:keepNext w:val="0"/>
              <w:pageBreakBefore w:val="0"/>
              <w:widowControl/>
              <w:overflowPunct/>
              <w:bidi w:val="0"/>
              <w:adjustRightInd w:val="0"/>
              <w:snapToGrid w:val="0"/>
              <w:spacing w:line="360" w:lineRule="auto"/>
              <w:ind w:left="0" w:leftChars="0" w:right="0" w:firstLine="0" w:firstLineChars="0"/>
              <w:jc w:val="center"/>
              <w:textAlignment w:val="baseline"/>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知识产权</w:t>
            </w:r>
          </w:p>
        </w:tc>
        <w:tc>
          <w:tcPr>
            <w:tcW w:w="7458" w:type="dxa"/>
            <w:vAlign w:val="top"/>
          </w:tcPr>
          <w:p w14:paraId="5A71F076">
            <w:pPr>
              <w:pStyle w:val="8"/>
              <w:keepNext w:val="0"/>
              <w:pageBreakBefore w:val="0"/>
              <w:widowControl/>
              <w:overflowPunct/>
              <w:bidi w:val="0"/>
              <w:adjustRightInd w:val="0"/>
              <w:snapToGrid w:val="0"/>
              <w:spacing w:line="360" w:lineRule="auto"/>
              <w:ind w:left="0" w:leftChars="0" w:right="0" w:firstLine="0" w:firstLineChars="0"/>
              <w:textAlignment w:val="baseline"/>
              <w:outlineLvl w:val="9"/>
              <w:rPr>
                <w:rFonts w:hint="eastAsia" w:ascii="宋体" w:hAnsi="宋体" w:eastAsia="宋体" w:cs="宋体"/>
                <w:snapToGrid w:val="0"/>
                <w:color w:val="000000"/>
                <w:spacing w:val="2"/>
                <w:sz w:val="24"/>
                <w:szCs w:val="24"/>
                <w:lang w:val="en-US" w:eastAsia="zh-CN" w:bidi="ar-SA"/>
              </w:rPr>
            </w:pPr>
            <w:r>
              <w:rPr>
                <w:rFonts w:hint="eastAsia" w:ascii="宋体" w:hAnsi="宋体" w:eastAsia="宋体" w:cs="宋体"/>
                <w:snapToGrid w:val="0"/>
                <w:color w:val="000000"/>
                <w:spacing w:val="2"/>
                <w:sz w:val="24"/>
                <w:szCs w:val="24"/>
                <w:lang w:val="en-US" w:eastAsia="zh-CN" w:bidi="ar-SA"/>
              </w:rPr>
              <w:t>中标人应保证采购人在使用产品或产品的任何部分不受任何关于侵犯所有权和工业产权、著作权（版权）等知识产权的指控。如果任何第三方提出侵权指控，投标人担一切与之有关的费用。</w:t>
            </w:r>
          </w:p>
        </w:tc>
      </w:tr>
    </w:tbl>
    <w:p w14:paraId="0987602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F34D4">
    <w:pPr>
      <w:spacing w:line="209" w:lineRule="auto"/>
      <w:ind w:left="4294"/>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F1F68">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14:paraId="776F1F68">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23058">
    <w:pPr>
      <w:spacing w:line="209" w:lineRule="auto"/>
      <w:ind w:left="4294"/>
      <w:rPr>
        <w:rFonts w:ascii="宋体" w:hAnsi="宋体" w:eastAsia="宋体" w:cs="宋体"/>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F64541">
                          <w:pPr>
                            <w:pStyle w:val="4"/>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7EF64541">
                    <w:pPr>
                      <w:pStyle w:val="4"/>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2BBEBB1"/>
    <w:multiLevelType w:val="singleLevel"/>
    <w:tmpl w:val="12BBEBB1"/>
    <w:lvl w:ilvl="0" w:tentative="0">
      <w:start w:val="1"/>
      <w:numFmt w:val="decimalEnclosedCircleChinese"/>
      <w:suff w:val="nothing"/>
      <w:lvlText w:val="%1　"/>
      <w:lvlJc w:val="left"/>
      <w:pPr>
        <w:ind w:left="0" w:firstLine="400"/>
      </w:pPr>
      <w:rPr>
        <w:rFonts w:hint="eastAsia"/>
      </w:rPr>
    </w:lvl>
  </w:abstractNum>
  <w:abstractNum w:abstractNumId="1">
    <w:nsid w:val="2F4AD8A2"/>
    <w:multiLevelType w:val="singleLevel"/>
    <w:tmpl w:val="2F4AD8A2"/>
    <w:lvl w:ilvl="0" w:tentative="0">
      <w:start w:val="1"/>
      <w:numFmt w:val="decimalEnclosedCircleChinese"/>
      <w:suff w:val="nothing"/>
      <w:lvlText w:val="%1　"/>
      <w:lvlJc w:val="left"/>
      <w:pPr>
        <w:ind w:left="0" w:firstLine="40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F833EE"/>
    <w:rsid w:val="56F833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2026-07-03T06:19:00Z</dcterms:created>
  <dc:creator>落幕wata.</dc:creator>
  <cp:lastModifiedBy>落幕wata.</cp:lastModifiedBy>
  <dcterms:modified xsi:type="dcterms:W3CDTF">2026-07-03T06:19:36Z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693B32A10AA34047B8AAD23E79E9A6ED_11</vt:lpwstr>
  </property>
  <property fmtid="{D5CDD505-2E9C-101B-9397-08002B2CF9AE}" pid="4" name="KSOTemplateDocerSaveRecord">
    <vt:lpwstr>eyJoZGlkIjoiNDU5M2FjZGI5NTAwN2ZjZWY1NTZjNjkyYzYxNzZiNDEiLCJ1c2VySWQiOiI2NTQzMTYyODQifQ==</vt:lpwstr>
  </property>
</Properties>
</file>