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5CABA8">
      <w:pPr>
        <w:pageBreakBefore w:val="0"/>
        <w:widowControl w:val="0"/>
        <w:kinsoku/>
        <w:wordWrap/>
        <w:overflowPunct/>
        <w:topLinePunct w:val="0"/>
        <w:bidi w:val="0"/>
        <w:spacing w:line="360" w:lineRule="auto"/>
        <w:jc w:val="both"/>
        <w:outlineLvl w:val="1"/>
        <w:rPr>
          <w:rFonts w:hint="eastAsia" w:ascii="宋体" w:hAnsi="宋体" w:eastAsia="宋体" w:cs="宋体"/>
          <w:color w:val="auto"/>
          <w:spacing w:val="-4"/>
          <w:sz w:val="24"/>
          <w:szCs w:val="24"/>
          <w:highlight w:val="none"/>
          <w:lang w:val="en-US" w:eastAsia="zh-CN"/>
          <w14:textOutline w14:w="4356" w14:cap="sq" w14:cmpd="sng" w14:algn="ctr">
            <w14:solidFill>
              <w14:srgbClr w14:val="000000"/>
            </w14:solidFill>
            <w14:prstDash w14:val="solid"/>
            <w14:bevel/>
          </w14:textOutline>
        </w:rPr>
      </w:pPr>
      <w:bookmarkStart w:id="0" w:name="_Toc12048"/>
      <w:r>
        <w:rPr>
          <w:rFonts w:hint="eastAsia" w:ascii="宋体" w:hAnsi="宋体" w:eastAsia="宋体" w:cs="宋体"/>
          <w:color w:val="auto"/>
          <w:spacing w:val="-4"/>
          <w:sz w:val="24"/>
          <w:szCs w:val="24"/>
          <w:highlight w:val="none"/>
          <w:lang w:val="en-US" w:eastAsia="zh-CN"/>
          <w14:textOutline w14:w="4356" w14:cap="sq" w14:cmpd="sng" w14:algn="ctr">
            <w14:solidFill>
              <w14:srgbClr w14:val="000000"/>
            </w14:solidFill>
            <w14:prstDash w14:val="solid"/>
            <w14:bevel/>
          </w14:textOutline>
        </w:rPr>
        <w:t>（一） 技术需求</w:t>
      </w:r>
      <w:bookmarkEnd w:id="0"/>
    </w:p>
    <w:p w14:paraId="690ADC73">
      <w:pPr>
        <w:spacing w:line="360" w:lineRule="auto"/>
        <w:rPr>
          <w:rFonts w:hint="eastAsia" w:asciiTheme="minorEastAsia" w:hAnsiTheme="minorEastAsia" w:eastAsiaTheme="minorEastAsia" w:cstheme="minorEastAsia"/>
          <w:b/>
          <w:color w:val="auto"/>
          <w:sz w:val="24"/>
          <w:szCs w:val="24"/>
          <w:highlight w:val="none"/>
          <w:lang w:eastAsia="zh-CN" w:bidi="he-IL"/>
        </w:rPr>
      </w:pPr>
      <w:r>
        <w:rPr>
          <w:rFonts w:hint="eastAsia" w:asciiTheme="minorEastAsia" w:hAnsiTheme="minorEastAsia" w:eastAsiaTheme="minorEastAsia" w:cstheme="minorEastAsia"/>
          <w:b/>
          <w:color w:val="auto"/>
          <w:sz w:val="24"/>
          <w:szCs w:val="24"/>
          <w:highlight w:val="none"/>
          <w:lang w:eastAsia="zh-CN" w:bidi="he-IL"/>
        </w:rPr>
        <w:t>一、低本底</w:t>
      </w:r>
      <w:r>
        <w:rPr>
          <w:rFonts w:hint="eastAsia" w:asciiTheme="minorEastAsia" w:hAnsiTheme="minorEastAsia" w:eastAsiaTheme="minorEastAsia" w:cstheme="minorEastAsia"/>
          <w:b/>
          <w:color w:val="auto"/>
          <w:sz w:val="24"/>
          <w:szCs w:val="24"/>
          <w:highlight w:val="none"/>
          <w:lang w:bidi="he-IL"/>
        </w:rPr>
        <w:t>αβ</w:t>
      </w:r>
      <w:r>
        <w:rPr>
          <w:rFonts w:hint="eastAsia" w:asciiTheme="minorEastAsia" w:hAnsiTheme="minorEastAsia" w:eastAsiaTheme="minorEastAsia" w:cstheme="minorEastAsia"/>
          <w:b/>
          <w:color w:val="auto"/>
          <w:sz w:val="24"/>
          <w:szCs w:val="24"/>
          <w:highlight w:val="none"/>
          <w:lang w:eastAsia="zh-CN" w:bidi="he-IL"/>
        </w:rPr>
        <w:t>测量仪</w:t>
      </w:r>
    </w:p>
    <w:p w14:paraId="15276DF2">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1、一次可同时测量≥8个样品，并分别给出≥8个样品中的总</w:t>
      </w:r>
      <w:r>
        <w:rPr>
          <w:rFonts w:hint="eastAsia" w:asciiTheme="minorEastAsia" w:hAnsiTheme="minorEastAsia" w:eastAsiaTheme="minorEastAsia" w:cstheme="minorEastAsia"/>
          <w:color w:val="auto"/>
          <w:sz w:val="24"/>
          <w:szCs w:val="24"/>
          <w:highlight w:val="none"/>
          <w:lang w:bidi="he-IL"/>
        </w:rPr>
        <w:t>α</w:t>
      </w:r>
      <w:r>
        <w:rPr>
          <w:rFonts w:hint="eastAsia" w:asciiTheme="minorEastAsia" w:hAnsiTheme="minorEastAsia" w:eastAsiaTheme="minorEastAsia" w:cstheme="minorEastAsia"/>
          <w:color w:val="auto"/>
          <w:sz w:val="24"/>
          <w:szCs w:val="24"/>
          <w:highlight w:val="none"/>
          <w:lang w:eastAsia="zh-CN" w:bidi="he-IL"/>
        </w:rPr>
        <w:t>、总</w:t>
      </w:r>
      <w:bookmarkStart w:id="1" w:name="OLE_LINK10"/>
      <w:bookmarkStart w:id="2" w:name="OLE_LINK9"/>
      <w:r>
        <w:rPr>
          <w:rFonts w:hint="eastAsia" w:asciiTheme="minorEastAsia" w:hAnsiTheme="minorEastAsia" w:eastAsiaTheme="minorEastAsia" w:cstheme="minorEastAsia"/>
          <w:color w:val="auto"/>
          <w:sz w:val="24"/>
          <w:szCs w:val="24"/>
          <w:highlight w:val="none"/>
          <w:lang w:bidi="he-IL"/>
        </w:rPr>
        <w:t>β</w:t>
      </w:r>
      <w:bookmarkEnd w:id="1"/>
      <w:bookmarkEnd w:id="2"/>
      <w:r>
        <w:rPr>
          <w:rFonts w:hint="eastAsia" w:asciiTheme="minorEastAsia" w:hAnsiTheme="minorEastAsia" w:eastAsiaTheme="minorEastAsia" w:cstheme="minorEastAsia"/>
          <w:color w:val="auto"/>
          <w:sz w:val="24"/>
          <w:szCs w:val="24"/>
          <w:highlight w:val="none"/>
          <w:lang w:eastAsia="zh-CN" w:bidi="he-IL"/>
        </w:rPr>
        <w:t>的活度浓度；仪器运行时可先后分别放置≥8个样品，样品完全独立测量、分析；</w:t>
      </w:r>
    </w:p>
    <w:p w14:paraId="7CEBEA7A">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2、全封闭铅室，主探测器及反符合探测器包裹在铅屏蔽室内，传感器组件(包括PMT)无外露；</w:t>
      </w:r>
    </w:p>
    <w:p w14:paraId="560207E4">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3、单位面积平均本底计数率</w:t>
      </w:r>
      <w:r>
        <w:rPr>
          <w:rFonts w:hint="eastAsia" w:asciiTheme="minorEastAsia" w:hAnsiTheme="minorEastAsia" w:eastAsiaTheme="minorEastAsia" w:cstheme="minorEastAsia"/>
          <w:color w:val="auto"/>
          <w:sz w:val="24"/>
          <w:szCs w:val="24"/>
          <w:highlight w:val="none"/>
          <w:lang w:bidi="he-IL"/>
        </w:rPr>
        <w:t>α</w:t>
      </w:r>
      <w:r>
        <w:rPr>
          <w:rFonts w:hint="eastAsia" w:asciiTheme="minorEastAsia" w:hAnsiTheme="minorEastAsia" w:eastAsiaTheme="minorEastAsia" w:cstheme="minorEastAsia"/>
          <w:color w:val="auto"/>
          <w:sz w:val="24"/>
          <w:szCs w:val="24"/>
          <w:highlight w:val="none"/>
          <w:lang w:eastAsia="zh-CN" w:bidi="he-IL"/>
        </w:rPr>
        <w:t>≤0.005/cm</w:t>
      </w:r>
      <w:r>
        <w:rPr>
          <w:rFonts w:hint="eastAsia" w:asciiTheme="minorEastAsia" w:hAnsiTheme="minorEastAsia" w:eastAsiaTheme="minorEastAsia" w:cstheme="minorEastAsia"/>
          <w:color w:val="auto"/>
          <w:sz w:val="24"/>
          <w:szCs w:val="24"/>
          <w:highlight w:val="none"/>
          <w:vertAlign w:val="superscript"/>
          <w:lang w:eastAsia="zh-CN" w:bidi="he-IL"/>
        </w:rPr>
        <w:t>2</w:t>
      </w:r>
      <w:r>
        <w:rPr>
          <w:rFonts w:hint="eastAsia" w:asciiTheme="minorEastAsia" w:hAnsiTheme="minorEastAsia" w:eastAsiaTheme="minorEastAsia" w:cstheme="minorEastAsia"/>
          <w:color w:val="auto"/>
          <w:sz w:val="24"/>
          <w:szCs w:val="24"/>
          <w:highlight w:val="none"/>
          <w:lang w:eastAsia="zh-CN" w:bidi="he-IL"/>
        </w:rPr>
        <w:t>•min</w:t>
      </w:r>
      <w:r>
        <w:rPr>
          <w:rFonts w:hint="eastAsia" w:asciiTheme="minorEastAsia" w:hAnsiTheme="minorEastAsia" w:eastAsiaTheme="minorEastAsia" w:cstheme="minorEastAsia"/>
          <w:color w:val="auto"/>
          <w:sz w:val="24"/>
          <w:szCs w:val="24"/>
          <w:highlight w:val="none"/>
          <w:vertAlign w:val="superscript"/>
          <w:lang w:eastAsia="zh-CN" w:bidi="he-IL"/>
        </w:rPr>
        <w:t>-1</w:t>
      </w:r>
      <w:r>
        <w:rPr>
          <w:rFonts w:hint="eastAsia" w:asciiTheme="minorEastAsia" w:hAnsiTheme="minorEastAsia" w:eastAsiaTheme="minorEastAsia" w:cstheme="minorEastAsia"/>
          <w:color w:val="auto"/>
          <w:sz w:val="24"/>
          <w:szCs w:val="24"/>
          <w:highlight w:val="none"/>
          <w:lang w:eastAsia="zh-CN" w:bidi="he-IL"/>
        </w:rPr>
        <w:t xml:space="preserve">, </w:t>
      </w:r>
      <w:r>
        <w:rPr>
          <w:rFonts w:hint="eastAsia" w:asciiTheme="minorEastAsia" w:hAnsiTheme="minorEastAsia" w:eastAsiaTheme="minorEastAsia" w:cstheme="minorEastAsia"/>
          <w:color w:val="auto"/>
          <w:sz w:val="24"/>
          <w:szCs w:val="24"/>
          <w:highlight w:val="none"/>
          <w:lang w:bidi="he-IL"/>
        </w:rPr>
        <w:t>β</w:t>
      </w:r>
      <w:r>
        <w:rPr>
          <w:rFonts w:hint="eastAsia" w:asciiTheme="minorEastAsia" w:hAnsiTheme="minorEastAsia" w:eastAsiaTheme="minorEastAsia" w:cstheme="minorEastAsia"/>
          <w:color w:val="auto"/>
          <w:sz w:val="24"/>
          <w:szCs w:val="24"/>
          <w:highlight w:val="none"/>
          <w:lang w:eastAsia="zh-CN" w:bidi="he-IL"/>
        </w:rPr>
        <w:t>≤0.15/cm</w:t>
      </w:r>
      <w:r>
        <w:rPr>
          <w:rFonts w:hint="eastAsia" w:asciiTheme="minorEastAsia" w:hAnsiTheme="minorEastAsia" w:eastAsiaTheme="minorEastAsia" w:cstheme="minorEastAsia"/>
          <w:color w:val="auto"/>
          <w:sz w:val="24"/>
          <w:szCs w:val="24"/>
          <w:highlight w:val="none"/>
          <w:vertAlign w:val="superscript"/>
          <w:lang w:eastAsia="zh-CN" w:bidi="he-IL"/>
        </w:rPr>
        <w:t>2</w:t>
      </w:r>
      <w:r>
        <w:rPr>
          <w:rFonts w:hint="eastAsia" w:asciiTheme="minorEastAsia" w:hAnsiTheme="minorEastAsia" w:eastAsiaTheme="minorEastAsia" w:cstheme="minorEastAsia"/>
          <w:color w:val="auto"/>
          <w:sz w:val="24"/>
          <w:szCs w:val="24"/>
          <w:highlight w:val="none"/>
          <w:lang w:eastAsia="zh-CN" w:bidi="he-IL"/>
        </w:rPr>
        <w:t>•min</w:t>
      </w:r>
      <w:r>
        <w:rPr>
          <w:rFonts w:hint="eastAsia" w:asciiTheme="minorEastAsia" w:hAnsiTheme="minorEastAsia" w:eastAsiaTheme="minorEastAsia" w:cstheme="minorEastAsia"/>
          <w:color w:val="auto"/>
          <w:sz w:val="24"/>
          <w:szCs w:val="24"/>
          <w:highlight w:val="none"/>
          <w:vertAlign w:val="superscript"/>
          <w:lang w:eastAsia="zh-CN" w:bidi="he-IL"/>
        </w:rPr>
        <w:t>-1</w:t>
      </w:r>
      <w:r>
        <w:rPr>
          <w:rFonts w:hint="eastAsia" w:asciiTheme="minorEastAsia" w:hAnsiTheme="minorEastAsia" w:eastAsiaTheme="minorEastAsia" w:cstheme="minorEastAsia"/>
          <w:color w:val="auto"/>
          <w:sz w:val="24"/>
          <w:szCs w:val="24"/>
          <w:highlight w:val="none"/>
          <w:lang w:eastAsia="zh-CN" w:bidi="he-IL"/>
        </w:rPr>
        <w:t>；</w:t>
      </w:r>
    </w:p>
    <w:p w14:paraId="0C80E27F">
      <w:pPr>
        <w:spacing w:line="360" w:lineRule="auto"/>
        <w:ind w:firstLine="480" w:firstLineChars="200"/>
        <w:rPr>
          <w:rFonts w:hint="eastAsia" w:asciiTheme="minorEastAsia" w:hAnsiTheme="minorEastAsia" w:eastAsiaTheme="minorEastAsia" w:cstheme="minorEastAsia"/>
          <w:color w:val="auto"/>
          <w:sz w:val="24"/>
          <w:szCs w:val="24"/>
          <w:highlight w:val="none"/>
          <w:lang w:bidi="he-IL"/>
        </w:rPr>
      </w:pPr>
      <w:r>
        <w:rPr>
          <w:rFonts w:hint="eastAsia" w:asciiTheme="minorEastAsia" w:hAnsiTheme="minorEastAsia" w:eastAsiaTheme="minorEastAsia" w:cstheme="minorEastAsia"/>
          <w:color w:val="auto"/>
          <w:sz w:val="24"/>
          <w:szCs w:val="24"/>
          <w:highlight w:val="none"/>
          <w:lang w:bidi="he-IL"/>
        </w:rPr>
        <w:t>4、效率比：α≥80%，β≥50%；</w:t>
      </w:r>
    </w:p>
    <w:p w14:paraId="79AEC8C6">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5、效率稳定性：</w:t>
      </w:r>
      <w:r>
        <w:rPr>
          <w:rFonts w:hint="eastAsia" w:asciiTheme="minorEastAsia" w:hAnsiTheme="minorEastAsia" w:eastAsiaTheme="minorEastAsia" w:cstheme="minorEastAsia"/>
          <w:color w:val="auto"/>
          <w:sz w:val="24"/>
          <w:szCs w:val="24"/>
          <w:highlight w:val="none"/>
          <w:lang w:bidi="he-IL"/>
        </w:rPr>
        <w:t>α</w:t>
      </w:r>
      <w:r>
        <w:rPr>
          <w:rFonts w:hint="eastAsia" w:asciiTheme="minorEastAsia" w:hAnsiTheme="minorEastAsia" w:eastAsiaTheme="minorEastAsia" w:cstheme="minorEastAsia"/>
          <w:color w:val="auto"/>
          <w:sz w:val="24"/>
          <w:szCs w:val="24"/>
          <w:highlight w:val="none"/>
          <w:lang w:eastAsia="zh-CN" w:bidi="he-IL"/>
        </w:rPr>
        <w:t>＜3%，</w:t>
      </w:r>
      <w:r>
        <w:rPr>
          <w:rFonts w:hint="eastAsia" w:asciiTheme="minorEastAsia" w:hAnsiTheme="minorEastAsia" w:eastAsiaTheme="minorEastAsia" w:cstheme="minorEastAsia"/>
          <w:color w:val="auto"/>
          <w:sz w:val="24"/>
          <w:szCs w:val="24"/>
          <w:highlight w:val="none"/>
          <w:lang w:bidi="he-IL"/>
        </w:rPr>
        <w:t>β</w:t>
      </w:r>
      <w:r>
        <w:rPr>
          <w:rFonts w:hint="eastAsia" w:asciiTheme="minorEastAsia" w:hAnsiTheme="minorEastAsia" w:eastAsiaTheme="minorEastAsia" w:cstheme="minorEastAsia"/>
          <w:color w:val="auto"/>
          <w:sz w:val="24"/>
          <w:szCs w:val="24"/>
          <w:highlight w:val="none"/>
          <w:lang w:eastAsia="zh-CN" w:bidi="he-IL"/>
        </w:rPr>
        <w:t>＜8%；</w:t>
      </w:r>
    </w:p>
    <w:p w14:paraId="16D644A0">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6、串道比：</w:t>
      </w:r>
      <w:r>
        <w:rPr>
          <w:rFonts w:hint="eastAsia" w:asciiTheme="minorEastAsia" w:hAnsiTheme="minorEastAsia" w:eastAsiaTheme="minorEastAsia" w:cstheme="minorEastAsia"/>
          <w:color w:val="auto"/>
          <w:sz w:val="24"/>
          <w:szCs w:val="24"/>
          <w:highlight w:val="none"/>
          <w:lang w:bidi="he-IL"/>
        </w:rPr>
        <w:t>α</w:t>
      </w:r>
      <w:r>
        <w:rPr>
          <w:rFonts w:hint="eastAsia" w:asciiTheme="minorEastAsia" w:hAnsiTheme="minorEastAsia" w:eastAsiaTheme="minorEastAsia" w:cstheme="minorEastAsia"/>
          <w:color w:val="auto"/>
          <w:sz w:val="24"/>
          <w:szCs w:val="24"/>
          <w:highlight w:val="none"/>
          <w:lang w:eastAsia="zh-CN" w:bidi="he-IL"/>
        </w:rPr>
        <w:t>射线对</w:t>
      </w:r>
      <w:r>
        <w:rPr>
          <w:rFonts w:hint="eastAsia" w:asciiTheme="minorEastAsia" w:hAnsiTheme="minorEastAsia" w:eastAsiaTheme="minorEastAsia" w:cstheme="minorEastAsia"/>
          <w:color w:val="auto"/>
          <w:sz w:val="24"/>
          <w:szCs w:val="24"/>
          <w:highlight w:val="none"/>
          <w:lang w:bidi="he-IL"/>
        </w:rPr>
        <w:t>β</w:t>
      </w:r>
      <w:r>
        <w:rPr>
          <w:rFonts w:hint="eastAsia" w:asciiTheme="minorEastAsia" w:hAnsiTheme="minorEastAsia" w:eastAsiaTheme="minorEastAsia" w:cstheme="minorEastAsia"/>
          <w:color w:val="auto"/>
          <w:sz w:val="24"/>
          <w:szCs w:val="24"/>
          <w:highlight w:val="none"/>
          <w:lang w:eastAsia="zh-CN" w:bidi="he-IL"/>
        </w:rPr>
        <w:t>道≤3%，</w:t>
      </w:r>
      <w:r>
        <w:rPr>
          <w:rFonts w:hint="eastAsia" w:asciiTheme="minorEastAsia" w:hAnsiTheme="minorEastAsia" w:eastAsiaTheme="minorEastAsia" w:cstheme="minorEastAsia"/>
          <w:color w:val="auto"/>
          <w:sz w:val="24"/>
          <w:szCs w:val="24"/>
          <w:highlight w:val="none"/>
          <w:lang w:bidi="he-IL"/>
        </w:rPr>
        <w:t>β</w:t>
      </w:r>
      <w:r>
        <w:rPr>
          <w:rFonts w:hint="eastAsia" w:asciiTheme="minorEastAsia" w:hAnsiTheme="minorEastAsia" w:eastAsiaTheme="minorEastAsia" w:cstheme="minorEastAsia"/>
          <w:color w:val="auto"/>
          <w:sz w:val="24"/>
          <w:szCs w:val="24"/>
          <w:highlight w:val="none"/>
          <w:lang w:eastAsia="zh-CN" w:bidi="he-IL"/>
        </w:rPr>
        <w:t>射线对</w:t>
      </w:r>
      <w:r>
        <w:rPr>
          <w:rFonts w:hint="eastAsia" w:asciiTheme="minorEastAsia" w:hAnsiTheme="minorEastAsia" w:eastAsiaTheme="minorEastAsia" w:cstheme="minorEastAsia"/>
          <w:color w:val="auto"/>
          <w:sz w:val="24"/>
          <w:szCs w:val="24"/>
          <w:highlight w:val="none"/>
          <w:lang w:bidi="he-IL"/>
        </w:rPr>
        <w:t>α</w:t>
      </w:r>
      <w:r>
        <w:rPr>
          <w:rFonts w:hint="eastAsia" w:asciiTheme="minorEastAsia" w:hAnsiTheme="minorEastAsia" w:eastAsiaTheme="minorEastAsia" w:cstheme="minorEastAsia"/>
          <w:color w:val="auto"/>
          <w:sz w:val="24"/>
          <w:szCs w:val="24"/>
          <w:highlight w:val="none"/>
          <w:lang w:eastAsia="zh-CN" w:bidi="he-IL"/>
        </w:rPr>
        <w:t>道≤0.5%；</w:t>
      </w:r>
    </w:p>
    <w:p w14:paraId="4BBFEC1B">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7、使用环境温度（10-35℃）±5℃，相对湿度≤85%；</w:t>
      </w:r>
    </w:p>
    <w:p w14:paraId="4A44B9ED">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8、电源：交流220V±10%，50Hz，功耗≤40W；绝缘电阻≥2兆欧；</w:t>
      </w:r>
    </w:p>
    <w:p w14:paraId="3A398343">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9、采用低重心可移动轮组；</w:t>
      </w:r>
    </w:p>
    <w:p w14:paraId="2970DA8D">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10、仪器工作过程无需气源，控制器高压、阈值调节采用计算机数控调节，软件操作。高压、阈值参数由控制器主机存贮；</w:t>
      </w:r>
    </w:p>
    <w:p w14:paraId="03E1D13F">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11、采用USB2.0（非串口转接），或TCP/IP网络连接；</w:t>
      </w:r>
    </w:p>
    <w:p w14:paraId="77D59EF7">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12、可生成可预览打印报告，直接打印或是生成包括但不限于Excel、PDF、Word、TXT等形式的数据报告。中文软件控制系统，包含数据获取、分析、报告预览、打印等基本功能；采用多文档应用程序，测量、分析、打印等功能可同时进行。采用多文档应用程序，测量、分析、打印等功能可同时进行；</w:t>
      </w:r>
    </w:p>
    <w:p w14:paraId="3F68AFE0">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13、仪器的操作系统软件具备：水样分析、一般样品分析、生物样品分析、低本底分析、标准源分析、工作源分析等基本菜单功能和工具栏；</w:t>
      </w:r>
    </w:p>
    <w:p w14:paraId="4665BB48">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14、仪器采用双闪烁体传感器，</w:t>
      </w:r>
      <w:r>
        <w:rPr>
          <w:rFonts w:hint="eastAsia" w:asciiTheme="minorEastAsia" w:hAnsiTheme="minorEastAsia" w:eastAsiaTheme="minorEastAsia" w:cstheme="minorEastAsia"/>
          <w:color w:val="auto"/>
          <w:sz w:val="24"/>
          <w:szCs w:val="24"/>
          <w:highlight w:val="none"/>
          <w:lang w:eastAsia="zh-CN"/>
        </w:rPr>
        <w:t>主探测器不怕污染，表面可擦洗；</w:t>
      </w:r>
    </w:p>
    <w:p w14:paraId="29EE90EF">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15、基本水样品分析，包含B类不确定度和钾40扣除功能；</w:t>
      </w:r>
    </w:p>
    <w:p w14:paraId="7D7995B0">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16、仪器检测方法满足GB/T 5750.13-2023中检测要求；</w:t>
      </w:r>
    </w:p>
    <w:p w14:paraId="48AAA832">
      <w:pPr>
        <w:spacing w:line="360" w:lineRule="auto"/>
        <w:ind w:firstLine="480" w:firstLineChars="200"/>
        <w:rPr>
          <w:rFonts w:hint="eastAsia" w:asciiTheme="minorEastAsia" w:hAnsiTheme="minorEastAsia" w:eastAsiaTheme="minorEastAsia" w:cstheme="minorEastAsia"/>
          <w:b/>
          <w:bCs/>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17、因涉及饮用水安全和放射源，</w:t>
      </w:r>
      <w:r>
        <w:rPr>
          <w:rFonts w:hint="eastAsia" w:asciiTheme="minorEastAsia" w:hAnsiTheme="minorEastAsia" w:eastAsiaTheme="minorEastAsia" w:cstheme="minorEastAsia"/>
          <w:b/>
          <w:bCs/>
          <w:color w:val="auto"/>
          <w:sz w:val="24"/>
          <w:szCs w:val="24"/>
          <w:highlight w:val="none"/>
          <w:lang w:eastAsia="zh-CN" w:bidi="he-IL"/>
        </w:rPr>
        <w:t>仪器生产厂家需取得生态环境主管部门放射源豁免备案证明文件并经中华人民共和国生态环境部予以公告的证明”（响应文件提供放射源豁免备案表和中华人民共和国生态环境部网站公示截图）。</w:t>
      </w:r>
    </w:p>
    <w:p w14:paraId="373AE69F">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18、</w:t>
      </w:r>
      <w:r>
        <w:rPr>
          <w:rFonts w:hint="eastAsia" w:asciiTheme="minorEastAsia" w:hAnsiTheme="minorEastAsia" w:eastAsiaTheme="minorEastAsia" w:cstheme="minorEastAsia"/>
          <w:b/>
          <w:bCs/>
          <w:color w:val="auto"/>
          <w:sz w:val="24"/>
          <w:szCs w:val="24"/>
          <w:highlight w:val="none"/>
          <w:lang w:eastAsia="zh-CN" w:bidi="he-IL"/>
        </w:rPr>
        <w:t>此设备验收需确保通过</w:t>
      </w:r>
      <w:r>
        <w:rPr>
          <w:rFonts w:hint="eastAsia" w:asciiTheme="minorEastAsia" w:hAnsiTheme="minorEastAsia" w:eastAsiaTheme="minorEastAsia" w:cstheme="minorEastAsia"/>
          <w:b/>
          <w:bCs/>
          <w:color w:val="auto"/>
          <w:sz w:val="24"/>
          <w:szCs w:val="24"/>
          <w:highlight w:val="none"/>
          <w:lang w:val="en-US" w:eastAsia="zh-CN" w:bidi="he-IL"/>
        </w:rPr>
        <w:t>通过江西省职防院组织的总</w:t>
      </w:r>
      <w:r>
        <w:rPr>
          <w:rFonts w:hint="eastAsia" w:asciiTheme="minorEastAsia" w:hAnsiTheme="minorEastAsia" w:eastAsiaTheme="minorEastAsia" w:cstheme="minorEastAsia"/>
          <w:b/>
          <w:bCs/>
          <w:color w:val="auto"/>
          <w:sz w:val="24"/>
          <w:szCs w:val="24"/>
          <w:highlight w:val="none"/>
          <w:lang w:eastAsia="zh-CN" w:bidi="he-IL"/>
        </w:rPr>
        <w:t>α</w:t>
      </w:r>
      <w:r>
        <w:rPr>
          <w:rFonts w:hint="eastAsia" w:asciiTheme="minorEastAsia" w:hAnsiTheme="minorEastAsia" w:eastAsiaTheme="minorEastAsia" w:cstheme="minorEastAsia"/>
          <w:b/>
          <w:bCs/>
          <w:color w:val="auto"/>
          <w:sz w:val="24"/>
          <w:szCs w:val="24"/>
          <w:highlight w:val="none"/>
          <w:lang w:val="en-US" w:eastAsia="zh-CN" w:bidi="he-IL"/>
        </w:rPr>
        <w:t>总</w:t>
      </w:r>
      <w:r>
        <w:rPr>
          <w:rFonts w:hint="eastAsia" w:asciiTheme="minorEastAsia" w:hAnsiTheme="minorEastAsia" w:eastAsiaTheme="minorEastAsia" w:cstheme="minorEastAsia"/>
          <w:b/>
          <w:bCs/>
          <w:color w:val="auto"/>
          <w:sz w:val="24"/>
          <w:szCs w:val="24"/>
          <w:highlight w:val="none"/>
          <w:lang w:eastAsia="zh-CN" w:bidi="he-IL"/>
        </w:rPr>
        <w:t>β</w:t>
      </w:r>
      <w:r>
        <w:rPr>
          <w:rFonts w:hint="eastAsia" w:asciiTheme="minorEastAsia" w:hAnsiTheme="minorEastAsia" w:eastAsiaTheme="minorEastAsia" w:cstheme="minorEastAsia"/>
          <w:b/>
          <w:bCs/>
          <w:color w:val="auto"/>
          <w:sz w:val="24"/>
          <w:szCs w:val="24"/>
          <w:highlight w:val="none"/>
          <w:lang w:val="en-US" w:eastAsia="zh-CN" w:bidi="he-IL"/>
        </w:rPr>
        <w:t>放射性测量能力比对并获得优秀结果。</w:t>
      </w:r>
    </w:p>
    <w:p w14:paraId="664868B4">
      <w:pPr>
        <w:spacing w:line="360" w:lineRule="auto"/>
        <w:ind w:firstLine="482" w:firstLineChars="200"/>
        <w:rPr>
          <w:rFonts w:hint="eastAsia" w:asciiTheme="minorEastAsia" w:hAnsiTheme="minorEastAsia" w:eastAsiaTheme="minorEastAsia" w:cstheme="minorEastAsia"/>
          <w:b/>
          <w:bCs/>
          <w:color w:val="auto"/>
          <w:sz w:val="24"/>
          <w:szCs w:val="24"/>
          <w:highlight w:val="none"/>
          <w:lang w:eastAsia="zh-CN" w:bidi="he-IL"/>
        </w:rPr>
      </w:pPr>
      <w:r>
        <w:rPr>
          <w:rFonts w:hint="eastAsia" w:asciiTheme="minorEastAsia" w:hAnsiTheme="minorEastAsia" w:eastAsiaTheme="minorEastAsia" w:cstheme="minorEastAsia"/>
          <w:b/>
          <w:bCs/>
          <w:color w:val="auto"/>
          <w:sz w:val="24"/>
          <w:szCs w:val="24"/>
          <w:highlight w:val="none"/>
          <w:lang w:eastAsia="zh-CN" w:bidi="he-IL"/>
        </w:rPr>
        <w:t>配置要求</w:t>
      </w:r>
    </w:p>
    <w:p w14:paraId="58CDC8B0">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（1）机柜1个；</w:t>
      </w:r>
    </w:p>
    <w:p w14:paraId="3C052987">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（2）控制箱1套；</w:t>
      </w:r>
    </w:p>
    <w:p w14:paraId="591CE99B">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（3）主探测器8个；</w:t>
      </w:r>
    </w:p>
    <w:p w14:paraId="11D24AED">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（4）反符合探测器2个；</w:t>
      </w:r>
    </w:p>
    <w:p w14:paraId="4DBB0A06">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（5）测控系统1套；</w:t>
      </w:r>
    </w:p>
    <w:p w14:paraId="098CADAA">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（6）≥8通道铅室1套；</w:t>
      </w:r>
    </w:p>
    <w:p w14:paraId="5E6749EE">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（7）标准粉末源40K 1份；</w:t>
      </w:r>
    </w:p>
    <w:p w14:paraId="13408842">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（8）标准粉末源241Am 1份；</w:t>
      </w:r>
    </w:p>
    <w:p w14:paraId="74D55991">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（9）样品盘100个；</w:t>
      </w:r>
    </w:p>
    <w:p w14:paraId="4553EB4C">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（10）探测器电源线1套；</w:t>
      </w:r>
    </w:p>
    <w:p w14:paraId="61C949F7">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（11）探测器高压线1套；</w:t>
      </w:r>
    </w:p>
    <w:p w14:paraId="188FC0D2">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（12）探测器信号线1套；</w:t>
      </w:r>
    </w:p>
    <w:p w14:paraId="58B0A205">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（13）有效期内的检定证书1份；</w:t>
      </w:r>
    </w:p>
    <w:p w14:paraId="44E3BD9C">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（14）数据采集系统1套；</w:t>
      </w:r>
    </w:p>
    <w:p w14:paraId="4C18FC32">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（15）吸盘天线（2.4G/5G）一只（用WIFI连接时配备）。</w:t>
      </w:r>
    </w:p>
    <w:p w14:paraId="72E7F37B">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（16）配套工作站1套：处理器不低于i7，内存不低于32G，硬盘不低于512G（SSD），USB接口不少于4个，正版操作系统，显示器不少于23英寸，配套键盘鼠标，配套输出终端1台（A4幅面，激光打印,彩色打印）。</w:t>
      </w:r>
    </w:p>
    <w:p w14:paraId="45F08BB2">
      <w:pPr>
        <w:spacing w:line="360" w:lineRule="auto"/>
        <w:rPr>
          <w:rFonts w:hint="eastAsia" w:asciiTheme="minorEastAsia" w:hAnsiTheme="minorEastAsia" w:eastAsiaTheme="minorEastAsia" w:cstheme="minorEastAsia"/>
          <w:b/>
          <w:color w:val="auto"/>
          <w:sz w:val="24"/>
          <w:szCs w:val="24"/>
          <w:highlight w:val="none"/>
          <w:lang w:eastAsia="zh-CN" w:bidi="he-IL"/>
        </w:rPr>
      </w:pPr>
      <w:r>
        <w:rPr>
          <w:rFonts w:hint="eastAsia" w:asciiTheme="minorEastAsia" w:hAnsiTheme="minorEastAsia" w:eastAsiaTheme="minorEastAsia" w:cstheme="minorEastAsia"/>
          <w:b/>
          <w:color w:val="auto"/>
          <w:sz w:val="24"/>
          <w:szCs w:val="24"/>
          <w:highlight w:val="none"/>
          <w:lang w:eastAsia="zh-CN" w:bidi="he-IL"/>
        </w:rPr>
        <w:t>二、水样蒸发浓缩赶酸仪</w:t>
      </w:r>
    </w:p>
    <w:p w14:paraId="0DCF7B5D">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1、各通道可独立控制运行，保证各样品之间互不干扰；</w:t>
      </w:r>
    </w:p>
    <w:p w14:paraId="5A7E7236">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2、远红外辐射加热，PID精准温度调控；</w:t>
      </w:r>
    </w:p>
    <w:p w14:paraId="6813707D">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3、加热完成后自动冷却，辅助加热模块降温，温度参数可校准；</w:t>
      </w:r>
    </w:p>
    <w:p w14:paraId="54BBBA70">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4、浓缩终点：可根据实验要求设置，单位ml，浓缩单元：≥8位，到达设定量后自动停止实验；</w:t>
      </w:r>
    </w:p>
    <w:p w14:paraId="57FDFD2B">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5、加热温度范围：室温到350℃可调。温度控制精度±1℃；</w:t>
      </w:r>
    </w:p>
    <w:p w14:paraId="06BAF3C2">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6、国标方法，样品无需转移，减少转移样品损失；</w:t>
      </w:r>
    </w:p>
    <w:p w14:paraId="7B31276D">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7、高精度传感器定量，智能添加水样，进样量可单独设置（最大不低于5L），到达设定值自动停止加热；</w:t>
      </w:r>
    </w:p>
    <w:p w14:paraId="34444A90">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8、仪器用蠕动泵加水样、蠕动泵固定加酸；</w:t>
      </w:r>
    </w:p>
    <w:p w14:paraId="775B6169">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9、自动清洗，清洗时自动吸入纯水对整体加样管路进行清洗，清洗时间可单独设置；</w:t>
      </w:r>
    </w:p>
    <w:p w14:paraId="382C0752">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10、整机防腐耐酸耐高温保护，能确保长期稳定运行，仪器自带排风或吹扫装置，减少内部零件受酸雾腐蚀。采用24V安全电压；</w:t>
      </w:r>
    </w:p>
    <w:p w14:paraId="21EF90C4">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11、使用蒸发皿作为蒸发容器，规格可为200mL或250mL或300mL；</w:t>
      </w:r>
    </w:p>
    <w:p w14:paraId="6B3B5ADB">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12、供电电源：AC 220V，50Hz、环境温度：10-35℃、环境湿度：＜60%。</w:t>
      </w:r>
    </w:p>
    <w:p w14:paraId="45CC0C63">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配置要求：</w:t>
      </w:r>
    </w:p>
    <w:p w14:paraId="1E1CD7FA">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(1)水样蒸发浓缩赶酸仪主机一台</w:t>
      </w:r>
    </w:p>
    <w:p w14:paraId="38D14B1D">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(2)蒸发皿≥8个</w:t>
      </w:r>
    </w:p>
    <w:p w14:paraId="4DC878BC">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(3)电源线2根</w:t>
      </w:r>
    </w:p>
    <w:p w14:paraId="242F8E57">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(4)配套管路≥8路</w:t>
      </w:r>
    </w:p>
    <w:p w14:paraId="03B5071A">
      <w:pPr>
        <w:spacing w:line="360" w:lineRule="auto"/>
        <w:ind w:firstLine="480" w:firstLineChars="200"/>
        <w:rPr>
          <w:rFonts w:hint="eastAsia" w:asciiTheme="minorEastAsia" w:hAnsiTheme="minorEastAsia" w:eastAsiaTheme="minorEastAsia" w:cstheme="minorEastAsia"/>
          <w:color w:val="auto"/>
          <w:sz w:val="24"/>
          <w:szCs w:val="24"/>
          <w:highlight w:val="none"/>
          <w:lang w:eastAsia="zh-CN" w:bidi="he-IL"/>
        </w:rPr>
      </w:pPr>
      <w:r>
        <w:rPr>
          <w:rFonts w:hint="eastAsia" w:asciiTheme="minorEastAsia" w:hAnsiTheme="minorEastAsia" w:eastAsiaTheme="minorEastAsia" w:cstheme="minorEastAsia"/>
          <w:color w:val="auto"/>
          <w:sz w:val="24"/>
          <w:szCs w:val="24"/>
          <w:highlight w:val="none"/>
          <w:lang w:eastAsia="zh-CN" w:bidi="he-IL"/>
        </w:rPr>
        <w:t>(5)设备放置台2个</w:t>
      </w:r>
    </w:p>
    <w:p w14:paraId="1131DBA4">
      <w:pPr>
        <w:spacing w:line="360" w:lineRule="auto"/>
        <w:ind w:firstLine="480" w:firstLineChars="200"/>
        <w:rPr>
          <w:rFonts w:hint="eastAsia" w:asciiTheme="minorEastAsia" w:hAnsiTheme="minorEastAsia" w:eastAsiaTheme="minorEastAsia" w:cstheme="minorEastAsia"/>
          <w:b/>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bidi="he-IL"/>
        </w:rPr>
        <w:t>(6)红外样品烘干器 1台</w:t>
      </w:r>
    </w:p>
    <w:p w14:paraId="3C4BB9B0">
      <w:pPr>
        <w:widowControl w:val="0"/>
        <w:kinsoku/>
        <w:spacing w:line="242" w:lineRule="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b/>
          <w:color w:val="auto"/>
          <w:sz w:val="24"/>
          <w:szCs w:val="24"/>
          <w:highlight w:val="none"/>
          <w:lang w:eastAsia="zh-CN"/>
        </w:rPr>
        <w:t>注：以上所有技术条款为必须满足，否则作无效磋商处理。供应商可以提供满足或优于以上基本需求的技术条款参加磋商。</w:t>
      </w:r>
    </w:p>
    <w:p w14:paraId="394BCDF8">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Y3OWUyYzhjODViZmRmOTk1ZjI4NWQ5ZDhjNzc1YzgifQ=="/>
  </w:docVars>
  <w:rsids>
    <w:rsidRoot w:val="1B630F30"/>
    <w:rsid w:val="1B630F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2026-07-03T07:24:00Z</dcterms:created>
  <dc:creator>誉驰</dc:creator>
  <cp:lastModifiedBy>誉驰</cp:lastModifiedBy>
  <dcterms:modified xsi:type="dcterms:W3CDTF">2026-07-03T07:24:20Z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88A74F622CE24A28833664053B27E334_11</vt:lpwstr>
  </property>
</Properties>
</file>