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63F0C7">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jc w:val="center"/>
        <w:textAlignment w:val="baseline"/>
        <w:outlineLvl w:val="9"/>
        <w:rPr>
          <w:rFonts w:hint="eastAsia" w:ascii="仿宋" w:hAnsi="仿宋" w:eastAsia="仿宋" w:cs="仿宋"/>
          <w:color w:val="auto"/>
          <w:spacing w:val="0"/>
          <w:w w:val="100"/>
          <w:kern w:val="0"/>
          <w:position w:val="0"/>
          <w:sz w:val="24"/>
          <w:szCs w:val="24"/>
          <w:highlight w:val="none"/>
          <w:shd w:val="clear" w:color="auto" w:fill="FFFFFF"/>
          <w:lang w:val="en-US" w:eastAsia="zh-CN"/>
        </w:rPr>
      </w:pPr>
      <w:bookmarkStart w:id="0" w:name="_Toc26713"/>
      <w:r>
        <w:rPr>
          <w:rFonts w:hint="eastAsia" w:ascii="仿宋" w:hAnsi="仿宋" w:eastAsia="仿宋" w:cs="仿宋"/>
          <w:b/>
          <w:bCs/>
          <w:color w:val="auto"/>
          <w:spacing w:val="0"/>
          <w:w w:val="100"/>
          <w:kern w:val="0"/>
          <w:position w:val="0"/>
          <w:sz w:val="32"/>
          <w:szCs w:val="32"/>
          <w:highlight w:val="none"/>
          <w:shd w:val="clear" w:color="auto" w:fill="FFFFFF"/>
          <w:lang w:eastAsia="zh-CN"/>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0" t="0" r="8890" b="1905"/>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hint="eastAsia" w:ascii="仿宋" w:hAnsi="仿宋" w:eastAsia="仿宋" w:cs="仿宋"/>
          <w:b/>
          <w:bCs/>
          <w:color w:val="auto"/>
          <w:spacing w:val="0"/>
          <w:w w:val="100"/>
          <w:kern w:val="0"/>
          <w:position w:val="0"/>
          <w:sz w:val="32"/>
          <w:szCs w:val="32"/>
          <w:highlight w:val="none"/>
          <w:shd w:val="clear" w:color="auto" w:fill="FFFFFF"/>
          <w:lang w:eastAsia="zh-CN"/>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0" t="0" r="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bookmarkStart w:id="1" w:name="bookmark1"/>
      <w:bookmarkEnd w:id="1"/>
      <w:r>
        <w:rPr>
          <w:rFonts w:hint="eastAsia" w:ascii="仿宋" w:hAnsi="仿宋" w:eastAsia="仿宋" w:cs="仿宋"/>
          <w:b/>
          <w:bCs/>
          <w:color w:val="auto"/>
          <w:spacing w:val="0"/>
          <w:w w:val="100"/>
          <w:kern w:val="0"/>
          <w:position w:val="0"/>
          <w:sz w:val="32"/>
          <w:szCs w:val="32"/>
          <w:highlight w:val="none"/>
          <w:shd w:val="clear" w:color="auto" w:fill="FFFFFF"/>
          <w:lang w:eastAsia="zh-CN"/>
        </w:rPr>
        <w:t>江西省朝旭企业管理咨询有限公司</w:t>
      </w:r>
      <w:bookmarkEnd w:id="0"/>
      <w:r>
        <w:rPr>
          <w:rFonts w:hint="eastAsia" w:ascii="仿宋" w:hAnsi="仿宋" w:eastAsia="仿宋" w:cs="仿宋"/>
          <w:b/>
          <w:bCs/>
          <w:color w:val="auto"/>
          <w:spacing w:val="0"/>
          <w:w w:val="100"/>
          <w:kern w:val="0"/>
          <w:position w:val="0"/>
          <w:sz w:val="32"/>
          <w:szCs w:val="32"/>
          <w:highlight w:val="none"/>
          <w:shd w:val="clear" w:color="auto" w:fill="FFFFFF"/>
          <w:lang w:eastAsia="zh-CN"/>
        </w:rPr>
        <w:t>关于2026年上半年部分设备采购项目A标段—子午流注穴位治疗仪等设备第三次公开招标采购公告</w:t>
      </w:r>
      <w:bookmarkStart w:id="14" w:name="_GoBack"/>
      <w:bookmarkEnd w:id="14"/>
    </w:p>
    <w:p w14:paraId="3295B0DC">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仿宋" w:hAnsi="仿宋" w:eastAsia="仿宋" w:cs="仿宋"/>
          <w:color w:val="auto"/>
          <w:spacing w:val="0"/>
          <w:w w:val="100"/>
          <w:position w:val="0"/>
          <w:highlight w:val="none"/>
          <w:lang w:eastAsia="zh-CN"/>
        </w:rPr>
      </w:pPr>
      <w:r>
        <w:rPr>
          <w:rFonts w:hint="eastAsia" w:ascii="仿宋" w:hAnsi="仿宋" w:eastAsia="仿宋" w:cs="仿宋"/>
          <w:color w:val="auto"/>
          <w:spacing w:val="0"/>
          <w:w w:val="100"/>
          <w:kern w:val="0"/>
          <w:position w:val="0"/>
          <w:sz w:val="24"/>
          <w:szCs w:val="24"/>
          <w:highlight w:val="none"/>
          <w:shd w:val="clear" w:color="auto" w:fill="FFFFFF"/>
          <w:lang w:eastAsia="zh-CN"/>
        </w:rPr>
        <w:t>2026年上半年部分设备采购项目A标段—子午流注穴位治疗仪等设备第三次</w:t>
      </w:r>
      <w:r>
        <w:rPr>
          <w:rFonts w:hint="eastAsia" w:ascii="仿宋" w:hAnsi="仿宋" w:eastAsia="仿宋" w:cs="仿宋"/>
          <w:color w:val="auto"/>
          <w:spacing w:val="0"/>
          <w:w w:val="100"/>
          <w:kern w:val="0"/>
          <w:position w:val="0"/>
          <w:sz w:val="24"/>
          <w:szCs w:val="24"/>
          <w:highlight w:val="none"/>
          <w:shd w:val="clear" w:color="auto" w:fill="FFFFFF"/>
        </w:rPr>
        <w:t>的</w:t>
      </w:r>
      <w:r>
        <w:rPr>
          <w:rFonts w:hint="eastAsia" w:ascii="仿宋" w:hAnsi="仿宋" w:eastAsia="仿宋" w:cs="仿宋"/>
          <w:color w:val="auto"/>
          <w:spacing w:val="0"/>
          <w:w w:val="100"/>
          <w:kern w:val="0"/>
          <w:position w:val="0"/>
          <w:sz w:val="24"/>
          <w:szCs w:val="24"/>
          <w:highlight w:val="none"/>
        </w:rPr>
        <w:t>潜在投标人应在</w:t>
      </w:r>
      <w:r>
        <w:rPr>
          <w:rFonts w:hint="eastAsia" w:ascii="仿宋" w:hAnsi="仿宋" w:eastAsia="仿宋" w:cs="仿宋"/>
          <w:color w:val="auto"/>
          <w:spacing w:val="0"/>
          <w:w w:val="100"/>
          <w:kern w:val="0"/>
          <w:position w:val="0"/>
          <w:sz w:val="24"/>
          <w:szCs w:val="24"/>
          <w:highlight w:val="none"/>
          <w:u w:val="none"/>
        </w:rPr>
        <w:t>江西省公共资源交易</w:t>
      </w:r>
      <w:r>
        <w:rPr>
          <w:rFonts w:hint="eastAsia" w:ascii="仿宋" w:hAnsi="仿宋" w:eastAsia="仿宋" w:cs="仿宋"/>
          <w:color w:val="auto"/>
          <w:spacing w:val="0"/>
          <w:w w:val="100"/>
          <w:kern w:val="0"/>
          <w:position w:val="0"/>
          <w:sz w:val="24"/>
          <w:szCs w:val="24"/>
          <w:highlight w:val="none"/>
          <w:u w:val="none"/>
          <w:lang w:val="en-US" w:eastAsia="zh-CN"/>
        </w:rPr>
        <w:t>平台确认并</w:t>
      </w:r>
      <w:r>
        <w:rPr>
          <w:rFonts w:hint="eastAsia" w:ascii="仿宋" w:hAnsi="仿宋" w:eastAsia="仿宋" w:cs="仿宋"/>
          <w:color w:val="auto"/>
          <w:spacing w:val="0"/>
          <w:w w:val="100"/>
          <w:kern w:val="0"/>
          <w:position w:val="0"/>
          <w:sz w:val="24"/>
          <w:szCs w:val="24"/>
          <w:highlight w:val="none"/>
        </w:rPr>
        <w:t>获取招标文件，并于</w:t>
      </w:r>
      <w:r>
        <w:rPr>
          <w:rFonts w:hint="eastAsia" w:ascii="仿宋" w:hAnsi="仿宋" w:eastAsia="仿宋" w:cs="仿宋"/>
          <w:color w:val="auto"/>
          <w:spacing w:val="0"/>
          <w:w w:val="100"/>
          <w:kern w:val="0"/>
          <w:position w:val="0"/>
          <w:sz w:val="24"/>
          <w:szCs w:val="24"/>
          <w:highlight w:val="none"/>
          <w:u w:val="single"/>
          <w:lang w:val="en-US" w:eastAsia="zh-CN"/>
        </w:rPr>
        <w:t>2026</w:t>
      </w:r>
      <w:r>
        <w:rPr>
          <w:rFonts w:hint="eastAsia" w:ascii="仿宋" w:hAnsi="仿宋" w:eastAsia="仿宋" w:cs="仿宋"/>
          <w:color w:val="auto"/>
          <w:spacing w:val="0"/>
          <w:w w:val="100"/>
          <w:kern w:val="0"/>
          <w:position w:val="0"/>
          <w:sz w:val="24"/>
          <w:szCs w:val="24"/>
          <w:highlight w:val="none"/>
        </w:rPr>
        <w:t>年</w:t>
      </w:r>
      <w:r>
        <w:rPr>
          <w:rFonts w:hint="eastAsia" w:ascii="仿宋" w:hAnsi="仿宋" w:eastAsia="仿宋" w:cs="仿宋"/>
          <w:color w:val="auto"/>
          <w:spacing w:val="0"/>
          <w:w w:val="100"/>
          <w:kern w:val="0"/>
          <w:position w:val="0"/>
          <w:sz w:val="24"/>
          <w:szCs w:val="24"/>
          <w:highlight w:val="none"/>
          <w:u w:val="single"/>
          <w:lang w:val="en-US" w:eastAsia="zh-CN"/>
        </w:rPr>
        <w:t>07</w:t>
      </w:r>
      <w:r>
        <w:rPr>
          <w:rFonts w:hint="eastAsia" w:ascii="仿宋" w:hAnsi="仿宋" w:eastAsia="仿宋" w:cs="仿宋"/>
          <w:color w:val="auto"/>
          <w:spacing w:val="0"/>
          <w:w w:val="100"/>
          <w:kern w:val="0"/>
          <w:position w:val="0"/>
          <w:sz w:val="24"/>
          <w:szCs w:val="24"/>
          <w:highlight w:val="none"/>
        </w:rPr>
        <w:t>月</w:t>
      </w:r>
      <w:r>
        <w:rPr>
          <w:rFonts w:hint="eastAsia" w:ascii="仿宋" w:hAnsi="仿宋" w:eastAsia="仿宋" w:cs="仿宋"/>
          <w:color w:val="auto"/>
          <w:spacing w:val="0"/>
          <w:w w:val="100"/>
          <w:kern w:val="0"/>
          <w:position w:val="0"/>
          <w:sz w:val="24"/>
          <w:szCs w:val="24"/>
          <w:highlight w:val="none"/>
          <w:u w:val="single"/>
          <w:lang w:val="en-US" w:eastAsia="zh-CN"/>
        </w:rPr>
        <w:t>24</w:t>
      </w:r>
      <w:r>
        <w:rPr>
          <w:rFonts w:hint="eastAsia" w:ascii="仿宋" w:hAnsi="仿宋" w:eastAsia="仿宋" w:cs="仿宋"/>
          <w:color w:val="auto"/>
          <w:spacing w:val="0"/>
          <w:w w:val="100"/>
          <w:kern w:val="0"/>
          <w:position w:val="0"/>
          <w:sz w:val="24"/>
          <w:szCs w:val="24"/>
          <w:highlight w:val="none"/>
        </w:rPr>
        <w:t>日</w:t>
      </w:r>
      <w:r>
        <w:rPr>
          <w:rFonts w:hint="eastAsia" w:ascii="仿宋" w:hAnsi="仿宋" w:eastAsia="仿宋" w:cs="仿宋"/>
          <w:color w:val="auto"/>
          <w:spacing w:val="0"/>
          <w:w w:val="100"/>
          <w:kern w:val="0"/>
          <w:position w:val="0"/>
          <w:sz w:val="24"/>
          <w:szCs w:val="24"/>
          <w:highlight w:val="none"/>
          <w:u w:val="single"/>
          <w:lang w:val="en-US" w:eastAsia="zh-CN"/>
        </w:rPr>
        <w:t>09</w:t>
      </w:r>
      <w:r>
        <w:rPr>
          <w:rFonts w:hint="eastAsia" w:ascii="仿宋" w:hAnsi="仿宋" w:eastAsia="仿宋" w:cs="仿宋"/>
          <w:color w:val="auto"/>
          <w:spacing w:val="0"/>
          <w:w w:val="100"/>
          <w:kern w:val="0"/>
          <w:position w:val="0"/>
          <w:sz w:val="24"/>
          <w:szCs w:val="24"/>
          <w:highlight w:val="none"/>
        </w:rPr>
        <w:t>点</w:t>
      </w:r>
      <w:r>
        <w:rPr>
          <w:rFonts w:hint="eastAsia" w:ascii="仿宋" w:hAnsi="仿宋" w:eastAsia="仿宋" w:cs="仿宋"/>
          <w:color w:val="auto"/>
          <w:spacing w:val="0"/>
          <w:w w:val="100"/>
          <w:kern w:val="0"/>
          <w:position w:val="0"/>
          <w:sz w:val="24"/>
          <w:szCs w:val="24"/>
          <w:highlight w:val="none"/>
          <w:u w:val="single"/>
          <w:lang w:val="en-US" w:eastAsia="zh-CN"/>
        </w:rPr>
        <w:t>00</w:t>
      </w:r>
      <w:r>
        <w:rPr>
          <w:rFonts w:hint="eastAsia" w:ascii="仿宋" w:hAnsi="仿宋" w:eastAsia="仿宋" w:cs="仿宋"/>
          <w:color w:val="auto"/>
          <w:spacing w:val="0"/>
          <w:w w:val="100"/>
          <w:kern w:val="0"/>
          <w:position w:val="0"/>
          <w:sz w:val="24"/>
          <w:szCs w:val="24"/>
          <w:highlight w:val="none"/>
        </w:rPr>
        <w:t>分（北京时间）前</w:t>
      </w:r>
      <w:r>
        <w:rPr>
          <w:rFonts w:hint="eastAsia" w:ascii="仿宋" w:hAnsi="仿宋" w:eastAsia="仿宋" w:cs="仿宋"/>
          <w:color w:val="auto"/>
          <w:spacing w:val="0"/>
          <w:w w:val="100"/>
          <w:kern w:val="0"/>
          <w:position w:val="0"/>
          <w:sz w:val="24"/>
          <w:szCs w:val="24"/>
          <w:highlight w:val="none"/>
          <w:lang w:val="en-US" w:eastAsia="zh-CN"/>
        </w:rPr>
        <w:t>提</w:t>
      </w:r>
      <w:r>
        <w:rPr>
          <w:rFonts w:hint="eastAsia" w:ascii="仿宋" w:hAnsi="仿宋" w:eastAsia="仿宋" w:cs="仿宋"/>
          <w:color w:val="auto"/>
          <w:spacing w:val="0"/>
          <w:w w:val="100"/>
          <w:kern w:val="0"/>
          <w:position w:val="0"/>
          <w:sz w:val="24"/>
          <w:szCs w:val="24"/>
          <w:highlight w:val="none"/>
        </w:rPr>
        <w:t>交投标文件。</w:t>
      </w:r>
    </w:p>
    <w:p w14:paraId="6116DA63">
      <w:pPr>
        <w:keepNext w:val="0"/>
        <w:keepLines w:val="0"/>
        <w:pageBreakBefore w:val="0"/>
        <w:widowControl w:val="0"/>
        <w:shd w:val="clear"/>
        <w:kinsoku w:val="0"/>
        <w:wordWrap/>
        <w:overflowPunct/>
        <w:topLinePunct w:val="0"/>
        <w:autoSpaceDE w:val="0"/>
        <w:autoSpaceDN w:val="0"/>
        <w:bidi w:val="0"/>
        <w:adjustRightInd w:val="0"/>
        <w:snapToGrid w:val="0"/>
        <w:spacing w:before="78" w:line="360" w:lineRule="auto"/>
        <w:ind w:left="107"/>
        <w:textAlignment w:val="baseline"/>
        <w:outlineLvl w:val="9"/>
        <w:rPr>
          <w:rFonts w:hint="eastAsia" w:ascii="仿宋" w:hAnsi="仿宋" w:eastAsia="仿宋" w:cs="仿宋"/>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pPr>
      <w:bookmarkStart w:id="2" w:name="bookmark2"/>
      <w:bookmarkEnd w:id="2"/>
      <w:bookmarkStart w:id="3" w:name="_Toc2769"/>
      <w:r>
        <w:rPr>
          <w:rFonts w:hint="eastAsia" w:ascii="仿宋" w:hAnsi="仿宋" w:eastAsia="仿宋" w:cs="仿宋"/>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一、项目基本情况</w:t>
      </w:r>
      <w:bookmarkEnd w:id="3"/>
    </w:p>
    <w:p w14:paraId="59345CF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项目编号：JXSZXZFCG2026Y20-A-2</w:t>
      </w:r>
    </w:p>
    <w:p w14:paraId="23C5E860">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项目名称：2026年上半年部分设备采购项目A标段—子午流注穴位治疗仪等设备第三次</w:t>
      </w:r>
    </w:p>
    <w:p w14:paraId="2EEEAE75">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预算金额（人民币）：</w:t>
      </w:r>
      <w:r>
        <w:rPr>
          <w:rFonts w:hint="eastAsia" w:ascii="仿宋" w:hAnsi="仿宋" w:eastAsia="仿宋" w:cs="仿宋"/>
          <w:bCs/>
          <w:snapToGrid/>
          <w:color w:val="auto"/>
          <w:kern w:val="2"/>
          <w:sz w:val="24"/>
          <w:szCs w:val="24"/>
          <w:highlight w:val="none"/>
          <w:lang w:val="en-US" w:eastAsia="zh-CN"/>
        </w:rPr>
        <w:t>210000.</w:t>
      </w:r>
      <w:r>
        <w:rPr>
          <w:rFonts w:hint="eastAsia" w:ascii="仿宋" w:hAnsi="仿宋" w:eastAsia="仿宋" w:cs="仿宋"/>
          <w:bCs/>
          <w:snapToGrid/>
          <w:color w:val="auto"/>
          <w:kern w:val="2"/>
          <w:sz w:val="24"/>
          <w:szCs w:val="24"/>
          <w:highlight w:val="none"/>
          <w:lang w:eastAsia="zh-CN"/>
        </w:rPr>
        <w:t>0</w:t>
      </w:r>
      <w:r>
        <w:rPr>
          <w:rFonts w:hint="eastAsia" w:ascii="仿宋" w:hAnsi="仿宋" w:eastAsia="仿宋" w:cs="仿宋"/>
          <w:bCs/>
          <w:snapToGrid/>
          <w:color w:val="auto"/>
          <w:kern w:val="2"/>
          <w:sz w:val="24"/>
          <w:szCs w:val="24"/>
          <w:highlight w:val="none"/>
          <w:lang w:val="en-US" w:eastAsia="zh-CN"/>
        </w:rPr>
        <w:t>0</w:t>
      </w:r>
      <w:r>
        <w:rPr>
          <w:rFonts w:hint="eastAsia" w:ascii="仿宋" w:hAnsi="仿宋" w:eastAsia="仿宋" w:cs="仿宋"/>
          <w:bCs/>
          <w:snapToGrid/>
          <w:color w:val="auto"/>
          <w:kern w:val="2"/>
          <w:sz w:val="24"/>
          <w:szCs w:val="24"/>
          <w:highlight w:val="none"/>
          <w:lang w:eastAsia="zh-CN"/>
        </w:rPr>
        <w:t>元</w:t>
      </w:r>
    </w:p>
    <w:p w14:paraId="0A6957F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最高限价（人民币）：</w:t>
      </w:r>
      <w:r>
        <w:rPr>
          <w:rFonts w:hint="eastAsia" w:ascii="仿宋" w:hAnsi="仿宋" w:eastAsia="仿宋" w:cs="仿宋"/>
          <w:bCs/>
          <w:snapToGrid/>
          <w:color w:val="auto"/>
          <w:kern w:val="2"/>
          <w:sz w:val="24"/>
          <w:szCs w:val="24"/>
          <w:highlight w:val="none"/>
          <w:lang w:val="en-US" w:eastAsia="zh-CN"/>
        </w:rPr>
        <w:t>210000.</w:t>
      </w:r>
      <w:r>
        <w:rPr>
          <w:rFonts w:hint="eastAsia" w:ascii="仿宋" w:hAnsi="仿宋" w:eastAsia="仿宋" w:cs="仿宋"/>
          <w:bCs/>
          <w:snapToGrid/>
          <w:color w:val="auto"/>
          <w:kern w:val="2"/>
          <w:sz w:val="24"/>
          <w:szCs w:val="24"/>
          <w:highlight w:val="none"/>
          <w:lang w:eastAsia="zh-CN"/>
        </w:rPr>
        <w:t>0</w:t>
      </w:r>
      <w:r>
        <w:rPr>
          <w:rFonts w:hint="eastAsia" w:ascii="仿宋" w:hAnsi="仿宋" w:eastAsia="仿宋" w:cs="仿宋"/>
          <w:bCs/>
          <w:snapToGrid/>
          <w:color w:val="auto"/>
          <w:kern w:val="2"/>
          <w:sz w:val="24"/>
          <w:szCs w:val="24"/>
          <w:highlight w:val="none"/>
          <w:lang w:val="en-US" w:eastAsia="zh-CN"/>
        </w:rPr>
        <w:t>0</w:t>
      </w:r>
      <w:r>
        <w:rPr>
          <w:rFonts w:hint="eastAsia" w:ascii="仿宋" w:hAnsi="仿宋" w:eastAsia="仿宋" w:cs="仿宋"/>
          <w:bCs/>
          <w:snapToGrid/>
          <w:color w:val="auto"/>
          <w:kern w:val="2"/>
          <w:sz w:val="24"/>
          <w:szCs w:val="24"/>
          <w:highlight w:val="none"/>
          <w:lang w:eastAsia="zh-CN"/>
        </w:rPr>
        <w:t>元</w:t>
      </w:r>
    </w:p>
    <w:p w14:paraId="5DDCD368">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采购方式：公开招标</w:t>
      </w:r>
    </w:p>
    <w:p w14:paraId="5E95F338">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val="en-US" w:eastAsia="zh-CN"/>
        </w:rPr>
        <w:t>采购需求：</w:t>
      </w:r>
    </w:p>
    <w:tbl>
      <w:tblPr>
        <w:tblStyle w:val="5"/>
        <w:tblW w:w="5023"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2398"/>
        <w:gridCol w:w="3111"/>
        <w:gridCol w:w="585"/>
        <w:gridCol w:w="733"/>
        <w:gridCol w:w="1527"/>
      </w:tblGrid>
      <w:tr w14:paraId="6B7337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6" w:hRule="atLeast"/>
          <w:jc w:val="center"/>
        </w:trPr>
        <w:tc>
          <w:tcPr>
            <w:tcW w:w="1435" w:type="pct"/>
            <w:vAlign w:val="center"/>
          </w:tcPr>
          <w:p w14:paraId="4D4146C1">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采购条目编号</w:t>
            </w:r>
          </w:p>
        </w:tc>
        <w:tc>
          <w:tcPr>
            <w:tcW w:w="1862" w:type="pct"/>
            <w:vAlign w:val="center"/>
          </w:tcPr>
          <w:p w14:paraId="20FE1687">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采购条目名称</w:t>
            </w:r>
          </w:p>
        </w:tc>
        <w:tc>
          <w:tcPr>
            <w:tcW w:w="350" w:type="pct"/>
            <w:vAlign w:val="center"/>
          </w:tcPr>
          <w:p w14:paraId="25F3F538">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数量</w:t>
            </w:r>
          </w:p>
        </w:tc>
        <w:tc>
          <w:tcPr>
            <w:tcW w:w="439" w:type="pct"/>
            <w:vAlign w:val="center"/>
          </w:tcPr>
          <w:p w14:paraId="4D95D880">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单位</w:t>
            </w:r>
          </w:p>
        </w:tc>
        <w:tc>
          <w:tcPr>
            <w:tcW w:w="912" w:type="pct"/>
            <w:vAlign w:val="center"/>
          </w:tcPr>
          <w:p w14:paraId="0D045BD1">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评分办法</w:t>
            </w:r>
          </w:p>
        </w:tc>
      </w:tr>
      <w:tr w14:paraId="5E2F69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jc w:val="center"/>
        </w:trPr>
        <w:tc>
          <w:tcPr>
            <w:tcW w:w="1435" w:type="pct"/>
            <w:vAlign w:val="center"/>
          </w:tcPr>
          <w:p w14:paraId="09F87AB7">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吉购2026F000209761</w:t>
            </w:r>
          </w:p>
          <w:p w14:paraId="1EBF4CB8">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吉购2026F000209762</w:t>
            </w:r>
          </w:p>
        </w:tc>
        <w:tc>
          <w:tcPr>
            <w:tcW w:w="1862" w:type="pct"/>
            <w:shd w:val="clear" w:color="auto" w:fill="auto"/>
            <w:vAlign w:val="center"/>
          </w:tcPr>
          <w:p w14:paraId="709539D3">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2026年上半年部分设备采购项目A标段—子午流注穴位治疗仪等设备第三次</w:t>
            </w:r>
          </w:p>
        </w:tc>
        <w:tc>
          <w:tcPr>
            <w:tcW w:w="350" w:type="pct"/>
            <w:shd w:val="clear" w:color="auto" w:fill="auto"/>
            <w:vAlign w:val="center"/>
          </w:tcPr>
          <w:p w14:paraId="564586AA">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w:t>
            </w:r>
          </w:p>
        </w:tc>
        <w:tc>
          <w:tcPr>
            <w:tcW w:w="439" w:type="pct"/>
            <w:shd w:val="clear" w:color="auto" w:fill="auto"/>
            <w:vAlign w:val="center"/>
          </w:tcPr>
          <w:p w14:paraId="4B894925">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w:t>
            </w:r>
          </w:p>
        </w:tc>
        <w:tc>
          <w:tcPr>
            <w:tcW w:w="912" w:type="pct"/>
            <w:vAlign w:val="center"/>
          </w:tcPr>
          <w:p w14:paraId="5B5D5A2C">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最低评标价</w:t>
            </w:r>
          </w:p>
        </w:tc>
      </w:tr>
      <w:tr w14:paraId="675E56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jc w:val="center"/>
        </w:trPr>
        <w:tc>
          <w:tcPr>
            <w:tcW w:w="5000" w:type="pct"/>
            <w:gridSpan w:val="5"/>
            <w:vAlign w:val="center"/>
          </w:tcPr>
          <w:p w14:paraId="49B361BD">
            <w:pPr>
              <w:keepNext w:val="0"/>
              <w:keepLines w:val="0"/>
              <w:pageBreakBefore w:val="0"/>
              <w:widowControl w:val="0"/>
              <w:shd w:val="clear"/>
              <w:kinsoku/>
              <w:wordWrap/>
              <w:overflowPunct/>
              <w:topLinePunct/>
              <w:autoSpaceDE/>
              <w:autoSpaceDN/>
              <w:bidi w:val="0"/>
              <w:adjustRightInd/>
              <w:snapToGrid/>
              <w:spacing w:line="360" w:lineRule="auto"/>
              <w:jc w:val="left"/>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
                <w:bCs w:val="0"/>
                <w:snapToGrid/>
                <w:color w:val="auto"/>
                <w:kern w:val="2"/>
                <w:sz w:val="24"/>
                <w:szCs w:val="24"/>
                <w:highlight w:val="none"/>
                <w:lang w:val="en-US" w:eastAsia="zh-CN"/>
              </w:rPr>
              <w:t>本项目分为A、B、C三个包，</w:t>
            </w:r>
            <w:r>
              <w:rPr>
                <w:rFonts w:hint="default" w:ascii="仿宋" w:hAnsi="仿宋" w:eastAsia="仿宋" w:cs="仿宋"/>
                <w:b/>
                <w:bCs w:val="0"/>
                <w:snapToGrid/>
                <w:color w:val="auto"/>
                <w:kern w:val="2"/>
                <w:sz w:val="24"/>
                <w:szCs w:val="24"/>
                <w:highlight w:val="none"/>
                <w:lang w:val="en-US" w:eastAsia="zh-CN"/>
              </w:rPr>
              <w:t>投标人可对A、B、C包同时投标，若同时满足多个包的中标条件，可同时中标</w:t>
            </w:r>
            <w:r>
              <w:rPr>
                <w:rFonts w:hint="eastAsia" w:ascii="仿宋" w:hAnsi="仿宋" w:eastAsia="仿宋" w:cs="仿宋"/>
                <w:b/>
                <w:bCs w:val="0"/>
                <w:snapToGrid/>
                <w:color w:val="auto"/>
                <w:kern w:val="2"/>
                <w:sz w:val="24"/>
                <w:szCs w:val="24"/>
                <w:highlight w:val="none"/>
                <w:lang w:val="en-US" w:eastAsia="zh-CN"/>
              </w:rPr>
              <w:t>；开评标顺序:A→B→C。</w:t>
            </w:r>
          </w:p>
        </w:tc>
      </w:tr>
    </w:tbl>
    <w:p w14:paraId="17524CB9">
      <w:pPr>
        <w:keepNext w:val="0"/>
        <w:keepLines w:val="0"/>
        <w:pageBreakBefore w:val="0"/>
        <w:widowControl w:val="0"/>
        <w:shd w:val="clear"/>
        <w:kinsoku/>
        <w:wordWrap/>
        <w:overflowPunct/>
        <w:topLinePunct w:val="0"/>
        <w:autoSpaceDE/>
        <w:autoSpaceDN/>
        <w:bidi w:val="0"/>
        <w:adjustRightInd/>
        <w:snapToGrid/>
        <w:spacing w:line="324" w:lineRule="auto"/>
        <w:textAlignment w:val="auto"/>
        <w:outlineLvl w:val="9"/>
        <w:rPr>
          <w:rFonts w:hint="eastAsia" w:ascii="仿宋" w:hAnsi="仿宋" w:eastAsia="仿宋" w:cs="仿宋"/>
          <w:bCs/>
          <w:strike w:val="0"/>
          <w:dstrike w:val="0"/>
          <w:snapToGrid/>
          <w:color w:val="auto"/>
          <w:kern w:val="2"/>
          <w:sz w:val="24"/>
          <w:szCs w:val="24"/>
          <w:highlight w:val="none"/>
          <w:lang w:val="en-US" w:eastAsia="zh-CN"/>
        </w:rPr>
      </w:pPr>
      <w:bookmarkStart w:id="4" w:name="bookmark3"/>
      <w:bookmarkEnd w:id="4"/>
      <w:r>
        <w:rPr>
          <w:rFonts w:hint="eastAsia" w:ascii="仿宋" w:hAnsi="仿宋" w:eastAsia="仿宋" w:cs="仿宋"/>
          <w:bCs/>
          <w:strike w:val="0"/>
          <w:dstrike w:val="0"/>
          <w:snapToGrid/>
          <w:color w:val="auto"/>
          <w:kern w:val="2"/>
          <w:sz w:val="24"/>
          <w:szCs w:val="24"/>
          <w:highlight w:val="none"/>
          <w:lang w:val="en-US" w:eastAsia="zh-CN"/>
        </w:rPr>
        <w:t>合同履行期限：自合同签订之日起30天内完成项目实施和项目验收。</w:t>
      </w:r>
    </w:p>
    <w:p w14:paraId="18D60C81">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本项目是否接受联合体投标：否</w:t>
      </w:r>
    </w:p>
    <w:p w14:paraId="0C629487">
      <w:pPr>
        <w:keepNext w:val="0"/>
        <w:keepLines w:val="0"/>
        <w:pageBreakBefore w:val="0"/>
        <w:widowControl w:val="0"/>
        <w:shd w:val="clear"/>
        <w:kinsoku w:val="0"/>
        <w:wordWrap/>
        <w:overflowPunct/>
        <w:topLinePunct w:val="0"/>
        <w:autoSpaceDE w:val="0"/>
        <w:autoSpaceDN w:val="0"/>
        <w:bidi w:val="0"/>
        <w:adjustRightInd w:val="0"/>
        <w:snapToGrid w:val="0"/>
        <w:spacing w:beforeAutospacing="0" w:afterAutospacing="0"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bookmarkStart w:id="5" w:name="_Toc27218"/>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仿宋" w:hAnsi="仿宋" w:eastAsia="仿宋" w:cs="仿宋"/>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投标人</w:t>
      </w:r>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的资格要求</w:t>
      </w:r>
      <w:bookmarkEnd w:id="5"/>
    </w:p>
    <w:p w14:paraId="164F3C75">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1.满足《中华人民共和国政府采购法》第二十二条规定：</w:t>
      </w:r>
    </w:p>
    <w:p w14:paraId="646A7B64">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1.1 具有独立承担民事责任的能力；</w:t>
      </w:r>
    </w:p>
    <w:p w14:paraId="0394D018">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1.2 具有良好的商业信誉和健全的财务会计制度；</w:t>
      </w:r>
    </w:p>
    <w:p w14:paraId="6590743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1.3 具有履行合同所必需的设备和专业技术能力；</w:t>
      </w:r>
    </w:p>
    <w:p w14:paraId="76FC8837">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1.4 有依法缴纳税收和社会保障资金的良好记录；</w:t>
      </w:r>
    </w:p>
    <w:p w14:paraId="24C5B02A">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1.5 参加政府采购活动前三年内,在经营活动中没有重大违法记录；</w:t>
      </w:r>
    </w:p>
    <w:p w14:paraId="780E58AD">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1.6 法律、行政法规规定的其他条件。</w:t>
      </w:r>
    </w:p>
    <w:p w14:paraId="39AB7B27">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
          <w:bCs/>
          <w:color w:val="auto"/>
          <w:spacing w:val="0"/>
          <w:position w:val="0"/>
          <w:sz w:val="24"/>
          <w:szCs w:val="24"/>
          <w:highlight w:val="none"/>
          <w:lang w:eastAsia="zh-CN"/>
        </w:rPr>
        <w:t>备注：根据吉财购〔2023〕25号文件要求，在政府采购资格审查环节中推行信用承诺制，投标人在政府采购项目资格审查环节提供了满足相应条件的书面承诺书(详见江西省政府采购供应商资格信用承诺函）后，可不再提供以上证明材料。</w:t>
      </w:r>
    </w:p>
    <w:p w14:paraId="6266DE9A">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单位负责人为同一人或者存在直接控股、管理关系的不同投标人，不得参加同一合同项下的采购活动。为本采购项目提供整体设计、规范编制或者项目管理、监理、检测等服务的，不得参加本项目的政府采购活动。</w:t>
      </w:r>
    </w:p>
    <w:p w14:paraId="67EDDF72">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3.投标人被“信用中国”网站列入失信被执行人或重大税收违法案件当事人名单或被“中国政府采购网”网站列入政府采购严重违法失信行为记录名单（处罚期限尚未届满的）的，不得参加本项目的政府采购活动。</w:t>
      </w:r>
    </w:p>
    <w:p w14:paraId="21585321">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4.落实政府采购政策需满足的资格要求：</w:t>
      </w:r>
    </w:p>
    <w:p w14:paraId="20D5A85D">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4.1 中小企业政策：本项目专门面向</w:t>
      </w:r>
      <w:r>
        <w:rPr>
          <w:rFonts w:hint="eastAsia" w:ascii="仿宋" w:hAnsi="仿宋" w:eastAsia="仿宋" w:cs="仿宋"/>
          <w:bCs/>
          <w:snapToGrid/>
          <w:color w:val="auto"/>
          <w:kern w:val="2"/>
          <w:sz w:val="24"/>
          <w:szCs w:val="24"/>
          <w:highlight w:val="none"/>
          <w:lang w:eastAsia="zh-CN"/>
        </w:rPr>
        <w:t>中小企业采购。所投产品的制造商须在中华人民</w:t>
      </w:r>
      <w:r>
        <w:rPr>
          <w:rFonts w:hint="eastAsia" w:ascii="仿宋" w:hAnsi="仿宋" w:eastAsia="仿宋" w:cs="仿宋"/>
          <w:color w:val="auto"/>
          <w:spacing w:val="0"/>
          <w:w w:val="100"/>
          <w:position w:val="0"/>
          <w:sz w:val="24"/>
          <w:szCs w:val="24"/>
          <w:highlight w:val="none"/>
          <w:lang w:eastAsia="zh-CN"/>
        </w:rPr>
        <w:t>共和国境内依法设立，依据国务院批准的中小企业划分标准确定的中型企业、小型企业和微型企业，但与大企业的负责人为同一人，或者与大企业存在直接控股、管理关系的除外；监狱企业、残疾人福利性单位视同小型、微型企业（投标文件中须提供中小企业声明函或省级以上监狱管理局、戒毒管理局（含新疆生产建设兵团）出具的属于监狱企业的证明文件或残疾人福利性单位声明函）</w:t>
      </w:r>
      <w:r>
        <w:rPr>
          <w:rFonts w:hint="eastAsia" w:ascii="仿宋" w:hAnsi="仿宋" w:eastAsia="仿宋" w:cs="仿宋"/>
          <w:b/>
          <w:bCs w:val="0"/>
          <w:snapToGrid/>
          <w:color w:val="auto"/>
          <w:kern w:val="2"/>
          <w:sz w:val="24"/>
          <w:szCs w:val="24"/>
          <w:highlight w:val="none"/>
          <w:lang w:val="en-US" w:eastAsia="zh-CN"/>
        </w:rPr>
        <w:t>【提供中小企业声明函加盖公章】。</w:t>
      </w:r>
    </w:p>
    <w:p w14:paraId="3E478E34">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4.2 采购标的所属类型：货物类；本项目所属行业为：工业：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1454640C">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4.3 如本项目采购的产品属于政府强制采购节能产品的，投标文件中必须提供《参与实施政府采购节能产品认证机构名录》中的对应产品认证机构出具的节能产品认证证书</w:t>
      </w:r>
      <w:r>
        <w:rPr>
          <w:rFonts w:hint="eastAsia" w:ascii="仿宋" w:hAnsi="仿宋" w:eastAsia="仿宋" w:cs="仿宋"/>
          <w:b w:val="0"/>
          <w:bCs w:val="0"/>
          <w:color w:val="auto"/>
          <w:spacing w:val="0"/>
          <w:w w:val="100"/>
          <w:position w:val="0"/>
          <w:sz w:val="24"/>
          <w:szCs w:val="24"/>
          <w:highlight w:val="none"/>
          <w:lang w:val="en-US" w:eastAsia="zh-CN"/>
        </w:rPr>
        <w:t>或提供国家市场监督管理总局的节能产品查询结果截图</w:t>
      </w:r>
      <w:r>
        <w:rPr>
          <w:rFonts w:hint="eastAsia" w:ascii="仿宋" w:hAnsi="仿宋" w:eastAsia="仿宋" w:cs="仿宋"/>
          <w:bCs/>
          <w:snapToGrid/>
          <w:color w:val="auto"/>
          <w:kern w:val="2"/>
          <w:sz w:val="24"/>
          <w:szCs w:val="24"/>
          <w:highlight w:val="none"/>
          <w:lang w:val="en-US" w:eastAsia="zh-CN"/>
        </w:rPr>
        <w:t>；</w:t>
      </w:r>
    </w:p>
    <w:p w14:paraId="7A3CA116">
      <w:pPr>
        <w:pageBreakBefore w:val="0"/>
        <w:shd w:val="clear"/>
        <w:kinsoku/>
        <w:wordWrap w:val="0"/>
        <w:overflowPunct/>
        <w:topLinePunct w:val="0"/>
        <w:bidi w:val="0"/>
        <w:spacing w:line="360" w:lineRule="auto"/>
        <w:rPr>
          <w:rFonts w:hint="eastAsia" w:ascii="仿宋" w:hAnsi="仿宋" w:eastAsia="仿宋" w:cs="仿宋"/>
          <w:bCs/>
          <w:color w:val="auto"/>
          <w:sz w:val="24"/>
          <w:highlight w:val="none"/>
          <w:lang w:val="en-US" w:eastAsia="zh-CN"/>
        </w:rPr>
      </w:pPr>
      <w:r>
        <w:rPr>
          <w:rFonts w:hint="eastAsia" w:ascii="仿宋" w:hAnsi="仿宋" w:eastAsia="仿宋" w:cs="仿宋"/>
          <w:bCs/>
          <w:snapToGrid/>
          <w:color w:val="auto"/>
          <w:kern w:val="2"/>
          <w:sz w:val="24"/>
          <w:szCs w:val="24"/>
          <w:highlight w:val="none"/>
          <w:lang w:val="en-US" w:eastAsia="zh-CN"/>
        </w:rPr>
        <w:t>5.本项目的特定资格要求：</w:t>
      </w:r>
      <w:r>
        <w:rPr>
          <w:rFonts w:hint="eastAsia" w:ascii="仿宋" w:hAnsi="仿宋" w:eastAsia="仿宋" w:cs="仿宋"/>
          <w:bCs/>
          <w:color w:val="auto"/>
          <w:sz w:val="24"/>
          <w:highlight w:val="none"/>
          <w:lang w:val="en-US" w:eastAsia="zh-CN"/>
        </w:rPr>
        <w:t>（1）所投一、二、三类医疗器械产品用于临床的：二、三类医疗器械产品的须具有医疗器械注册证及登记表（新证不需登记表），一类医疗器械产品的须具有产品备案登记凭证；（2）所投在中华人民共和国境内生产的一、二、三类医疗器械产品用于临床的：二、三类医疗器械产品须具有医疗器械生产许可证，一类医疗器械产品的须具有医疗器械生产备案凭证；（3）经营用于临床二、三类医疗器械的：三类医疗器械须具有医疗器械经营企业许可证，二类医疗器械的须具有医疗器械经营企业备案登记凭证（可提供国家企业信用信息公示系统中行政许可信息截图）；（医疗器械注册人或者生产企业在其住所或者生产地址销售医疗器械，不需提供）。</w:t>
      </w:r>
      <w:r>
        <w:rPr>
          <w:rFonts w:hint="eastAsia" w:ascii="仿宋" w:hAnsi="仿宋" w:eastAsia="仿宋"/>
          <w:b/>
          <w:bCs/>
          <w:snapToGrid w:val="0"/>
          <w:color w:val="auto"/>
          <w:kern w:val="0"/>
          <w:sz w:val="24"/>
          <w:highlight w:val="none"/>
          <w:lang w:eastAsia="zh-CN"/>
        </w:rPr>
        <w:t>【提供相关证书原件扫描件或复印件加盖投标人公章】</w:t>
      </w:r>
    </w:p>
    <w:p w14:paraId="48524FAA">
      <w:pPr>
        <w:keepNext w:val="0"/>
        <w:keepLines w:val="0"/>
        <w:pageBreakBefore w:val="0"/>
        <w:widowControl w:val="0"/>
        <w:shd w:val="clear"/>
        <w:kinsoku w:val="0"/>
        <w:wordWrap/>
        <w:overflowPunct/>
        <w:topLinePunct w:val="0"/>
        <w:autoSpaceDE w:val="0"/>
        <w:autoSpaceDN w:val="0"/>
        <w:bidi w:val="0"/>
        <w:adjustRightInd w:val="0"/>
        <w:snapToGrid w:val="0"/>
        <w:spacing w:line="500" w:lineRule="exact"/>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三、获取招标文件</w:t>
      </w:r>
    </w:p>
    <w:p w14:paraId="22C26642">
      <w:pPr>
        <w:keepNext w:val="0"/>
        <w:keepLines w:val="0"/>
        <w:pageBreakBefore w:val="0"/>
        <w:widowControl w:val="0"/>
        <w:shd w:val="clear"/>
        <w:kinsoku w:val="0"/>
        <w:wordWrap/>
        <w:overflowPunct/>
        <w:topLinePunct w:val="0"/>
        <w:autoSpaceDE w:val="0"/>
        <w:autoSpaceDN w:val="0"/>
        <w:bidi w:val="0"/>
        <w:adjustRightInd w:val="0"/>
        <w:snapToGrid w:val="0"/>
        <w:spacing w:line="500" w:lineRule="exact"/>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rPr>
        <w:t>时间：</w:t>
      </w:r>
      <w:r>
        <w:rPr>
          <w:rFonts w:hint="eastAsia" w:ascii="仿宋" w:hAnsi="仿宋" w:eastAsia="仿宋" w:cs="仿宋"/>
          <w:color w:val="auto"/>
          <w:spacing w:val="0"/>
          <w:w w:val="100"/>
          <w:position w:val="0"/>
          <w:sz w:val="24"/>
          <w:szCs w:val="24"/>
          <w:highlight w:val="none"/>
          <w:lang w:val="en-US" w:eastAsia="zh-CN"/>
        </w:rPr>
        <w:t>2026</w:t>
      </w:r>
      <w:r>
        <w:rPr>
          <w:rFonts w:hint="eastAsia" w:ascii="仿宋" w:hAnsi="仿宋" w:eastAsia="仿宋" w:cs="仿宋"/>
          <w:color w:val="auto"/>
          <w:spacing w:val="0"/>
          <w:w w:val="100"/>
          <w:position w:val="0"/>
          <w:sz w:val="24"/>
          <w:szCs w:val="24"/>
          <w:highlight w:val="none"/>
          <w:lang w:eastAsia="zh-CN"/>
        </w:rPr>
        <w:t>年</w:t>
      </w:r>
      <w:r>
        <w:rPr>
          <w:rFonts w:hint="eastAsia" w:ascii="仿宋" w:hAnsi="仿宋" w:eastAsia="仿宋" w:cs="仿宋"/>
          <w:color w:val="auto"/>
          <w:spacing w:val="0"/>
          <w:w w:val="100"/>
          <w:position w:val="0"/>
          <w:sz w:val="24"/>
          <w:szCs w:val="24"/>
          <w:highlight w:val="none"/>
          <w:u w:val="single"/>
          <w:lang w:val="en-US" w:eastAsia="zh-CN"/>
        </w:rPr>
        <w:t>07</w:t>
      </w:r>
      <w:r>
        <w:rPr>
          <w:rFonts w:hint="eastAsia" w:ascii="仿宋" w:hAnsi="仿宋" w:eastAsia="仿宋" w:cs="仿宋"/>
          <w:color w:val="auto"/>
          <w:spacing w:val="0"/>
          <w:w w:val="100"/>
          <w:position w:val="0"/>
          <w:sz w:val="24"/>
          <w:szCs w:val="24"/>
          <w:highlight w:val="none"/>
          <w:lang w:eastAsia="zh-CN"/>
        </w:rPr>
        <w:t>月</w:t>
      </w:r>
      <w:r>
        <w:rPr>
          <w:rFonts w:hint="eastAsia" w:ascii="仿宋" w:hAnsi="仿宋" w:eastAsia="仿宋" w:cs="仿宋"/>
          <w:color w:val="auto"/>
          <w:spacing w:val="0"/>
          <w:w w:val="100"/>
          <w:position w:val="0"/>
          <w:sz w:val="24"/>
          <w:szCs w:val="24"/>
          <w:highlight w:val="none"/>
          <w:u w:val="single"/>
          <w:lang w:val="en-US" w:eastAsia="zh-CN"/>
        </w:rPr>
        <w:t>04</w:t>
      </w:r>
      <w:r>
        <w:rPr>
          <w:rFonts w:hint="eastAsia" w:ascii="仿宋" w:hAnsi="仿宋" w:eastAsia="仿宋" w:cs="仿宋"/>
          <w:color w:val="auto"/>
          <w:spacing w:val="0"/>
          <w:w w:val="100"/>
          <w:position w:val="0"/>
          <w:sz w:val="24"/>
          <w:szCs w:val="24"/>
          <w:highlight w:val="none"/>
          <w:lang w:eastAsia="zh-CN"/>
        </w:rPr>
        <w:t>日</w:t>
      </w:r>
      <w:r>
        <w:rPr>
          <w:rFonts w:hint="eastAsia" w:ascii="仿宋" w:hAnsi="仿宋" w:eastAsia="仿宋" w:cs="仿宋"/>
          <w:color w:val="auto"/>
          <w:spacing w:val="0"/>
          <w:w w:val="100"/>
          <w:position w:val="0"/>
          <w:sz w:val="24"/>
          <w:szCs w:val="24"/>
          <w:highlight w:val="none"/>
          <w:u w:val="single"/>
          <w:lang w:val="en-US" w:eastAsia="zh-CN"/>
        </w:rPr>
        <w:t>0:00</w:t>
      </w:r>
      <w:r>
        <w:rPr>
          <w:rFonts w:hint="eastAsia" w:ascii="仿宋" w:hAnsi="仿宋" w:eastAsia="仿宋" w:cs="仿宋"/>
          <w:color w:val="auto"/>
          <w:spacing w:val="0"/>
          <w:w w:val="100"/>
          <w:position w:val="0"/>
          <w:sz w:val="24"/>
          <w:szCs w:val="24"/>
          <w:highlight w:val="none"/>
          <w:lang w:eastAsia="zh-CN"/>
        </w:rPr>
        <w:t>至</w:t>
      </w:r>
      <w:r>
        <w:rPr>
          <w:rFonts w:hint="eastAsia" w:ascii="仿宋" w:hAnsi="仿宋" w:eastAsia="仿宋" w:cs="仿宋"/>
          <w:color w:val="auto"/>
          <w:spacing w:val="0"/>
          <w:w w:val="100"/>
          <w:position w:val="0"/>
          <w:sz w:val="24"/>
          <w:szCs w:val="24"/>
          <w:highlight w:val="none"/>
          <w:u w:val="single"/>
          <w:lang w:val="en-US" w:eastAsia="zh-CN"/>
        </w:rPr>
        <w:t>2026</w:t>
      </w:r>
      <w:r>
        <w:rPr>
          <w:rFonts w:hint="eastAsia" w:ascii="仿宋" w:hAnsi="仿宋" w:eastAsia="仿宋" w:cs="仿宋"/>
          <w:color w:val="auto"/>
          <w:spacing w:val="0"/>
          <w:w w:val="100"/>
          <w:position w:val="0"/>
          <w:sz w:val="24"/>
          <w:szCs w:val="24"/>
          <w:highlight w:val="none"/>
          <w:lang w:eastAsia="zh-CN"/>
        </w:rPr>
        <w:t>年</w:t>
      </w:r>
      <w:r>
        <w:rPr>
          <w:rFonts w:hint="eastAsia" w:ascii="仿宋" w:hAnsi="仿宋" w:eastAsia="仿宋" w:cs="仿宋"/>
          <w:color w:val="auto"/>
          <w:spacing w:val="0"/>
          <w:w w:val="100"/>
          <w:position w:val="0"/>
          <w:sz w:val="24"/>
          <w:szCs w:val="24"/>
          <w:highlight w:val="none"/>
          <w:u w:val="single"/>
          <w:lang w:val="en-US" w:eastAsia="zh-CN"/>
        </w:rPr>
        <w:t>07</w:t>
      </w:r>
      <w:r>
        <w:rPr>
          <w:rFonts w:hint="eastAsia" w:ascii="仿宋" w:hAnsi="仿宋" w:eastAsia="仿宋" w:cs="仿宋"/>
          <w:color w:val="auto"/>
          <w:spacing w:val="0"/>
          <w:w w:val="100"/>
          <w:position w:val="0"/>
          <w:sz w:val="24"/>
          <w:szCs w:val="24"/>
          <w:highlight w:val="none"/>
          <w:lang w:eastAsia="zh-CN"/>
        </w:rPr>
        <w:t>月</w:t>
      </w:r>
      <w:r>
        <w:rPr>
          <w:rFonts w:hint="eastAsia" w:ascii="仿宋" w:hAnsi="仿宋" w:eastAsia="仿宋" w:cs="仿宋"/>
          <w:color w:val="auto"/>
          <w:spacing w:val="0"/>
          <w:w w:val="100"/>
          <w:position w:val="0"/>
          <w:sz w:val="24"/>
          <w:szCs w:val="24"/>
          <w:highlight w:val="none"/>
          <w:u w:val="single"/>
          <w:lang w:val="en-US" w:eastAsia="zh-CN"/>
        </w:rPr>
        <w:t>24</w:t>
      </w:r>
      <w:r>
        <w:rPr>
          <w:rFonts w:hint="eastAsia" w:ascii="仿宋" w:hAnsi="仿宋" w:eastAsia="仿宋" w:cs="仿宋"/>
          <w:color w:val="auto"/>
          <w:spacing w:val="0"/>
          <w:w w:val="100"/>
          <w:position w:val="0"/>
          <w:sz w:val="24"/>
          <w:szCs w:val="24"/>
          <w:highlight w:val="none"/>
          <w:lang w:eastAsia="zh-CN"/>
        </w:rPr>
        <w:t>日</w:t>
      </w:r>
      <w:r>
        <w:rPr>
          <w:rFonts w:hint="eastAsia" w:ascii="仿宋" w:hAnsi="仿宋" w:eastAsia="仿宋" w:cs="仿宋"/>
          <w:color w:val="auto"/>
          <w:spacing w:val="0"/>
          <w:w w:val="100"/>
          <w:position w:val="0"/>
          <w:sz w:val="24"/>
          <w:szCs w:val="24"/>
          <w:highlight w:val="none"/>
          <w:u w:val="single"/>
          <w:lang w:val="en-US" w:eastAsia="zh-CN"/>
        </w:rPr>
        <w:t>0:00</w:t>
      </w:r>
      <w:r>
        <w:rPr>
          <w:rFonts w:hint="eastAsia" w:ascii="仿宋" w:hAnsi="仿宋" w:eastAsia="仿宋" w:cs="仿宋"/>
          <w:color w:val="auto"/>
          <w:spacing w:val="0"/>
          <w:w w:val="100"/>
          <w:position w:val="0"/>
          <w:sz w:val="24"/>
          <w:szCs w:val="24"/>
          <w:highlight w:val="none"/>
          <w:lang w:eastAsia="zh-CN"/>
        </w:rPr>
        <w:t>（北京时间，法定节假日除外）</w:t>
      </w:r>
    </w:p>
    <w:p w14:paraId="29685CD5">
      <w:pPr>
        <w:keepNext w:val="0"/>
        <w:keepLines w:val="0"/>
        <w:pageBreakBefore w:val="0"/>
        <w:widowControl w:val="0"/>
        <w:shd w:val="clear"/>
        <w:wordWrap/>
        <w:overflowPunct/>
        <w:topLinePunct w:val="0"/>
        <w:bidi w:val="0"/>
        <w:spacing w:before="182" w:line="360" w:lineRule="auto"/>
        <w:outlineLvl w:val="9"/>
        <w:rPr>
          <w:rFonts w:hint="eastAsia" w:ascii="仿宋" w:hAnsi="仿宋" w:eastAsia="仿宋" w:cs="仿宋"/>
          <w:color w:val="auto"/>
          <w:spacing w:val="0"/>
          <w:w w:val="100"/>
          <w:position w:val="0"/>
          <w:sz w:val="24"/>
          <w:szCs w:val="24"/>
          <w:highlight w:val="none"/>
        </w:rPr>
      </w:pPr>
      <w:r>
        <w:rPr>
          <w:rFonts w:hint="eastAsia" w:ascii="仿宋" w:hAnsi="仿宋" w:eastAsia="仿宋" w:cs="仿宋"/>
          <w:color w:val="auto"/>
          <w:spacing w:val="0"/>
          <w:w w:val="100"/>
          <w:position w:val="0"/>
          <w:sz w:val="24"/>
          <w:szCs w:val="24"/>
          <w:highlight w:val="none"/>
        </w:rPr>
        <w:t>地点：江西省公共资源交易</w:t>
      </w:r>
      <w:r>
        <w:rPr>
          <w:rFonts w:hint="eastAsia" w:ascii="仿宋" w:hAnsi="仿宋" w:eastAsia="仿宋" w:cs="仿宋"/>
          <w:color w:val="auto"/>
          <w:spacing w:val="0"/>
          <w:w w:val="100"/>
          <w:position w:val="0"/>
          <w:sz w:val="24"/>
          <w:szCs w:val="24"/>
          <w:highlight w:val="none"/>
          <w:lang w:val="en-US" w:eastAsia="zh-CN"/>
        </w:rPr>
        <w:t>平台</w:t>
      </w:r>
      <w:r>
        <w:rPr>
          <w:rFonts w:hint="eastAsia" w:ascii="仿宋" w:hAnsi="仿宋" w:eastAsia="仿宋" w:cs="仿宋"/>
          <w:color w:val="auto"/>
          <w:spacing w:val="0"/>
          <w:w w:val="100"/>
          <w:position w:val="0"/>
          <w:sz w:val="24"/>
          <w:szCs w:val="24"/>
          <w:highlight w:val="none"/>
        </w:rPr>
        <w:t>（网址：</w:t>
      </w:r>
      <w:r>
        <w:rPr>
          <w:rFonts w:hint="eastAsia" w:ascii="仿宋" w:hAnsi="仿宋" w:eastAsia="仿宋" w:cs="仿宋"/>
          <w:color w:val="auto"/>
          <w:spacing w:val="0"/>
          <w:w w:val="100"/>
          <w:position w:val="0"/>
          <w:sz w:val="24"/>
          <w:szCs w:val="24"/>
          <w:highlight w:val="none"/>
          <w:u w:val="single"/>
          <w:lang w:val="en-US" w:eastAsia="zh-CN"/>
        </w:rPr>
        <w:t>https://www.jxsggzy.cn</w:t>
      </w:r>
      <w:r>
        <w:rPr>
          <w:rFonts w:hint="eastAsia" w:ascii="仿宋" w:hAnsi="仿宋" w:eastAsia="仿宋" w:cs="仿宋"/>
          <w:color w:val="auto"/>
          <w:spacing w:val="0"/>
          <w:w w:val="100"/>
          <w:position w:val="0"/>
          <w:sz w:val="24"/>
          <w:szCs w:val="24"/>
          <w:highlight w:val="none"/>
        </w:rPr>
        <w:t>）</w:t>
      </w:r>
    </w:p>
    <w:p w14:paraId="02C6C014">
      <w:pPr>
        <w:keepNext w:val="0"/>
        <w:keepLines w:val="0"/>
        <w:pageBreakBefore w:val="0"/>
        <w:widowControl w:val="0"/>
        <w:shd w:val="clear"/>
        <w:wordWrap/>
        <w:overflowPunct/>
        <w:topLinePunct w:val="0"/>
        <w:bidi w:val="0"/>
        <w:spacing w:before="48" w:line="360" w:lineRule="auto"/>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rPr>
        <w:t>方式：网上确认和下载招标文件。（详见其他补充事宜）</w:t>
      </w:r>
    </w:p>
    <w:p w14:paraId="57C22C61">
      <w:pPr>
        <w:keepNext w:val="0"/>
        <w:keepLines w:val="0"/>
        <w:pageBreakBefore w:val="0"/>
        <w:widowControl w:val="0"/>
        <w:shd w:val="clear"/>
        <w:wordWrap/>
        <w:overflowPunct/>
        <w:topLinePunct w:val="0"/>
        <w:bidi w:val="0"/>
        <w:spacing w:before="180" w:line="219" w:lineRule="auto"/>
        <w:outlineLvl w:val="9"/>
        <w:rPr>
          <w:rFonts w:hint="eastAsia" w:ascii="仿宋" w:hAnsi="仿宋" w:eastAsia="仿宋" w:cs="仿宋"/>
          <w:color w:val="auto"/>
          <w:spacing w:val="0"/>
          <w:w w:val="100"/>
          <w:position w:val="0"/>
          <w:sz w:val="24"/>
          <w:szCs w:val="24"/>
          <w:highlight w:val="none"/>
          <w:lang w:eastAsia="zh-CN"/>
        </w:rPr>
      </w:pPr>
      <w:bookmarkStart w:id="6" w:name="_Toc9636"/>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四、提交投标文件截止时间、开标时间和地点</w:t>
      </w:r>
      <w:bookmarkEnd w:id="6"/>
    </w:p>
    <w:p w14:paraId="34A95A0F">
      <w:pPr>
        <w:keepNext w:val="0"/>
        <w:keepLines w:val="0"/>
        <w:pageBreakBefore w:val="0"/>
        <w:widowControl w:val="0"/>
        <w:shd w:val="clear"/>
        <w:kinsoku w:val="0"/>
        <w:wordWrap/>
        <w:overflowPunct/>
        <w:topLinePunct w:val="0"/>
        <w:autoSpaceDE w:val="0"/>
        <w:autoSpaceDN w:val="0"/>
        <w:bidi w:val="0"/>
        <w:adjustRightInd w:val="0"/>
        <w:snapToGrid w:val="0"/>
        <w:spacing w:before="182"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kern w:val="0"/>
          <w:position w:val="0"/>
          <w:sz w:val="24"/>
          <w:szCs w:val="24"/>
          <w:highlight w:val="none"/>
          <w:u w:val="single"/>
          <w:lang w:val="en-US" w:eastAsia="zh-CN"/>
        </w:rPr>
        <w:t>2026</w:t>
      </w:r>
      <w:r>
        <w:rPr>
          <w:rFonts w:hint="eastAsia" w:ascii="仿宋" w:hAnsi="仿宋" w:eastAsia="仿宋" w:cs="仿宋"/>
          <w:color w:val="auto"/>
          <w:spacing w:val="0"/>
          <w:w w:val="100"/>
          <w:kern w:val="0"/>
          <w:position w:val="0"/>
          <w:sz w:val="24"/>
          <w:szCs w:val="24"/>
          <w:highlight w:val="none"/>
        </w:rPr>
        <w:t>年</w:t>
      </w:r>
      <w:r>
        <w:rPr>
          <w:rFonts w:hint="eastAsia" w:ascii="仿宋" w:hAnsi="仿宋" w:eastAsia="仿宋" w:cs="仿宋"/>
          <w:color w:val="auto"/>
          <w:spacing w:val="0"/>
          <w:w w:val="100"/>
          <w:kern w:val="0"/>
          <w:position w:val="0"/>
          <w:sz w:val="24"/>
          <w:szCs w:val="24"/>
          <w:highlight w:val="none"/>
          <w:u w:val="single"/>
          <w:lang w:val="en-US" w:eastAsia="zh-CN"/>
        </w:rPr>
        <w:t>07</w:t>
      </w:r>
      <w:r>
        <w:rPr>
          <w:rFonts w:hint="eastAsia" w:ascii="仿宋" w:hAnsi="仿宋" w:eastAsia="仿宋" w:cs="仿宋"/>
          <w:color w:val="auto"/>
          <w:spacing w:val="0"/>
          <w:w w:val="100"/>
          <w:kern w:val="0"/>
          <w:position w:val="0"/>
          <w:sz w:val="24"/>
          <w:szCs w:val="24"/>
          <w:highlight w:val="none"/>
        </w:rPr>
        <w:t>月</w:t>
      </w:r>
      <w:r>
        <w:rPr>
          <w:rFonts w:hint="eastAsia" w:ascii="仿宋" w:hAnsi="仿宋" w:eastAsia="仿宋" w:cs="仿宋"/>
          <w:color w:val="auto"/>
          <w:spacing w:val="0"/>
          <w:w w:val="100"/>
          <w:kern w:val="0"/>
          <w:position w:val="0"/>
          <w:sz w:val="24"/>
          <w:szCs w:val="24"/>
          <w:highlight w:val="none"/>
          <w:u w:val="single"/>
          <w:lang w:val="en-US" w:eastAsia="zh-CN"/>
        </w:rPr>
        <w:t>24</w:t>
      </w:r>
      <w:r>
        <w:rPr>
          <w:rFonts w:hint="eastAsia" w:ascii="仿宋" w:hAnsi="仿宋" w:eastAsia="仿宋" w:cs="仿宋"/>
          <w:color w:val="auto"/>
          <w:spacing w:val="0"/>
          <w:w w:val="100"/>
          <w:kern w:val="0"/>
          <w:position w:val="0"/>
          <w:sz w:val="24"/>
          <w:szCs w:val="24"/>
          <w:highlight w:val="none"/>
        </w:rPr>
        <w:t>日</w:t>
      </w:r>
      <w:r>
        <w:rPr>
          <w:rFonts w:hint="eastAsia" w:ascii="仿宋" w:hAnsi="仿宋" w:eastAsia="仿宋" w:cs="仿宋"/>
          <w:color w:val="auto"/>
          <w:spacing w:val="0"/>
          <w:w w:val="100"/>
          <w:kern w:val="0"/>
          <w:position w:val="0"/>
          <w:sz w:val="24"/>
          <w:szCs w:val="24"/>
          <w:highlight w:val="none"/>
          <w:u w:val="single"/>
          <w:lang w:val="en-US" w:eastAsia="zh-CN"/>
        </w:rPr>
        <w:t>09</w:t>
      </w:r>
      <w:r>
        <w:rPr>
          <w:rFonts w:hint="eastAsia" w:ascii="仿宋" w:hAnsi="仿宋" w:eastAsia="仿宋" w:cs="仿宋"/>
          <w:color w:val="auto"/>
          <w:spacing w:val="0"/>
          <w:w w:val="100"/>
          <w:kern w:val="0"/>
          <w:position w:val="0"/>
          <w:sz w:val="24"/>
          <w:szCs w:val="24"/>
          <w:highlight w:val="none"/>
        </w:rPr>
        <w:t>点</w:t>
      </w:r>
      <w:r>
        <w:rPr>
          <w:rFonts w:hint="eastAsia" w:ascii="仿宋" w:hAnsi="仿宋" w:eastAsia="仿宋" w:cs="仿宋"/>
          <w:color w:val="auto"/>
          <w:spacing w:val="0"/>
          <w:w w:val="100"/>
          <w:kern w:val="0"/>
          <w:position w:val="0"/>
          <w:sz w:val="24"/>
          <w:szCs w:val="24"/>
          <w:highlight w:val="none"/>
          <w:u w:val="single"/>
          <w:lang w:val="en-US" w:eastAsia="zh-CN"/>
        </w:rPr>
        <w:t>00</w:t>
      </w:r>
      <w:r>
        <w:rPr>
          <w:rFonts w:hint="eastAsia" w:ascii="仿宋" w:hAnsi="仿宋" w:eastAsia="仿宋" w:cs="仿宋"/>
          <w:color w:val="auto"/>
          <w:spacing w:val="0"/>
          <w:w w:val="100"/>
          <w:kern w:val="0"/>
          <w:position w:val="0"/>
          <w:sz w:val="24"/>
          <w:szCs w:val="24"/>
          <w:highlight w:val="none"/>
        </w:rPr>
        <w:t>分</w:t>
      </w:r>
      <w:r>
        <w:rPr>
          <w:rFonts w:hint="eastAsia" w:ascii="仿宋" w:hAnsi="仿宋" w:eastAsia="仿宋" w:cs="仿宋"/>
          <w:color w:val="auto"/>
          <w:spacing w:val="0"/>
          <w:w w:val="100"/>
          <w:position w:val="0"/>
          <w:sz w:val="24"/>
          <w:szCs w:val="24"/>
          <w:highlight w:val="none"/>
          <w:lang w:eastAsia="zh-CN"/>
        </w:rPr>
        <w:t>（北京时间）</w:t>
      </w:r>
    </w:p>
    <w:p w14:paraId="6EEE3C69">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rPr>
        <w:t>地点：</w:t>
      </w:r>
      <w:r>
        <w:rPr>
          <w:rFonts w:hint="eastAsia" w:ascii="仿宋" w:hAnsi="仿宋" w:eastAsia="仿宋" w:cs="仿宋"/>
          <w:color w:val="auto"/>
          <w:spacing w:val="0"/>
          <w:w w:val="100"/>
          <w:position w:val="0"/>
          <w:sz w:val="24"/>
          <w:szCs w:val="24"/>
          <w:highlight w:val="none"/>
          <w:u w:val="single"/>
          <w:lang w:val="en-US" w:eastAsia="zh-CN"/>
        </w:rPr>
        <w:t>江西省公共资源交易网-不见面开标大厅</w:t>
      </w:r>
    </w:p>
    <w:p w14:paraId="682365A5">
      <w:pPr>
        <w:keepNext w:val="0"/>
        <w:keepLines w:val="0"/>
        <w:pageBreakBefore w:val="0"/>
        <w:widowControl w:val="0"/>
        <w:numPr>
          <w:ilvl w:val="0"/>
          <w:numId w:val="0"/>
        </w:numPr>
        <w:shd w:val="clear"/>
        <w:wordWrap/>
        <w:overflowPunct/>
        <w:topLinePunct w:val="0"/>
        <w:bidi w:val="0"/>
        <w:spacing w:before="177" w:line="218" w:lineRule="auto"/>
        <w:ind w:left="4" w:leftChars="0"/>
        <w:outlineLvl w:val="9"/>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7" w:name="_Toc14557"/>
      <w:r>
        <w:rPr>
          <w:rFonts w:hint="eastAsia" w:ascii="仿宋" w:hAnsi="仿宋" w:eastAsia="仿宋" w:cs="仿宋"/>
          <w:snapToGrid w:val="0"/>
          <w:color w:val="auto"/>
          <w:spacing w:val="0"/>
          <w:w w:val="100"/>
          <w:position w:val="0"/>
          <w:sz w:val="24"/>
          <w:szCs w:val="24"/>
          <w:highlight w:val="none"/>
          <w:lang w:val="en-US" w:eastAsia="zh-CN" w:bidi="ar-SA"/>
          <w14:textOutline w14:w="4356" w14:cap="sq" w14:cmpd="sng" w14:algn="ctr">
            <w14:solidFill>
              <w14:srgbClr w14:val="000000"/>
            </w14:solidFill>
            <w14:prstDash w14:val="solid"/>
            <w14:bevel/>
          </w14:textOutline>
        </w:rPr>
        <w:t>五、</w:t>
      </w:r>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公告期限</w:t>
      </w:r>
      <w:bookmarkEnd w:id="7"/>
    </w:p>
    <w:p w14:paraId="7DF88306">
      <w:pPr>
        <w:keepNext w:val="0"/>
        <w:keepLines w:val="0"/>
        <w:pageBreakBefore w:val="0"/>
        <w:widowControl w:val="0"/>
        <w:shd w:val="clear"/>
        <w:kinsoku w:val="0"/>
        <w:wordWrap/>
        <w:overflowPunct/>
        <w:topLinePunct w:val="0"/>
        <w:autoSpaceDE w:val="0"/>
        <w:autoSpaceDN w:val="0"/>
        <w:bidi w:val="0"/>
        <w:adjustRightInd w:val="0"/>
        <w:snapToGrid w:val="0"/>
        <w:spacing w:before="182"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rPr>
        <w:t>自本公告发布之日起5个工作日。</w:t>
      </w:r>
      <w:bookmarkStart w:id="8" w:name="bookmark5"/>
      <w:bookmarkEnd w:id="8"/>
      <w:bookmarkStart w:id="9" w:name="bookmark6"/>
      <w:bookmarkEnd w:id="9"/>
      <w:bookmarkStart w:id="10" w:name="bookmark7"/>
      <w:bookmarkEnd w:id="10"/>
    </w:p>
    <w:p w14:paraId="75AD88B7">
      <w:pPr>
        <w:keepNext w:val="0"/>
        <w:keepLines w:val="0"/>
        <w:pageBreakBefore w:val="0"/>
        <w:widowControl w:val="0"/>
        <w:shd w:val="clear"/>
        <w:kinsoku w:val="0"/>
        <w:wordWrap/>
        <w:overflowPunct/>
        <w:topLinePunct w:val="0"/>
        <w:autoSpaceDE w:val="0"/>
        <w:autoSpaceDN w:val="0"/>
        <w:bidi w:val="0"/>
        <w:adjustRightInd w:val="0"/>
        <w:snapToGrid w:val="0"/>
        <w:spacing w:before="182"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六、其他补充事宜</w:t>
      </w:r>
    </w:p>
    <w:p w14:paraId="6E71C07D">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1.潜在投标人必须在江西省公共资源交易平台（网址：https://www.jxsggzy.cn） 注册并办理江西省 CA 数字证书和电子签章。具体要求详见“江西省公共资源交易平台-服务指南-投标单位”（网址：https://www.jxsggzy.cn）。潜在投标人未使用本单位 CA 数字证书在江西省公共资源交易平台下载招标文件的，视为未获取招标文件，不得参加本项目的投标活动；</w:t>
      </w:r>
    </w:p>
    <w:p w14:paraId="68F8D298">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2.本项目采用“不见面开标 ”系统开标，投标人无需到达开标现场，投标人应在投标截止时间前1小时内进入江西省公共资源交易平台-不见面开标大厅（具体操作详见《江西省公共资源交易中心不见面开标系统投标人操作手册（政府采购）》（网址：https://www.jxsggzy.cn）。注意事项详见招标文件第二章；投标人应仔细阅读有关不见面开标的内容，如有疑问请联系新点工作人员，联系电话：0512-58188507；</w:t>
      </w:r>
    </w:p>
    <w:p w14:paraId="734536F0">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3.本项目采购国内产品，不允许提供进口产品参与采购活动；</w:t>
      </w:r>
    </w:p>
    <w:p w14:paraId="77AACB89">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4.本项目需要落实的政府采购政策：节约能源，保护环境，促进中小企业发展，支持监狱、戒毒企业发展，促进残疾人就业等政府采购政策（不适用者除外）。</w:t>
      </w:r>
    </w:p>
    <w:p w14:paraId="3A6031E3">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5.本项目是否采用远程异地评标：否</w:t>
      </w:r>
    </w:p>
    <w:p w14:paraId="6DAD846D">
      <w:pPr>
        <w:keepNext w:val="0"/>
        <w:keepLines w:val="0"/>
        <w:pageBreakBefore w:val="0"/>
        <w:widowControl w:val="0"/>
        <w:shd w:val="clear"/>
        <w:wordWrap/>
        <w:overflowPunct/>
        <w:topLinePunct w:val="0"/>
        <w:bidi w:val="0"/>
        <w:spacing w:before="78" w:line="360" w:lineRule="auto"/>
        <w:outlineLvl w:val="9"/>
        <w:rPr>
          <w:rFonts w:hint="eastAsia" w:ascii="仿宋" w:hAnsi="仿宋" w:eastAsia="仿宋" w:cs="仿宋"/>
          <w:color w:val="auto"/>
          <w:spacing w:val="0"/>
          <w:w w:val="100"/>
          <w:position w:val="0"/>
          <w:sz w:val="24"/>
          <w:szCs w:val="24"/>
          <w:highlight w:val="none"/>
          <w:lang w:eastAsia="zh-CN"/>
        </w:rPr>
      </w:pPr>
      <w:bookmarkStart w:id="11" w:name="_Toc30607"/>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七、对本次招标提出询问，请按以下方式联系</w:t>
      </w:r>
      <w:bookmarkEnd w:id="11"/>
    </w:p>
    <w:p w14:paraId="314E851B">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bookmarkStart w:id="12" w:name="bookmark9"/>
      <w:bookmarkEnd w:id="12"/>
      <w:bookmarkStart w:id="13" w:name="bookmark10"/>
      <w:bookmarkEnd w:id="13"/>
      <w:r>
        <w:rPr>
          <w:rFonts w:hint="eastAsia" w:ascii="仿宋" w:hAnsi="仿宋" w:eastAsia="仿宋" w:cs="仿宋"/>
          <w:bCs/>
          <w:snapToGrid/>
          <w:color w:val="auto"/>
          <w:kern w:val="2"/>
          <w:sz w:val="24"/>
          <w:szCs w:val="24"/>
          <w:highlight w:val="none"/>
          <w:lang w:val="en-US" w:eastAsia="zh-CN"/>
        </w:rPr>
        <w:t>1.采购人信息</w:t>
      </w:r>
    </w:p>
    <w:p w14:paraId="7A9F9F34">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 w:val="0"/>
          <w:bCs/>
          <w:snapToGrid/>
          <w:color w:val="auto"/>
          <w:kern w:val="2"/>
          <w:sz w:val="24"/>
          <w:szCs w:val="24"/>
          <w:highlight w:val="none"/>
          <w:u w:val="none"/>
          <w:lang w:val="en-US" w:eastAsia="zh-CN"/>
        </w:rPr>
      </w:pPr>
      <w:r>
        <w:rPr>
          <w:rFonts w:hint="eastAsia" w:ascii="仿宋" w:hAnsi="仿宋" w:eastAsia="仿宋" w:cs="仿宋"/>
          <w:b w:val="0"/>
          <w:bCs/>
          <w:snapToGrid/>
          <w:color w:val="auto"/>
          <w:kern w:val="2"/>
          <w:sz w:val="24"/>
          <w:szCs w:val="24"/>
          <w:highlight w:val="none"/>
          <w:u w:val="none"/>
          <w:lang w:val="en-US" w:eastAsia="zh-CN"/>
        </w:rPr>
        <w:t>名 称：吉安市妇幼保健院</w:t>
      </w:r>
    </w:p>
    <w:p w14:paraId="4A8F756A">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 址：江西省吉安市吉州区永叔街道春苗路2号（古南大道与吉祥路交叉处东侧）</w:t>
      </w:r>
    </w:p>
    <w:p w14:paraId="603C3D0A">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u w:val="none"/>
          <w:lang w:val="en-US" w:eastAsia="zh-CN"/>
        </w:rPr>
      </w:pPr>
      <w:r>
        <w:rPr>
          <w:rFonts w:hint="eastAsia" w:ascii="仿宋" w:hAnsi="仿宋" w:eastAsia="仿宋" w:cs="仿宋"/>
          <w:bCs/>
          <w:snapToGrid/>
          <w:color w:val="auto"/>
          <w:kern w:val="2"/>
          <w:sz w:val="24"/>
          <w:szCs w:val="24"/>
          <w:highlight w:val="none"/>
          <w:u w:val="none"/>
          <w:lang w:val="en-US" w:eastAsia="zh-CN"/>
        </w:rPr>
        <w:t>联系人及联系方式：万先生   15350350201</w:t>
      </w:r>
    </w:p>
    <w:p w14:paraId="71C1E98E">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2.采购代理机构信息</w:t>
      </w:r>
    </w:p>
    <w:p w14:paraId="4C1831DC">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名 称：江西省朝旭企业管理咨询有限公司</w:t>
      </w:r>
    </w:p>
    <w:p w14:paraId="6C950AD5">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 址：吉安市吉州区井冈山大道201号三楼</w:t>
      </w:r>
    </w:p>
    <w:p w14:paraId="57E6CEE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项目联系人：杨女士</w:t>
      </w:r>
    </w:p>
    <w:p w14:paraId="17622692">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电  话：0796-8831066</w:t>
      </w:r>
    </w:p>
    <w:p w14:paraId="5866F2FD">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电子函件：</w:t>
      </w:r>
      <w:r>
        <w:rPr>
          <w:rFonts w:hint="eastAsia" w:ascii="仿宋" w:hAnsi="仿宋" w:eastAsia="仿宋" w:cs="仿宋"/>
          <w:bCs/>
          <w:snapToGrid/>
          <w:color w:val="auto"/>
          <w:kern w:val="2"/>
          <w:sz w:val="24"/>
          <w:szCs w:val="24"/>
          <w:highlight w:val="none"/>
          <w:lang w:val="en-US" w:eastAsia="zh-CN"/>
        </w:rPr>
        <w:fldChar w:fldCharType="begin"/>
      </w:r>
      <w:r>
        <w:rPr>
          <w:rFonts w:hint="eastAsia" w:ascii="仿宋" w:hAnsi="仿宋" w:eastAsia="仿宋" w:cs="仿宋"/>
          <w:bCs/>
          <w:snapToGrid/>
          <w:color w:val="auto"/>
          <w:kern w:val="2"/>
          <w:sz w:val="24"/>
          <w:szCs w:val="24"/>
          <w:highlight w:val="none"/>
          <w:lang w:val="en-US" w:eastAsia="zh-CN"/>
        </w:rPr>
        <w:instrText xml:space="preserve"> HYPERLINK "mailto:jxzxqy2019@163.com" </w:instrText>
      </w:r>
      <w:r>
        <w:rPr>
          <w:rFonts w:hint="eastAsia" w:ascii="仿宋" w:hAnsi="仿宋" w:eastAsia="仿宋" w:cs="仿宋"/>
          <w:bCs/>
          <w:snapToGrid/>
          <w:color w:val="auto"/>
          <w:kern w:val="2"/>
          <w:sz w:val="24"/>
          <w:szCs w:val="24"/>
          <w:highlight w:val="none"/>
          <w:lang w:val="en-US" w:eastAsia="zh-CN"/>
        </w:rPr>
        <w:fldChar w:fldCharType="separate"/>
      </w:r>
      <w:r>
        <w:rPr>
          <w:rFonts w:hint="eastAsia" w:ascii="仿宋" w:hAnsi="仿宋" w:eastAsia="仿宋" w:cs="仿宋"/>
          <w:bCs/>
          <w:snapToGrid/>
          <w:color w:val="auto"/>
          <w:kern w:val="2"/>
          <w:sz w:val="24"/>
          <w:szCs w:val="24"/>
          <w:highlight w:val="none"/>
          <w:lang w:val="en-US" w:eastAsia="zh-CN"/>
        </w:rPr>
        <w:t>jxzxqy2019@163.com</w:t>
      </w:r>
      <w:r>
        <w:rPr>
          <w:rFonts w:hint="eastAsia" w:ascii="仿宋" w:hAnsi="仿宋" w:eastAsia="仿宋" w:cs="仿宋"/>
          <w:bCs/>
          <w:snapToGrid/>
          <w:color w:val="auto"/>
          <w:kern w:val="2"/>
          <w:sz w:val="24"/>
          <w:szCs w:val="24"/>
          <w:highlight w:val="none"/>
          <w:lang w:val="en-US" w:eastAsia="zh-CN"/>
        </w:rPr>
        <w:fldChar w:fldCharType="end"/>
      </w:r>
    </w:p>
    <w:p w14:paraId="2D1EF03E"/>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39FAB">
    <w:pPr>
      <w:spacing w:line="173" w:lineRule="auto"/>
      <w:ind w:left="5140"/>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A82B00">
                          <w:pPr>
                            <w:pStyle w:val="2"/>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69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JoMpEzAgAAYwQAAA4AAAAAAAAAAQAgAAAAHwEAAGRycy9lMm9Eb2MueG1sUEsF&#10;BgAAAAAGAAYAWQEAAMQFAAAAAA==&#10;">
              <v:fill on="f" focussize="0,0"/>
              <v:stroke on="f" weight="0.5pt"/>
              <v:imagedata o:title=""/>
              <o:lock v:ext="edit" aspectratio="f"/>
              <v:textbox inset="0mm,0mm,0mm,0mm" style="mso-fit-shape-to-text:t;">
                <w:txbxContent>
                  <w:p w14:paraId="4DA82B00">
                    <w:pPr>
                      <w:pStyle w:val="2"/>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69</w:t>
                    </w:r>
                    <w:r>
                      <w:fldChar w:fldCharType="end"/>
                    </w:r>
                    <w: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9A3252"/>
    <w:rsid w:val="30A91F61"/>
    <w:rsid w:val="629A32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5</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2026-07-02T09:23:00Z</dcterms:created>
  <dc:creator>Administrator</dc:creator>
  <cp:lastModifiedBy>Administrator</cp:lastModifiedBy>
  <dcterms:modified xsi:type="dcterms:W3CDTF">2026-07-02T09:29:35Z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D63C7FD363CA48149321AA9E60CC9E62_11</vt:lpwstr>
  </property>
  <property fmtid="{D5CDD505-2E9C-101B-9397-08002B2CF9AE}" pid="4" name="KSOTemplateDocerSaveRecord">
    <vt:lpwstr>eyJoZGlkIjoiNjBhN2EyNjhjMDVmYmIzNWE3NTJmZjQwNTg3ZDk0ZDEiLCJ1c2VySWQiOiI4MTU1MDMxNzMifQ==</vt:lpwstr>
  </property>
</Properties>
</file>