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>
        <w:widowControl w:val="0"/>
        <w:spacing w:before="78" w:line="220" w:lineRule="auto"/>
        <w:jc w:val="both"/>
        <w:outlineLvl w:val="1"/>
        <w:rPr>
          <w:rFonts w:ascii="宋体" w:eastAsia="宋体" w:hAnsi="宋体" w:cs="宋体"/>
          <w:color w:val="auto"/>
          <w:spacing w:val="-2"/>
          <w:sz w:val="24"/>
          <w:szCs w:val="24"/>
          <w:lang w:eastAsia="zh-CN"/>
        </w:rPr>
      </w:pPr>
      <w:bookmarkStart w:id="0" w:name="_Toc231224446"/>
      <w:r>
        <w:rPr>
          <w:rFonts w:ascii="宋体" w:eastAsia="宋体" w:hAnsi="宋体" w:cs="宋体"/>
          <w:color w:val="auto"/>
          <w:spacing w:val="-2"/>
          <w:sz w:val="24"/>
          <w:szCs w:val="24"/>
          <w:lang w:eastAsia="zh-CN"/>
        </w:rPr>
        <w:t>一、</w:t>
      </w:r>
      <w:r>
        <w:rPr>
          <w:rFonts w:ascii="宋体" w:eastAsia="宋体" w:hAnsi="宋体" w:cs="宋体" w:hint="eastAsia"/>
          <w:color w:val="auto"/>
          <w:spacing w:val="-2"/>
          <w:sz w:val="24"/>
          <w:szCs w:val="24"/>
          <w:lang w:eastAsia="zh-CN"/>
        </w:rPr>
        <w:t>采购</w:t>
      </w:r>
      <w:r>
        <w:rPr>
          <w:rFonts w:ascii="宋体" w:eastAsia="宋体" w:hAnsi="宋体" w:cs="宋体"/>
          <w:color w:val="auto"/>
          <w:spacing w:val="-2"/>
          <w:sz w:val="24"/>
          <w:szCs w:val="24"/>
          <w:lang w:eastAsia="zh-CN"/>
        </w:rPr>
        <w:t>需求表</w:t>
      </w:r>
      <w:bookmarkEnd w:id="0"/>
    </w:p>
    <w:tbl>
      <w:tblPr>
        <w:tblpPr w:leftFromText="180" w:rightFromText="180" w:vertAnchor="text" w:horzAnchor="page" w:tblpX="1153" w:tblpY="299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79"/>
        <w:gridCol w:w="1879"/>
        <w:gridCol w:w="1879"/>
        <w:gridCol w:w="1701"/>
        <w:gridCol w:w="2693"/>
      </w:tblGrid>
      <w:tr>
        <w:trPr>
          <w:trHeight w:val="537"/>
        </w:trPr>
        <w:tc>
          <w:tcPr>
            <w:tcW w:w="1879" w:type="dxa"/>
            <w:vAlign w:val="center"/>
          </w:tcPr>
          <w:p>
            <w:pPr>
              <w:spacing w:line="360" w:lineRule="exact"/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序号</w:t>
            </w:r>
          </w:p>
        </w:tc>
        <w:tc>
          <w:tcPr>
            <w:tcW w:w="1879" w:type="dxa"/>
            <w:vAlign w:val="center"/>
          </w:tcPr>
          <w:p>
            <w:pPr>
              <w:spacing w:line="360" w:lineRule="exact"/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eastAsia="zh-CN"/>
              </w:rPr>
              <w:t>排查</w:t>
            </w:r>
            <w:r>
              <w:rPr>
                <w:rFonts w:ascii="黑体" w:eastAsia="黑体" w:hAnsi="黑体" w:cs="黑体" w:hint="eastAsia"/>
                <w:sz w:val="24"/>
                <w:szCs w:val="24"/>
              </w:rPr>
              <w:t>数量</w:t>
            </w:r>
          </w:p>
        </w:tc>
        <w:tc>
          <w:tcPr>
            <w:tcW w:w="1879" w:type="dxa"/>
            <w:vAlign w:val="center"/>
          </w:tcPr>
          <w:p>
            <w:pPr>
              <w:spacing w:line="360" w:lineRule="exact"/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单位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预估工程量</w:t>
            </w:r>
          </w:p>
        </w:tc>
        <w:tc>
          <w:tcPr>
            <w:tcW w:w="2693" w:type="dxa"/>
            <w:vAlign w:val="center"/>
          </w:tcPr>
          <w:p>
            <w:pPr>
              <w:spacing w:line="440" w:lineRule="exact"/>
              <w:jc w:val="center"/>
              <w:rPr>
                <w:rFonts w:ascii="宋体" w:eastAsia="宋体" w:hAnsi="宋体" w:cs="宋体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eastAsia="宋体" w:hAnsi="宋体" w:cs="宋体" w:hint="eastAsia"/>
                <w:b/>
                <w:color w:val="auto"/>
                <w:sz w:val="24"/>
                <w:szCs w:val="24"/>
                <w:lang w:eastAsia="zh-CN"/>
              </w:rPr>
              <w:t>预算</w:t>
            </w:r>
            <w:r>
              <w:rPr>
                <w:rFonts w:ascii="宋体" w:eastAsia="宋体" w:hAnsi="宋体" w:cs="宋体"/>
                <w:b/>
                <w:color w:val="auto"/>
                <w:sz w:val="24"/>
                <w:szCs w:val="24"/>
                <w:lang w:eastAsia="zh-CN"/>
              </w:rPr>
              <w:t>总金额</w:t>
            </w:r>
            <w:r>
              <w:rPr>
                <w:rFonts w:ascii="宋体" w:eastAsia="宋体" w:hAnsi="宋体" w:cs="宋体" w:hint="eastAsia"/>
                <w:b/>
                <w:color w:val="auto"/>
                <w:sz w:val="24"/>
                <w:szCs w:val="24"/>
                <w:lang w:eastAsia="zh-CN"/>
              </w:rPr>
              <w:t>（元）</w:t>
            </w:r>
          </w:p>
        </w:tc>
      </w:tr>
      <w:tr>
        <w:trPr>
          <w:trHeight w:val="537"/>
        </w:trPr>
        <w:tc>
          <w:tcPr>
            <w:tcW w:w="1879" w:type="dxa"/>
            <w:vAlign w:val="center"/>
          </w:tcPr>
          <w:p>
            <w:pPr>
              <w:spacing w:line="360" w:lineRule="exact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879" w:type="dxa"/>
            <w:vAlign w:val="center"/>
          </w:tcPr>
          <w:p>
            <w:pPr>
              <w:spacing w:line="360" w:lineRule="exact"/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sz w:val="24"/>
                <w:szCs w:val="24"/>
                <w:shd w:val="clear" w:color="auto" w:fill="FFFFFF"/>
              </w:rPr>
              <w:t>锅炉</w:t>
            </w:r>
          </w:p>
        </w:tc>
        <w:tc>
          <w:tcPr>
            <w:tcW w:w="1879" w:type="dxa"/>
            <w:vAlign w:val="center"/>
          </w:tcPr>
          <w:p>
            <w:pPr>
              <w:spacing w:line="360" w:lineRule="exact"/>
              <w:jc w:val="center"/>
              <w:rPr>
                <w:rFonts w:ascii="宋体" w:eastAsiaTheme="minorEastAsia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eastAsiaTheme="minorEastAsia" w:hAnsi="宋体" w:cs="宋体" w:hint="eastAsia"/>
                <w:sz w:val="24"/>
                <w:szCs w:val="24"/>
                <w:lang w:eastAsia="zh-CN"/>
              </w:rPr>
              <w:t>60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textAlignment w:val="center"/>
              <w:rPr>
                <w:rFonts w:ascii="宋体" w:eastAsiaTheme="minorEastAsia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eastAsiaTheme="minorEastAsia" w:hAnsi="宋体" w:cs="宋体" w:hint="eastAsia"/>
                <w:sz w:val="24"/>
                <w:szCs w:val="24"/>
                <w:lang w:eastAsia="zh-CN"/>
              </w:rPr>
              <w:t>台</w:t>
            </w:r>
          </w:p>
        </w:tc>
        <w:tc>
          <w:tcPr>
            <w:tcW w:w="2693" w:type="dxa"/>
            <w:vMerge w:val="restart"/>
            <w:vAlign w:val="center"/>
          </w:tcPr>
          <w:p>
            <w:pPr>
              <w:spacing w:line="440" w:lineRule="exact"/>
              <w:jc w:val="center"/>
              <w:rPr>
                <w:rFonts w:ascii="宋体" w:eastAsia="宋体" w:hAnsi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sz w:val="24"/>
                <w:szCs w:val="24"/>
                <w:lang w:eastAsia="zh-CN"/>
              </w:rPr>
              <w:t>838900.00元</w:t>
            </w:r>
          </w:p>
        </w:tc>
      </w:tr>
      <w:tr>
        <w:trPr>
          <w:trHeight w:val="537"/>
        </w:trPr>
        <w:tc>
          <w:tcPr>
            <w:tcW w:w="1879" w:type="dxa"/>
            <w:vAlign w:val="center"/>
          </w:tcPr>
          <w:p>
            <w:pPr>
              <w:spacing w:line="360" w:lineRule="exact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1879" w:type="dxa"/>
            <w:vAlign w:val="center"/>
          </w:tcPr>
          <w:p>
            <w:pPr>
              <w:spacing w:line="360" w:lineRule="exact"/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sz w:val="24"/>
                <w:szCs w:val="24"/>
                <w:shd w:val="clear" w:color="auto" w:fill="FFFFFF"/>
              </w:rPr>
              <w:t>压力容器</w:t>
            </w:r>
          </w:p>
        </w:tc>
        <w:tc>
          <w:tcPr>
            <w:tcW w:w="1879" w:type="dxa"/>
            <w:vAlign w:val="center"/>
          </w:tcPr>
          <w:p>
            <w:pPr>
              <w:spacing w:line="360" w:lineRule="exact"/>
              <w:jc w:val="center"/>
              <w:rPr>
                <w:rFonts w:ascii="宋体" w:eastAsiaTheme="minorEastAsia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eastAsiaTheme="minorEastAsia" w:hAnsi="宋体" w:cs="宋体" w:hint="eastAsia"/>
                <w:sz w:val="24"/>
                <w:szCs w:val="24"/>
                <w:lang w:eastAsia="zh-CN"/>
              </w:rPr>
              <w:t>1177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textAlignment w:val="center"/>
              <w:rPr>
                <w:rFonts w:ascii="宋体" w:eastAsiaTheme="minorEastAsia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eastAsiaTheme="minorEastAsia" w:hAnsi="宋体" w:cs="宋体" w:hint="eastAsia"/>
                <w:sz w:val="24"/>
                <w:szCs w:val="24"/>
                <w:lang w:eastAsia="zh-CN"/>
              </w:rPr>
              <w:t>台</w:t>
            </w:r>
          </w:p>
        </w:tc>
        <w:tc>
          <w:tcPr>
            <w:tcW w:w="2693" w:type="dxa"/>
            <w:vMerge/>
            <w:vAlign w:val="center"/>
          </w:tcPr>
          <w:p>
            <w:pPr>
              <w:spacing w:line="440" w:lineRule="exact"/>
              <w:jc w:val="center"/>
              <w:rPr>
                <w:rFonts w:ascii="宋体" w:eastAsia="宋体" w:hAnsi="宋体" w:cs="宋体"/>
                <w:color w:val="auto"/>
                <w:sz w:val="24"/>
                <w:szCs w:val="24"/>
                <w:lang w:eastAsia="zh-CN"/>
              </w:rPr>
            </w:pPr>
          </w:p>
        </w:tc>
      </w:tr>
      <w:tr>
        <w:trPr>
          <w:trHeight w:val="537"/>
        </w:trPr>
        <w:tc>
          <w:tcPr>
            <w:tcW w:w="1879" w:type="dxa"/>
            <w:vAlign w:val="center"/>
          </w:tcPr>
          <w:p>
            <w:pPr>
              <w:spacing w:line="360" w:lineRule="exact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879" w:type="dxa"/>
            <w:vAlign w:val="center"/>
          </w:tcPr>
          <w:p>
            <w:pPr>
              <w:spacing w:line="360" w:lineRule="exact"/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sz w:val="24"/>
                <w:szCs w:val="24"/>
                <w:shd w:val="clear" w:color="auto" w:fill="FFFFFF"/>
              </w:rPr>
              <w:t>电梯</w:t>
            </w:r>
          </w:p>
        </w:tc>
        <w:tc>
          <w:tcPr>
            <w:tcW w:w="1879" w:type="dxa"/>
            <w:vAlign w:val="center"/>
          </w:tcPr>
          <w:p>
            <w:pPr>
              <w:spacing w:line="360" w:lineRule="exact"/>
              <w:jc w:val="center"/>
              <w:rPr>
                <w:rFonts w:ascii="宋体" w:eastAsiaTheme="minorEastAsia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eastAsiaTheme="minorEastAsia" w:hAnsi="宋体" w:cs="宋体" w:hint="eastAsia"/>
                <w:sz w:val="24"/>
                <w:szCs w:val="24"/>
                <w:lang w:eastAsia="zh-CN"/>
              </w:rPr>
              <w:t>1930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textAlignment w:val="center"/>
              <w:rPr>
                <w:rFonts w:ascii="宋体" w:eastAsiaTheme="minorEastAsia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eastAsiaTheme="minorEastAsia" w:hAnsi="宋体" w:cs="宋体" w:hint="eastAsia"/>
                <w:sz w:val="24"/>
                <w:szCs w:val="24"/>
                <w:lang w:eastAsia="zh-CN"/>
              </w:rPr>
              <w:t>台</w:t>
            </w:r>
          </w:p>
        </w:tc>
        <w:tc>
          <w:tcPr>
            <w:tcW w:w="2693" w:type="dxa"/>
            <w:vMerge/>
            <w:vAlign w:val="center"/>
          </w:tcPr>
          <w:p>
            <w:pPr>
              <w:spacing w:line="440" w:lineRule="exact"/>
              <w:jc w:val="center"/>
              <w:rPr>
                <w:rFonts w:ascii="宋体" w:eastAsia="宋体" w:hAnsi="宋体" w:cs="宋体"/>
                <w:color w:val="auto"/>
                <w:sz w:val="24"/>
                <w:szCs w:val="24"/>
                <w:lang w:eastAsia="zh-CN"/>
              </w:rPr>
            </w:pPr>
          </w:p>
        </w:tc>
      </w:tr>
      <w:tr>
        <w:trPr>
          <w:trHeight w:val="537"/>
        </w:trPr>
        <w:tc>
          <w:tcPr>
            <w:tcW w:w="1879" w:type="dxa"/>
            <w:vAlign w:val="center"/>
          </w:tcPr>
          <w:p>
            <w:pPr>
              <w:spacing w:line="360" w:lineRule="exact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879" w:type="dxa"/>
            <w:vAlign w:val="center"/>
          </w:tcPr>
          <w:p>
            <w:pPr>
              <w:spacing w:line="360" w:lineRule="exact"/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sz w:val="24"/>
                <w:szCs w:val="24"/>
                <w:shd w:val="clear" w:color="auto" w:fill="FFFFFF"/>
              </w:rPr>
              <w:t>起重机械</w:t>
            </w:r>
          </w:p>
        </w:tc>
        <w:tc>
          <w:tcPr>
            <w:tcW w:w="1879" w:type="dxa"/>
            <w:vAlign w:val="center"/>
          </w:tcPr>
          <w:p>
            <w:pPr>
              <w:spacing w:line="360" w:lineRule="exact"/>
              <w:jc w:val="center"/>
              <w:rPr>
                <w:rFonts w:ascii="宋体" w:eastAsiaTheme="minorEastAsia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eastAsiaTheme="minorEastAsia" w:hAnsi="宋体" w:cs="宋体" w:hint="eastAsia"/>
                <w:sz w:val="24"/>
                <w:szCs w:val="24"/>
                <w:lang w:eastAsia="zh-CN"/>
              </w:rPr>
              <w:t>303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textAlignment w:val="center"/>
              <w:rPr>
                <w:rFonts w:ascii="宋体" w:eastAsiaTheme="minorEastAsia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eastAsiaTheme="minorEastAsia" w:hAnsi="宋体" w:cs="宋体" w:hint="eastAsia"/>
                <w:sz w:val="24"/>
                <w:szCs w:val="24"/>
                <w:lang w:eastAsia="zh-CN"/>
              </w:rPr>
              <w:t>台</w:t>
            </w:r>
          </w:p>
        </w:tc>
        <w:tc>
          <w:tcPr>
            <w:tcW w:w="2693" w:type="dxa"/>
            <w:vMerge/>
            <w:vAlign w:val="center"/>
          </w:tcPr>
          <w:p>
            <w:pPr>
              <w:spacing w:line="440" w:lineRule="exact"/>
              <w:jc w:val="center"/>
              <w:rPr>
                <w:rFonts w:ascii="宋体" w:eastAsia="宋体" w:hAnsi="宋体" w:cs="宋体"/>
                <w:color w:val="auto"/>
                <w:sz w:val="24"/>
                <w:szCs w:val="24"/>
                <w:lang w:eastAsia="zh-CN"/>
              </w:rPr>
            </w:pPr>
          </w:p>
        </w:tc>
      </w:tr>
      <w:tr>
        <w:trPr>
          <w:trHeight w:val="537"/>
        </w:trPr>
        <w:tc>
          <w:tcPr>
            <w:tcW w:w="1879" w:type="dxa"/>
            <w:vAlign w:val="center"/>
          </w:tcPr>
          <w:p>
            <w:pPr>
              <w:spacing w:line="360" w:lineRule="exact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5</w:t>
            </w:r>
          </w:p>
        </w:tc>
        <w:tc>
          <w:tcPr>
            <w:tcW w:w="1879" w:type="dxa"/>
            <w:vAlign w:val="center"/>
          </w:tcPr>
          <w:p>
            <w:pPr>
              <w:spacing w:line="360" w:lineRule="exact"/>
              <w:jc w:val="center"/>
              <w:textAlignment w:val="center"/>
              <w:rPr>
                <w:rFonts w:ascii="宋体" w:hAnsi="宋体" w:cs="宋体"/>
                <w:sz w:val="24"/>
                <w:szCs w:val="24"/>
                <w:lang w:eastAsia="zh-CN"/>
              </w:rPr>
            </w:pPr>
            <w:r>
              <w:rPr>
                <w:sz w:val="24"/>
                <w:szCs w:val="24"/>
                <w:shd w:val="clear" w:color="auto" w:fill="FFFFFF"/>
              </w:rPr>
              <w:t>场内专用机动车辆</w:t>
            </w:r>
          </w:p>
        </w:tc>
        <w:tc>
          <w:tcPr>
            <w:tcW w:w="1879" w:type="dxa"/>
            <w:vAlign w:val="center"/>
          </w:tcPr>
          <w:p>
            <w:pPr>
              <w:spacing w:line="360" w:lineRule="exact"/>
              <w:jc w:val="center"/>
              <w:rPr>
                <w:rFonts w:ascii="宋体" w:eastAsiaTheme="minorEastAsia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eastAsiaTheme="minorEastAsia" w:hAnsi="宋体" w:cs="宋体" w:hint="eastAsia"/>
                <w:sz w:val="24"/>
                <w:szCs w:val="24"/>
                <w:lang w:eastAsia="zh-CN"/>
              </w:rPr>
              <w:t>376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textAlignment w:val="center"/>
              <w:rPr>
                <w:rFonts w:ascii="宋体" w:eastAsiaTheme="minorEastAsia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eastAsiaTheme="minorEastAsia" w:hAnsi="宋体" w:cs="宋体" w:hint="eastAsia"/>
                <w:sz w:val="24"/>
                <w:szCs w:val="24"/>
                <w:lang w:eastAsia="zh-CN"/>
              </w:rPr>
              <w:t>台</w:t>
            </w:r>
          </w:p>
        </w:tc>
        <w:tc>
          <w:tcPr>
            <w:tcW w:w="2693" w:type="dxa"/>
            <w:vMerge/>
            <w:vAlign w:val="center"/>
          </w:tcPr>
          <w:p>
            <w:pPr>
              <w:spacing w:line="440" w:lineRule="exact"/>
              <w:jc w:val="center"/>
              <w:rPr>
                <w:rFonts w:ascii="宋体" w:eastAsia="宋体" w:hAnsi="宋体" w:cs="宋体"/>
                <w:color w:val="auto"/>
                <w:sz w:val="24"/>
                <w:szCs w:val="24"/>
                <w:lang w:eastAsia="zh-CN"/>
              </w:rPr>
            </w:pPr>
          </w:p>
        </w:tc>
      </w:tr>
      <w:tr>
        <w:trPr>
          <w:trHeight w:val="537"/>
        </w:trPr>
        <w:tc>
          <w:tcPr>
            <w:tcW w:w="1879" w:type="dxa"/>
            <w:vAlign w:val="center"/>
          </w:tcPr>
          <w:p>
            <w:pPr>
              <w:spacing w:line="360" w:lineRule="exact"/>
              <w:jc w:val="center"/>
              <w:rPr>
                <w:rFonts w:ascii="宋体" w:eastAsiaTheme="minorEastAsia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eastAsiaTheme="minorEastAsia" w:hAnsi="宋体" w:cs="宋体" w:hint="eastAsia"/>
                <w:sz w:val="24"/>
                <w:szCs w:val="24"/>
                <w:lang w:eastAsia="zh-CN"/>
              </w:rPr>
              <w:t>6</w:t>
            </w:r>
          </w:p>
        </w:tc>
        <w:tc>
          <w:tcPr>
            <w:tcW w:w="1879" w:type="dxa"/>
            <w:vAlign w:val="center"/>
          </w:tcPr>
          <w:p>
            <w:pPr>
              <w:spacing w:line="360" w:lineRule="exact"/>
              <w:jc w:val="center"/>
              <w:textAlignment w:val="center"/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  <w:shd w:val="clear" w:color="auto" w:fill="FFFFFF"/>
              </w:rPr>
              <w:t>大型游乐设施</w:t>
            </w:r>
          </w:p>
        </w:tc>
        <w:tc>
          <w:tcPr>
            <w:tcW w:w="1879" w:type="dxa"/>
            <w:vAlign w:val="center"/>
          </w:tcPr>
          <w:p>
            <w:pPr>
              <w:spacing w:line="360" w:lineRule="exact"/>
              <w:jc w:val="center"/>
              <w:rPr>
                <w:rFonts w:ascii="宋体" w:eastAsiaTheme="minorEastAsia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eastAsiaTheme="minorEastAsia" w:hAnsi="宋体" w:cs="宋体" w:hint="eastAsia"/>
                <w:sz w:val="24"/>
                <w:szCs w:val="24"/>
                <w:lang w:eastAsia="zh-CN"/>
              </w:rPr>
              <w:t>1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textAlignment w:val="center"/>
              <w:rPr>
                <w:rFonts w:ascii="宋体" w:eastAsiaTheme="minorEastAsia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eastAsiaTheme="minorEastAsia" w:hAnsi="宋体" w:cs="宋体" w:hint="eastAsia"/>
                <w:sz w:val="24"/>
                <w:szCs w:val="24"/>
                <w:lang w:eastAsia="zh-CN"/>
              </w:rPr>
              <w:t>台</w:t>
            </w:r>
          </w:p>
        </w:tc>
        <w:tc>
          <w:tcPr>
            <w:tcW w:w="2693" w:type="dxa"/>
            <w:vMerge/>
            <w:vAlign w:val="center"/>
          </w:tcPr>
          <w:p>
            <w:pPr>
              <w:spacing w:line="440" w:lineRule="exact"/>
              <w:jc w:val="center"/>
              <w:rPr>
                <w:rFonts w:ascii="宋体" w:eastAsia="宋体" w:hAnsi="宋体" w:cs="宋体"/>
                <w:color w:val="auto"/>
                <w:sz w:val="24"/>
                <w:szCs w:val="24"/>
                <w:lang w:eastAsia="zh-CN"/>
              </w:rPr>
            </w:pPr>
          </w:p>
        </w:tc>
      </w:tr>
      <w:tr>
        <w:trPr>
          <w:trHeight w:val="537"/>
        </w:trPr>
        <w:tc>
          <w:tcPr>
            <w:tcW w:w="1879" w:type="dxa"/>
            <w:vAlign w:val="center"/>
          </w:tcPr>
          <w:p>
            <w:pPr>
              <w:spacing w:line="360" w:lineRule="exact"/>
              <w:jc w:val="center"/>
              <w:rPr>
                <w:rFonts w:ascii="宋体" w:eastAsiaTheme="minorEastAsia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eastAsiaTheme="minorEastAsia" w:hAnsi="宋体" w:cs="宋体" w:hint="eastAsia"/>
                <w:sz w:val="24"/>
                <w:szCs w:val="24"/>
                <w:lang w:eastAsia="zh-CN"/>
              </w:rPr>
              <w:t>7</w:t>
            </w:r>
          </w:p>
        </w:tc>
        <w:tc>
          <w:tcPr>
            <w:tcW w:w="1879" w:type="dxa"/>
            <w:vAlign w:val="center"/>
          </w:tcPr>
          <w:p>
            <w:pPr>
              <w:spacing w:line="360" w:lineRule="exact"/>
              <w:jc w:val="center"/>
              <w:textAlignment w:val="center"/>
              <w:rPr>
                <w:sz w:val="24"/>
                <w:szCs w:val="24"/>
                <w:shd w:val="clear" w:color="auto" w:fill="FFFFFF"/>
              </w:rPr>
            </w:pPr>
            <w:r>
              <w:rPr>
                <w:rFonts w:hint="eastAsia"/>
                <w:sz w:val="24"/>
                <w:szCs w:val="24"/>
                <w:shd w:val="clear" w:color="auto" w:fill="FFFFFF"/>
                <w:lang w:eastAsia="zh-CN"/>
              </w:rPr>
              <w:t>压力管道</w:t>
            </w:r>
          </w:p>
        </w:tc>
        <w:tc>
          <w:tcPr>
            <w:tcW w:w="1879" w:type="dxa"/>
            <w:vAlign w:val="center"/>
          </w:tcPr>
          <w:p>
            <w:pPr>
              <w:spacing w:line="360" w:lineRule="exact"/>
              <w:jc w:val="center"/>
              <w:rPr>
                <w:rFonts w:ascii="宋体" w:eastAsiaTheme="minorEastAsia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eastAsiaTheme="minorEastAsia" w:hAnsi="宋体" w:cs="宋体" w:hint="eastAsia"/>
                <w:sz w:val="24"/>
                <w:szCs w:val="24"/>
                <w:lang w:eastAsia="zh-CN"/>
              </w:rPr>
              <w:t>121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textAlignment w:val="center"/>
              <w:rPr>
                <w:rFonts w:ascii="宋体" w:eastAsiaTheme="minorEastAsia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eastAsiaTheme="minorEastAsia" w:hAnsi="宋体" w:cs="宋体" w:hint="eastAsia"/>
                <w:sz w:val="24"/>
                <w:szCs w:val="24"/>
                <w:lang w:eastAsia="zh-CN"/>
              </w:rPr>
              <w:t>条</w:t>
            </w:r>
          </w:p>
        </w:tc>
        <w:tc>
          <w:tcPr>
            <w:tcW w:w="2693" w:type="dxa"/>
            <w:vMerge/>
            <w:vAlign w:val="center"/>
          </w:tcPr>
          <w:p>
            <w:pPr>
              <w:spacing w:line="440" w:lineRule="exact"/>
              <w:jc w:val="center"/>
              <w:rPr>
                <w:rFonts w:ascii="宋体" w:eastAsia="宋体" w:hAnsi="宋体" w:cs="宋体"/>
                <w:color w:val="auto"/>
                <w:sz w:val="24"/>
                <w:szCs w:val="24"/>
                <w:lang w:eastAsia="zh-CN"/>
              </w:rPr>
            </w:pPr>
          </w:p>
        </w:tc>
      </w:tr>
      <w:tr>
        <w:trPr>
          <w:trHeight w:val="416"/>
        </w:trPr>
        <w:tc>
          <w:tcPr>
            <w:tcW w:w="10031" w:type="dxa"/>
            <w:gridSpan w:val="5"/>
          </w:tcPr>
          <w:p>
            <w:pPr>
              <w:spacing w:line="420" w:lineRule="exact"/>
              <w:rPr>
                <w:rFonts w:ascii="宋体" w:eastAsia="宋体" w:hAnsi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sz w:val="24"/>
                <w:szCs w:val="24"/>
                <w:lang w:eastAsia="zh-CN"/>
              </w:rPr>
              <w:t>注：</w:t>
            </w:r>
          </w:p>
          <w:p>
            <w:pPr>
              <w:spacing w:line="420" w:lineRule="exact"/>
              <w:rPr>
                <w:rFonts w:ascii="宋体" w:eastAsia="宋体" w:hAnsi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sz w:val="24"/>
                <w:szCs w:val="24"/>
                <w:lang w:eastAsia="zh-CN"/>
              </w:rPr>
              <w:t>1：本项目招标总预算金额为：捌拾叁万捌仟玖佰元整（￥：838900</w:t>
            </w:r>
            <w:r>
              <w:rPr>
                <w:rFonts w:ascii="宋体" w:eastAsia="宋体" w:hAnsi="宋体" w:cs="宋体"/>
                <w:color w:val="auto"/>
                <w:sz w:val="24"/>
                <w:szCs w:val="24"/>
                <w:lang w:eastAsia="zh-CN"/>
              </w:rPr>
              <w:t>.</w:t>
            </w:r>
            <w:r>
              <w:rPr>
                <w:rFonts w:ascii="宋体" w:eastAsia="宋体" w:hAnsi="宋体" w:cs="宋体" w:hint="eastAsia"/>
                <w:color w:val="auto"/>
                <w:sz w:val="24"/>
                <w:szCs w:val="24"/>
                <w:lang w:eastAsia="zh-CN"/>
              </w:rPr>
              <w:t>00元整），投标人总价高于总预算金额为无效投标。</w:t>
            </w:r>
          </w:p>
          <w:p>
            <w:pPr>
              <w:spacing w:line="420" w:lineRule="exact"/>
              <w:rPr>
                <w:rFonts w:ascii="宋体" w:eastAsia="宋体" w:hAnsi="宋体" w:cs="宋体"/>
                <w:b/>
                <w:color w:val="FF0000"/>
                <w:sz w:val="24"/>
                <w:szCs w:val="24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sz w:val="24"/>
                <w:szCs w:val="24"/>
                <w:lang w:eastAsia="zh-CN"/>
              </w:rPr>
              <w:t>2：</w:t>
            </w:r>
            <w:r>
              <w:rPr>
                <w:rFonts w:ascii="宋体" w:eastAsia="宋体" w:hAnsi="宋体" w:cs="宋体"/>
                <w:color w:val="auto"/>
                <w:sz w:val="24"/>
                <w:szCs w:val="24"/>
                <w:lang w:eastAsia="zh-CN"/>
              </w:rPr>
              <w:t>以人民币报价，报价内容包含</w:t>
            </w:r>
            <w:r>
              <w:rPr>
                <w:rFonts w:ascii="宋体" w:eastAsia="宋体" w:hAnsi="宋体" w:cs="宋体" w:hint="eastAsia"/>
                <w:color w:val="auto"/>
                <w:sz w:val="24"/>
                <w:szCs w:val="24"/>
                <w:lang w:eastAsia="zh-CN"/>
              </w:rPr>
              <w:t>完成本项目检测工作的所有费用，包括人工、材料、仪器、设备、车辆、食宿费、税费、检测方案编制及送审等。</w:t>
            </w:r>
          </w:p>
        </w:tc>
      </w:tr>
    </w:tbl>
    <w:p>
      <w:pPr>
        <w:rPr>
          <w:rFonts w:eastAsiaTheme="minorEastAsia"/>
          <w:lang w:eastAsia="zh-CN"/>
        </w:rPr>
      </w:pPr>
    </w:p>
    <w:p>
      <w:pPr>
        <w:rPr>
          <w:rFonts w:eastAsiaTheme="minorEastAsia"/>
          <w:lang w:eastAsia="zh-CN"/>
        </w:rPr>
      </w:pPr>
    </w:p>
    <w:p>
      <w:pPr>
        <w:widowControl w:val="0"/>
        <w:spacing w:before="78" w:line="220" w:lineRule="auto"/>
        <w:jc w:val="both"/>
        <w:outlineLvl w:val="1"/>
        <w:rPr>
          <w:rFonts w:ascii="宋体" w:eastAsia="宋体" w:hAnsi="宋体" w:cs="宋体"/>
          <w:b/>
          <w:color w:val="auto"/>
          <w:spacing w:val="-2"/>
          <w:sz w:val="24"/>
          <w:szCs w:val="24"/>
          <w:lang w:eastAsia="zh-CN"/>
        </w:rPr>
      </w:pPr>
      <w:bookmarkStart w:id="1" w:name="_Toc231224447"/>
      <w:r>
        <w:rPr>
          <w:rFonts w:ascii="宋体" w:eastAsia="宋体" w:hAnsi="宋体" w:cs="宋体" w:hint="eastAsia"/>
          <w:b/>
          <w:color w:val="auto"/>
          <w:spacing w:val="-2"/>
          <w:sz w:val="24"/>
          <w:szCs w:val="24"/>
          <w:lang w:eastAsia="zh-CN"/>
        </w:rPr>
        <w:t>二、服务要求</w:t>
      </w:r>
      <w:bookmarkEnd w:id="1"/>
    </w:p>
    <w:p>
      <w:pPr>
        <w:spacing w:line="420" w:lineRule="exact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1、按照特种设备安全管理相关法律法规、技术规范开展全面、深入、精准的隐患排查，形成正式隐患排查报告，明确隐患等级、并提出整改建议。</w:t>
      </w:r>
    </w:p>
    <w:p>
      <w:pPr>
        <w:spacing w:line="420" w:lineRule="exact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2、对在用特种设备开展风险隐患排查，全年完成</w:t>
      </w:r>
      <w:r>
        <w:rPr>
          <w:rFonts w:ascii="宋体" w:eastAsia="宋体" w:hAnsi="宋体" w:cs="宋体"/>
          <w:color w:val="auto"/>
          <w:sz w:val="24"/>
          <w:szCs w:val="24"/>
          <w:lang w:eastAsia="zh-CN"/>
        </w:rPr>
        <w:t>1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次全覆盖排查，高风险设备完成</w:t>
      </w:r>
      <w:r>
        <w:rPr>
          <w:rFonts w:ascii="宋体" w:eastAsia="宋体" w:hAnsi="宋体" w:cs="宋体"/>
          <w:color w:val="auto"/>
          <w:sz w:val="24"/>
          <w:szCs w:val="24"/>
          <w:lang w:eastAsia="zh-CN"/>
        </w:rPr>
        <w:t>2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次排查（设备总量</w:t>
      </w:r>
      <w:r>
        <w:rPr>
          <w:rFonts w:ascii="宋体" w:eastAsia="宋体" w:hAnsi="宋体" w:cs="宋体"/>
          <w:color w:val="auto"/>
          <w:sz w:val="24"/>
          <w:szCs w:val="24"/>
          <w:lang w:eastAsia="zh-CN"/>
        </w:rPr>
        <w:t>50%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），按时提交阶段性及最终排查成果。</w:t>
      </w:r>
    </w:p>
    <w:p>
      <w:pPr>
        <w:spacing w:line="420" w:lineRule="exact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3、开展电梯维护保养质量抽查、检验检测质量抽查、电梯维保技能培训、特种设备宣贯培训。</w:t>
      </w:r>
    </w:p>
    <w:p>
      <w:pPr>
        <w:spacing w:line="420" w:lineRule="exact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4、对年限超过</w:t>
      </w:r>
      <w:r>
        <w:rPr>
          <w:rFonts w:ascii="宋体" w:eastAsia="宋体" w:hAnsi="宋体" w:cs="宋体"/>
          <w:color w:val="auto"/>
          <w:sz w:val="24"/>
          <w:szCs w:val="24"/>
          <w:lang w:eastAsia="zh-CN"/>
        </w:rPr>
        <w:t>15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年、故障频发、存在安全隐患的老旧电梯全面排查问题根源，提供解决方案。</w:t>
      </w:r>
    </w:p>
    <w:p>
      <w:pPr>
        <w:spacing w:line="420" w:lineRule="exact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 xml:space="preserve">5、同步开展未依法登记、漏报瞒报及非法改造特种设备排查工作，严防特种设备脱管漏管，确保排查无死角、全覆盖。 </w:t>
      </w:r>
    </w:p>
    <w:sectPr>
      <w:footerReference w:type="default" r:id="rId9"/>
      <w:pgSz w:w="11906" w:h="16838"/>
      <w:pgMar w:top="1134" w:right="851" w:bottom="851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>
      <w:r>
        <w:separator/>
      </w:r>
    </w:p>
  </w:endnote>
  <w:endnote w:type="continuationSeparator" w:id="1">
    <w:p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等线">
    <w:altName w:val="华文仿宋"/>
    <w:charset w:val="86"/>
    <w:family w:val="auto"/>
    <w:pitch w:val="default"/>
    <w:sig w:usb0="00000000" w:usb1="00000000" w:usb2="00000016" w:usb3="00000000" w:csb0="0004000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spacing w:line="176" w:lineRule="auto"/>
      <w:ind w:left="7012"/>
      <w:rPr>
        <w:rFonts w:ascii="Times New Roman" w:eastAsia="Times New Roman" w:hAnsi="Times New Roman" w:cs="Times New Roman"/>
        <w:sz w:val="18"/>
        <w:szCs w:val="18"/>
      </w:rPr>
    </w:pPr>
    <w:r>
      <w:rPr>
        <w:sz w:val="1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0;margin-top:0;width:2in;height:2in;z-index:251659264;mso-wrap-style:none;mso-position-horizontal:center;mso-position-horizontal-relative:margin;mso-width-relative:page;mso-height-relative:page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LNJWO7QAAAABQEAAA8AAAAAAAAAAQAgAAAAIgAAAGRycy9kb3ducmV2Lnht&#10;bFBLAQIUABQAAAAIAIdO4kBoXd3qOgIAAHEEAAAOAAAAAAAAAAEAIAAAAB8BAABkcnMvZTJvRG9j&#10;LnhtbFBLBQYAAAAABgAGAFkBAADLBQAAAAA=&#10;" filled="f" stroked="f" strokeweight=".5pt">
          <v:textbox style="mso-fit-shape-to-text:t" inset="0,0,0,0">
            <w:txbxContent>
              <w:p>
                <w:pPr>
                  <w:pStyle w:val="a8"/>
                </w:pPr>
                <w:fldSimple w:instr=" PAGE  \* MERGEFORMAT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>
      <w:r>
        <w:separator/>
      </w:r>
    </w:p>
  </w:footnote>
  <w:footnote w:type="continuationSeparator" w:id="1">
    <w:p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7ED4027"/>
    <w:multiLevelType w:val="singleLevel"/>
    <w:tmpl w:val="87ED4027"/>
    <w:lvl w:ilvl="0">
      <w:start w:val="1"/>
      <w:numFmt w:val="decimal"/>
      <w:suff w:val="nothing"/>
      <w:lvlText w:val="%1、"/>
      <w:lvlJc w:val="left"/>
    </w:lvl>
  </w:abstractNum>
  <w:abstractNum w:abstractNumId="1">
    <w:nsid w:val="C69CCFD4"/>
    <w:multiLevelType w:val="singleLevel"/>
    <w:tmpl w:val="C69CCFD4"/>
    <w:lvl w:ilvl="0">
      <w:start w:val="4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D5CD2AEF"/>
    <w:multiLevelType w:val="singleLevel"/>
    <w:tmpl w:val="D5CD2AEF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EA36093F"/>
    <w:multiLevelType w:val="singleLevel"/>
    <w:tmpl w:val="EA36093F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4">
    <w:nsid w:val="5E10485D"/>
    <w:multiLevelType w:val="multilevel"/>
    <w:tmpl w:val="5E10485D"/>
    <w:lvl w:ilvl="0">
      <w:start w:val="1"/>
      <w:numFmt w:val="japaneseCounting"/>
      <w:lvlText w:val="第%1章"/>
      <w:lvlJc w:val="left"/>
      <w:pPr>
        <w:tabs>
          <w:tab w:val="left" w:pos="1080"/>
        </w:tabs>
        <w:ind w:left="1080" w:hanging="840"/>
      </w:pPr>
      <w:rPr>
        <w:rFonts w:hint="eastAsia"/>
      </w:rPr>
    </w:lvl>
    <w:lvl w:ilvl="1">
      <w:start w:val="1"/>
      <w:numFmt w:val="decimal"/>
      <w:lvlText w:val="%2）"/>
      <w:lvlJc w:val="left"/>
      <w:pPr>
        <w:tabs>
          <w:tab w:val="left" w:pos="1020"/>
        </w:tabs>
        <w:ind w:left="1020" w:hanging="360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left" w:pos="1500"/>
        </w:tabs>
        <w:ind w:left="1500" w:hanging="420"/>
      </w:pPr>
    </w:lvl>
    <w:lvl w:ilvl="3">
      <w:start w:val="1"/>
      <w:numFmt w:val="decimal"/>
      <w:lvlText w:val="%4."/>
      <w:lvlJc w:val="left"/>
      <w:pPr>
        <w:tabs>
          <w:tab w:val="left" w:pos="1920"/>
        </w:tabs>
        <w:ind w:left="1920" w:hanging="420"/>
      </w:pPr>
    </w:lvl>
    <w:lvl w:ilvl="4">
      <w:start w:val="1"/>
      <w:numFmt w:val="lowerLetter"/>
      <w:lvlText w:val="%5)"/>
      <w:lvlJc w:val="left"/>
      <w:pPr>
        <w:tabs>
          <w:tab w:val="left" w:pos="2340"/>
        </w:tabs>
        <w:ind w:left="2340" w:hanging="420"/>
      </w:pPr>
    </w:lvl>
    <w:lvl w:ilvl="5">
      <w:start w:val="1"/>
      <w:numFmt w:val="lowerRoman"/>
      <w:lvlText w:val="%6."/>
      <w:lvlJc w:val="right"/>
      <w:pPr>
        <w:tabs>
          <w:tab w:val="left" w:pos="2760"/>
        </w:tabs>
        <w:ind w:left="2760" w:hanging="420"/>
      </w:pPr>
    </w:lvl>
    <w:lvl w:ilvl="6">
      <w:start w:val="1"/>
      <w:numFmt w:val="decimal"/>
      <w:lvlText w:val="%7."/>
      <w:lvlJc w:val="left"/>
      <w:pPr>
        <w:tabs>
          <w:tab w:val="left" w:pos="3180"/>
        </w:tabs>
        <w:ind w:left="3180" w:hanging="420"/>
      </w:pPr>
    </w:lvl>
    <w:lvl w:ilvl="7">
      <w:start w:val="1"/>
      <w:numFmt w:val="lowerLetter"/>
      <w:lvlText w:val="%8)"/>
      <w:lvlJc w:val="left"/>
      <w:pPr>
        <w:tabs>
          <w:tab w:val="left" w:pos="3600"/>
        </w:tabs>
        <w:ind w:left="3600" w:hanging="420"/>
      </w:pPr>
    </w:lvl>
    <w:lvl w:ilvl="8">
      <w:start w:val="1"/>
      <w:numFmt w:val="lowerRoman"/>
      <w:lvlText w:val="%9."/>
      <w:lvlJc w:val="right"/>
      <w:pPr>
        <w:tabs>
          <w:tab w:val="left" w:pos="4020"/>
        </w:tabs>
        <w:ind w:left="4020" w:hanging="42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51" fillcolor="white">
      <v:fill color="white"/>
    </o: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Yzg3M2VjNDkwMGFjYThhZjcyMDc3MzI0ZWI1N2E5N2UifQ=="/>
  </w:docVar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qFormat="1"/>
    <w:lsdException w:name="toc 2" w:semiHidden="0" w:uiPriority="39" w:qFormat="1"/>
    <w:lsdException w:name="toc 3" w:semiHidden="0" w:uiPriority="39" w:qFormat="1"/>
    <w:lsdException w:name="toc 4" w:semiHidden="0" w:uiPriority="39" w:qFormat="1"/>
    <w:lsdException w:name="toc 5" w:semiHidden="0" w:uiPriority="39" w:qFormat="1"/>
    <w:lsdException w:name="toc 6" w:semiHidden="0" w:uiPriority="39" w:qFormat="1"/>
    <w:lsdException w:name="toc 7" w:semiHidden="0" w:uiPriority="39" w:qFormat="1"/>
    <w:lsdException w:name="toc 8" w:semiHidden="0" w:uiPriority="39" w:qFormat="1"/>
    <w:lsdException w:name="toc 9" w:semiHidden="0" w:uiPriority="39" w:qFormat="1"/>
    <w:lsdException w:name="annotation text" w:semiHidden="0" w:uiPriority="0" w:unhideWhenUsed="0" w:qFormat="1"/>
    <w:lsdException w:name="footer" w:semiHidden="0" w:uiPriority="0" w:unhideWhenUsed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semiHidden="0" w:qFormat="1"/>
    <w:lsdException w:name="Body Text Indent" w:semiHidden="0" w:qFormat="1"/>
    <w:lsdException w:name="Subtitle" w:semiHidden="0" w:uiPriority="11" w:unhideWhenUsed="0" w:qFormat="1"/>
    <w:lsdException w:name="Body Text First Indent" w:semiHidden="0" w:qFormat="1"/>
    <w:lsdException w:name="Body Text First Indent 2" w:qFormat="1"/>
    <w:lsdException w:name="Body Text Indent 2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semiHidden="0" w:uiPriority="0" w:unhideWhenUsed="0" w:qFormat="1"/>
    <w:lsdException w:name="Normal (Web)" w:semiHidden="0" w:uiPriority="0" w:unhideWhenUsed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1"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sz w:val="21"/>
      <w:szCs w:val="21"/>
      <w:lang w:eastAsia="en-US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qFormat/>
    <w:pPr>
      <w:keepNext/>
      <w:keepLines/>
      <w:spacing w:before="260" w:after="260" w:line="413" w:lineRule="auto"/>
      <w:outlineLvl w:val="1"/>
    </w:pPr>
    <w:rPr>
      <w:rFonts w:eastAsia="黑体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7">
    <w:name w:val="toc 7"/>
    <w:basedOn w:val="a"/>
    <w:next w:val="a"/>
    <w:autoRedefine/>
    <w:uiPriority w:val="39"/>
    <w:unhideWhenUsed/>
    <w:qFormat/>
    <w:pPr>
      <w:widowControl w:val="0"/>
      <w:kinsoku/>
      <w:autoSpaceDE/>
      <w:autoSpaceDN/>
      <w:adjustRightInd/>
      <w:snapToGrid/>
      <w:ind w:leftChars="1200" w:left="2520"/>
      <w:jc w:val="both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Cs w:val="22"/>
      <w:lang w:eastAsia="zh-CN"/>
    </w:rPr>
  </w:style>
  <w:style w:type="paragraph" w:styleId="a3">
    <w:name w:val="annotation text"/>
    <w:basedOn w:val="a"/>
    <w:link w:val="Char"/>
    <w:qFormat/>
  </w:style>
  <w:style w:type="paragraph" w:styleId="a4">
    <w:name w:val="Body Text"/>
    <w:basedOn w:val="a"/>
    <w:link w:val="Char0"/>
    <w:uiPriority w:val="99"/>
    <w:unhideWhenUsed/>
    <w:qFormat/>
    <w:pPr>
      <w:spacing w:after="120"/>
    </w:pPr>
  </w:style>
  <w:style w:type="paragraph" w:styleId="a5">
    <w:name w:val="Body Text Indent"/>
    <w:basedOn w:val="a"/>
    <w:next w:val="20"/>
    <w:link w:val="Char1"/>
    <w:uiPriority w:val="99"/>
    <w:unhideWhenUsed/>
    <w:qFormat/>
    <w:pPr>
      <w:spacing w:after="120"/>
      <w:ind w:leftChars="200" w:left="420"/>
    </w:pPr>
    <w:rPr>
      <w:rFonts w:eastAsia="微软雅黑"/>
      <w:sz w:val="24"/>
      <w:szCs w:val="20"/>
    </w:rPr>
  </w:style>
  <w:style w:type="paragraph" w:styleId="20">
    <w:name w:val="Body Text First Indent 2"/>
    <w:basedOn w:val="a5"/>
    <w:link w:val="2Char0"/>
    <w:uiPriority w:val="99"/>
    <w:semiHidden/>
    <w:unhideWhenUsed/>
    <w:qFormat/>
    <w:pPr>
      <w:ind w:firstLineChars="200" w:firstLine="420"/>
    </w:pPr>
    <w:rPr>
      <w:rFonts w:eastAsia="Arial"/>
      <w:sz w:val="21"/>
      <w:szCs w:val="21"/>
    </w:rPr>
  </w:style>
  <w:style w:type="paragraph" w:styleId="5">
    <w:name w:val="toc 5"/>
    <w:basedOn w:val="a"/>
    <w:next w:val="a"/>
    <w:autoRedefine/>
    <w:uiPriority w:val="39"/>
    <w:unhideWhenUsed/>
    <w:qFormat/>
    <w:pPr>
      <w:widowControl w:val="0"/>
      <w:kinsoku/>
      <w:autoSpaceDE/>
      <w:autoSpaceDN/>
      <w:adjustRightInd/>
      <w:snapToGrid/>
      <w:ind w:leftChars="800" w:left="1680"/>
      <w:jc w:val="both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Cs w:val="22"/>
      <w:lang w:eastAsia="zh-CN"/>
    </w:rPr>
  </w:style>
  <w:style w:type="paragraph" w:styleId="3">
    <w:name w:val="toc 3"/>
    <w:basedOn w:val="a"/>
    <w:next w:val="a"/>
    <w:autoRedefine/>
    <w:uiPriority w:val="39"/>
    <w:unhideWhenUsed/>
    <w:qFormat/>
    <w:pPr>
      <w:widowControl w:val="0"/>
      <w:kinsoku/>
      <w:autoSpaceDE/>
      <w:autoSpaceDN/>
      <w:adjustRightInd/>
      <w:snapToGrid/>
      <w:ind w:leftChars="400" w:left="840"/>
      <w:jc w:val="both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Cs w:val="22"/>
      <w:lang w:eastAsia="zh-CN"/>
    </w:rPr>
  </w:style>
  <w:style w:type="paragraph" w:styleId="a6">
    <w:name w:val="Plain Text"/>
    <w:basedOn w:val="a"/>
    <w:link w:val="Char2"/>
    <w:qFormat/>
    <w:rPr>
      <w:rFonts w:ascii="宋体" w:hAnsi="Courier New"/>
      <w:sz w:val="20"/>
    </w:rPr>
  </w:style>
  <w:style w:type="paragraph" w:styleId="8">
    <w:name w:val="toc 8"/>
    <w:basedOn w:val="a"/>
    <w:next w:val="a"/>
    <w:autoRedefine/>
    <w:uiPriority w:val="39"/>
    <w:unhideWhenUsed/>
    <w:qFormat/>
    <w:pPr>
      <w:widowControl w:val="0"/>
      <w:kinsoku/>
      <w:autoSpaceDE/>
      <w:autoSpaceDN/>
      <w:adjustRightInd/>
      <w:snapToGrid/>
      <w:ind w:leftChars="1400" w:left="2940"/>
      <w:jc w:val="both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Cs w:val="22"/>
      <w:lang w:eastAsia="zh-CN"/>
    </w:rPr>
  </w:style>
  <w:style w:type="paragraph" w:styleId="21">
    <w:name w:val="Body Text Indent 2"/>
    <w:basedOn w:val="a"/>
    <w:link w:val="2Char1"/>
    <w:uiPriority w:val="99"/>
    <w:semiHidden/>
    <w:unhideWhenUsed/>
    <w:qFormat/>
    <w:pPr>
      <w:spacing w:after="120" w:line="480" w:lineRule="auto"/>
      <w:ind w:leftChars="200" w:left="420"/>
    </w:pPr>
  </w:style>
  <w:style w:type="paragraph" w:styleId="a7">
    <w:name w:val="Balloon Text"/>
    <w:basedOn w:val="a"/>
    <w:link w:val="Char3"/>
    <w:uiPriority w:val="99"/>
    <w:semiHidden/>
    <w:unhideWhenUsed/>
    <w:qFormat/>
    <w:rPr>
      <w:sz w:val="18"/>
      <w:szCs w:val="18"/>
    </w:rPr>
  </w:style>
  <w:style w:type="paragraph" w:styleId="a8">
    <w:name w:val="footer"/>
    <w:basedOn w:val="a"/>
    <w:link w:val="Char4"/>
    <w:qFormat/>
    <w:pPr>
      <w:tabs>
        <w:tab w:val="center" w:pos="4153"/>
        <w:tab w:val="right" w:pos="8306"/>
      </w:tabs>
    </w:pPr>
    <w:rPr>
      <w:sz w:val="18"/>
    </w:rPr>
  </w:style>
  <w:style w:type="paragraph" w:styleId="10">
    <w:name w:val="toc 1"/>
    <w:basedOn w:val="a"/>
    <w:next w:val="a"/>
    <w:autoRedefine/>
    <w:uiPriority w:val="39"/>
    <w:unhideWhenUsed/>
    <w:qFormat/>
  </w:style>
  <w:style w:type="paragraph" w:styleId="4">
    <w:name w:val="toc 4"/>
    <w:basedOn w:val="a"/>
    <w:next w:val="a"/>
    <w:autoRedefine/>
    <w:uiPriority w:val="39"/>
    <w:unhideWhenUsed/>
    <w:qFormat/>
    <w:pPr>
      <w:widowControl w:val="0"/>
      <w:kinsoku/>
      <w:autoSpaceDE/>
      <w:autoSpaceDN/>
      <w:adjustRightInd/>
      <w:snapToGrid/>
      <w:ind w:leftChars="600" w:left="1260"/>
      <w:jc w:val="both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Cs w:val="22"/>
      <w:lang w:eastAsia="zh-CN"/>
    </w:rPr>
  </w:style>
  <w:style w:type="paragraph" w:styleId="6">
    <w:name w:val="toc 6"/>
    <w:basedOn w:val="a"/>
    <w:next w:val="a"/>
    <w:autoRedefine/>
    <w:uiPriority w:val="39"/>
    <w:unhideWhenUsed/>
    <w:qFormat/>
    <w:pPr>
      <w:widowControl w:val="0"/>
      <w:kinsoku/>
      <w:autoSpaceDE/>
      <w:autoSpaceDN/>
      <w:adjustRightInd/>
      <w:snapToGrid/>
      <w:ind w:leftChars="1000" w:left="2100"/>
      <w:jc w:val="both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Cs w:val="22"/>
      <w:lang w:eastAsia="zh-CN"/>
    </w:rPr>
  </w:style>
  <w:style w:type="paragraph" w:styleId="22">
    <w:name w:val="toc 2"/>
    <w:basedOn w:val="a"/>
    <w:next w:val="a"/>
    <w:autoRedefine/>
    <w:uiPriority w:val="39"/>
    <w:unhideWhenUsed/>
    <w:qFormat/>
    <w:pPr>
      <w:ind w:leftChars="200" w:left="420"/>
    </w:pPr>
  </w:style>
  <w:style w:type="paragraph" w:styleId="9">
    <w:name w:val="toc 9"/>
    <w:basedOn w:val="a"/>
    <w:next w:val="a"/>
    <w:autoRedefine/>
    <w:uiPriority w:val="39"/>
    <w:unhideWhenUsed/>
    <w:qFormat/>
    <w:pPr>
      <w:widowControl w:val="0"/>
      <w:kinsoku/>
      <w:autoSpaceDE/>
      <w:autoSpaceDN/>
      <w:adjustRightInd/>
      <w:snapToGrid/>
      <w:ind w:leftChars="1600" w:left="3360"/>
      <w:jc w:val="both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Cs w:val="22"/>
      <w:lang w:eastAsia="zh-CN"/>
    </w:rPr>
  </w:style>
  <w:style w:type="paragraph" w:styleId="a9">
    <w:name w:val="Normal (Web)"/>
    <w:basedOn w:val="a"/>
    <w:qFormat/>
    <w:pPr>
      <w:spacing w:before="100" w:beforeAutospacing="1" w:after="100" w:afterAutospacing="1"/>
    </w:pPr>
    <w:rPr>
      <w:rFonts w:ascii="宋体" w:eastAsia="宋体" w:hAnsi="宋体" w:cs="宋体"/>
      <w:sz w:val="24"/>
    </w:rPr>
  </w:style>
  <w:style w:type="paragraph" w:styleId="aa">
    <w:name w:val="Body Text First Indent"/>
    <w:basedOn w:val="a4"/>
    <w:link w:val="Char5"/>
    <w:uiPriority w:val="99"/>
    <w:unhideWhenUsed/>
    <w:qFormat/>
    <w:pPr>
      <w:ind w:firstLineChars="100" w:firstLine="420"/>
    </w:pPr>
  </w:style>
  <w:style w:type="table" w:styleId="ab">
    <w:name w:val="Table Grid"/>
    <w:basedOn w:val="a1"/>
    <w:uiPriority w:val="59"/>
    <w:qFormat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customStyle="1" w:styleId="Char1">
    <w:name w:val="正文文本缩进 Char"/>
    <w:basedOn w:val="a0"/>
    <w:link w:val="a5"/>
    <w:uiPriority w:val="99"/>
    <w:qFormat/>
    <w:rPr>
      <w:rFonts w:ascii="Arial" w:eastAsia="微软雅黑" w:hAnsi="Arial" w:cs="Arial"/>
      <w:snapToGrid w:val="0"/>
      <w:color w:val="000000"/>
      <w:kern w:val="0"/>
      <w:sz w:val="24"/>
      <w:szCs w:val="20"/>
      <w:lang w:eastAsia="en-US"/>
    </w:rPr>
  </w:style>
  <w:style w:type="character" w:customStyle="1" w:styleId="Char0">
    <w:name w:val="正文文本 Char"/>
    <w:basedOn w:val="a0"/>
    <w:link w:val="a4"/>
    <w:uiPriority w:val="99"/>
    <w:qFormat/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character" w:customStyle="1" w:styleId="2Char0">
    <w:name w:val="正文首行缩进 2 Char"/>
    <w:basedOn w:val="Char1"/>
    <w:link w:val="20"/>
    <w:uiPriority w:val="99"/>
    <w:semiHidden/>
    <w:qFormat/>
  </w:style>
  <w:style w:type="paragraph" w:customStyle="1" w:styleId="11">
    <w:name w:val="正文缩进1"/>
    <w:basedOn w:val="a"/>
    <w:qFormat/>
    <w:pPr>
      <w:ind w:firstLineChars="200" w:firstLine="420"/>
    </w:pPr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</w:style>
  <w:style w:type="character" w:customStyle="1" w:styleId="Char">
    <w:name w:val="批注文字 Char"/>
    <w:basedOn w:val="a0"/>
    <w:link w:val="a3"/>
    <w:qFormat/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character" w:customStyle="1" w:styleId="Char2">
    <w:name w:val="纯文本 Char"/>
    <w:basedOn w:val="a0"/>
    <w:link w:val="a6"/>
    <w:qFormat/>
    <w:rPr>
      <w:rFonts w:ascii="宋体" w:eastAsia="Arial" w:hAnsi="Courier New" w:cs="Arial"/>
      <w:snapToGrid w:val="0"/>
      <w:color w:val="000000"/>
      <w:kern w:val="0"/>
      <w:sz w:val="20"/>
      <w:szCs w:val="21"/>
      <w:lang w:eastAsia="en-US"/>
    </w:rPr>
  </w:style>
  <w:style w:type="character" w:customStyle="1" w:styleId="Char4">
    <w:name w:val="页脚 Char"/>
    <w:basedOn w:val="a0"/>
    <w:link w:val="a8"/>
    <w:qFormat/>
    <w:rPr>
      <w:rFonts w:ascii="Arial" w:eastAsia="Arial" w:hAnsi="Arial" w:cs="Arial"/>
      <w:snapToGrid w:val="0"/>
      <w:color w:val="000000"/>
      <w:kern w:val="0"/>
      <w:sz w:val="18"/>
      <w:szCs w:val="21"/>
      <w:lang w:eastAsia="en-US"/>
    </w:rPr>
  </w:style>
  <w:style w:type="paragraph" w:customStyle="1" w:styleId="Heading21">
    <w:name w:val="Heading #2|1"/>
    <w:basedOn w:val="a"/>
    <w:qFormat/>
    <w:pPr>
      <w:widowControl w:val="0"/>
      <w:spacing w:after="580" w:line="634" w:lineRule="exact"/>
      <w:jc w:val="center"/>
      <w:outlineLvl w:val="1"/>
    </w:pPr>
    <w:rPr>
      <w:rFonts w:ascii="宋体" w:eastAsia="宋体" w:hAnsi="宋体" w:cs="宋体"/>
      <w:sz w:val="44"/>
      <w:szCs w:val="44"/>
      <w:lang w:val="zh-TW" w:eastAsia="zh-TW" w:bidi="zh-TW"/>
    </w:rPr>
  </w:style>
  <w:style w:type="paragraph" w:customStyle="1" w:styleId="Bodytext1">
    <w:name w:val="Body text|1"/>
    <w:basedOn w:val="a"/>
    <w:qFormat/>
    <w:pPr>
      <w:widowControl w:val="0"/>
      <w:spacing w:line="432" w:lineRule="auto"/>
      <w:ind w:firstLine="400"/>
    </w:pPr>
    <w:rPr>
      <w:rFonts w:ascii="宋体" w:eastAsia="宋体" w:hAnsi="宋体" w:cs="宋体"/>
      <w:sz w:val="30"/>
      <w:szCs w:val="30"/>
      <w:lang w:val="zh-TW" w:eastAsia="zh-TW" w:bidi="zh-TW"/>
    </w:rPr>
  </w:style>
  <w:style w:type="paragraph" w:customStyle="1" w:styleId="Bodytext2">
    <w:name w:val="Body text|2"/>
    <w:basedOn w:val="a"/>
    <w:qFormat/>
    <w:pPr>
      <w:widowControl w:val="0"/>
    </w:pPr>
    <w:rPr>
      <w:rFonts w:ascii="宋体" w:eastAsia="宋体" w:hAnsi="宋体" w:cs="宋体"/>
      <w:sz w:val="26"/>
      <w:szCs w:val="26"/>
      <w:lang w:val="zh-TW" w:eastAsia="zh-TW" w:bidi="zh-TW"/>
    </w:rPr>
  </w:style>
  <w:style w:type="character" w:customStyle="1" w:styleId="2Char">
    <w:name w:val="标题 2 Char"/>
    <w:basedOn w:val="a0"/>
    <w:link w:val="2"/>
    <w:qFormat/>
    <w:rPr>
      <w:rFonts w:ascii="Arial" w:eastAsia="黑体" w:hAnsi="Arial" w:cs="Arial"/>
      <w:b/>
      <w:bCs/>
      <w:snapToGrid w:val="0"/>
      <w:color w:val="000000"/>
      <w:kern w:val="0"/>
      <w:sz w:val="32"/>
      <w:szCs w:val="32"/>
      <w:lang w:eastAsia="en-US"/>
    </w:rPr>
  </w:style>
  <w:style w:type="character" w:customStyle="1" w:styleId="Char5">
    <w:name w:val="正文首行缩进 Char"/>
    <w:basedOn w:val="Char0"/>
    <w:link w:val="aa"/>
    <w:uiPriority w:val="99"/>
    <w:qFormat/>
  </w:style>
  <w:style w:type="paragraph" w:customStyle="1" w:styleId="TableParagraph">
    <w:name w:val="Table Paragraph"/>
    <w:basedOn w:val="a"/>
    <w:uiPriority w:val="1"/>
    <w:qFormat/>
    <w:pPr>
      <w:widowControl w:val="0"/>
      <w:kinsoku/>
      <w:adjustRightInd/>
      <w:snapToGrid/>
      <w:textAlignment w:val="auto"/>
    </w:pPr>
    <w:rPr>
      <w:rFonts w:ascii="宋体" w:eastAsiaTheme="minorEastAsia" w:hAnsi="宋体" w:cs="宋体"/>
      <w:snapToGrid/>
      <w:color w:val="auto"/>
      <w:sz w:val="22"/>
      <w:szCs w:val="22"/>
      <w:lang w:val="zh-CN" w:eastAsia="zh-CN" w:bidi="zh-CN"/>
    </w:rPr>
  </w:style>
  <w:style w:type="paragraph" w:customStyle="1" w:styleId="FootnoteText">
    <w:name w:val="FootnoteText"/>
    <w:basedOn w:val="a"/>
    <w:semiHidden/>
    <w:qFormat/>
    <w:pPr>
      <w:widowControl w:val="0"/>
      <w:kinsoku/>
      <w:autoSpaceDE/>
      <w:autoSpaceDN/>
      <w:adjustRightInd/>
      <w:textAlignment w:val="auto"/>
    </w:pPr>
    <w:rPr>
      <w:rFonts w:ascii="Times New Roman" w:eastAsia="宋体" w:hAnsi="Times New Roman" w:cs="Times New Roman"/>
      <w:snapToGrid/>
      <w:color w:val="auto"/>
      <w:kern w:val="2"/>
      <w:sz w:val="18"/>
      <w:szCs w:val="18"/>
      <w:lang w:eastAsia="zh-CN"/>
    </w:rPr>
  </w:style>
  <w:style w:type="paragraph" w:customStyle="1" w:styleId="suojin">
    <w:name w:val="suojin"/>
    <w:basedOn w:val="a"/>
    <w:autoRedefine/>
    <w:qFormat/>
    <w:pPr>
      <w:kinsoku/>
      <w:wordWrap w:val="0"/>
      <w:autoSpaceDE/>
      <w:autoSpaceDN/>
      <w:adjustRightInd/>
      <w:snapToGrid/>
      <w:spacing w:before="100" w:beforeAutospacing="1" w:after="100" w:afterAutospacing="1" w:line="360" w:lineRule="auto"/>
      <w:textAlignment w:val="auto"/>
    </w:pPr>
    <w:rPr>
      <w:rFonts w:ascii="宋体" w:eastAsia="宋体" w:hAnsi="宋体" w:cs="宋体"/>
      <w:snapToGrid/>
      <w:color w:val="auto"/>
      <w:sz w:val="24"/>
      <w:szCs w:val="24"/>
      <w:lang w:eastAsia="zh-CN"/>
    </w:rPr>
  </w:style>
  <w:style w:type="character" w:customStyle="1" w:styleId="12">
    <w:name w:val="标题1"/>
    <w:basedOn w:val="a0"/>
    <w:autoRedefine/>
    <w:qFormat/>
  </w:style>
  <w:style w:type="character" w:customStyle="1" w:styleId="1Char">
    <w:name w:val="标题 1 Char"/>
    <w:basedOn w:val="a0"/>
    <w:link w:val="1"/>
    <w:uiPriority w:val="9"/>
    <w:qFormat/>
    <w:rPr>
      <w:rFonts w:ascii="Arial" w:eastAsia="Arial" w:hAnsi="Arial" w:cs="Arial"/>
      <w:b/>
      <w:bCs/>
      <w:snapToGrid w:val="0"/>
      <w:color w:val="000000"/>
      <w:kern w:val="44"/>
      <w:sz w:val="44"/>
      <w:szCs w:val="44"/>
      <w:lang w:eastAsia="en-US"/>
    </w:rPr>
  </w:style>
  <w:style w:type="paragraph" w:customStyle="1" w:styleId="TOC1">
    <w:name w:val="TOC 标题1"/>
    <w:basedOn w:val="1"/>
    <w:next w:val="a"/>
    <w:uiPriority w:val="39"/>
    <w:semiHidden/>
    <w:unhideWhenUsed/>
    <w:qFormat/>
    <w:pPr>
      <w:kinsoku/>
      <w:autoSpaceDE/>
      <w:autoSpaceDN/>
      <w:adjustRightInd/>
      <w:snapToGrid/>
      <w:spacing w:before="480" w:after="0" w:line="276" w:lineRule="auto"/>
      <w:textAlignment w:val="auto"/>
      <w:outlineLvl w:val="9"/>
    </w:pPr>
    <w:rPr>
      <w:rFonts w:asciiTheme="majorHAnsi" w:eastAsiaTheme="majorEastAsia" w:hAnsiTheme="majorHAnsi" w:cstheme="majorBidi"/>
      <w:snapToGrid/>
      <w:color w:val="365F91" w:themeColor="accent1" w:themeShade="BF"/>
      <w:kern w:val="0"/>
      <w:sz w:val="28"/>
      <w:szCs w:val="28"/>
      <w:lang w:eastAsia="zh-CN"/>
    </w:rPr>
  </w:style>
  <w:style w:type="character" w:customStyle="1" w:styleId="Char3">
    <w:name w:val="批注框文本 Char"/>
    <w:basedOn w:val="a0"/>
    <w:link w:val="a7"/>
    <w:uiPriority w:val="99"/>
    <w:semiHidden/>
    <w:qFormat/>
    <w:rPr>
      <w:rFonts w:ascii="Arial" w:eastAsia="Arial" w:hAnsi="Arial" w:cs="Arial"/>
      <w:snapToGrid w:val="0"/>
      <w:color w:val="000000"/>
      <w:kern w:val="0"/>
      <w:sz w:val="18"/>
      <w:szCs w:val="18"/>
      <w:lang w:eastAsia="en-US"/>
    </w:rPr>
  </w:style>
  <w:style w:type="character" w:customStyle="1" w:styleId="font21">
    <w:name w:val="font2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  <w:style w:type="paragraph" w:customStyle="1" w:styleId="289">
    <w:name w:val="样式 行距: 固定值 28.9 磅"/>
    <w:qFormat/>
    <w:pPr>
      <w:widowControl w:val="0"/>
      <w:spacing w:line="578" w:lineRule="exact"/>
      <w:jc w:val="both"/>
    </w:pPr>
    <w:rPr>
      <w:rFonts w:ascii="Calibri" w:hAnsi="Calibri"/>
      <w:kern w:val="2"/>
      <w:sz w:val="21"/>
      <w:szCs w:val="21"/>
    </w:rPr>
  </w:style>
  <w:style w:type="character" w:customStyle="1" w:styleId="2Char1">
    <w:name w:val="正文文本缩进 2 Char"/>
    <w:basedOn w:val="a0"/>
    <w:link w:val="21"/>
    <w:uiPriority w:val="99"/>
    <w:semiHidden/>
    <w:qFormat/>
    <w:rPr>
      <w:rFonts w:ascii="Arial" w:eastAsia="Arial" w:hAnsi="Arial" w:cs="Arial"/>
      <w:snapToGrid w:val="0"/>
      <w:color w:val="000000"/>
      <w:sz w:val="21"/>
      <w:szCs w:val="21"/>
      <w:lang w:eastAsia="en-US"/>
    </w:rPr>
  </w:style>
  <w:style w:type="paragraph" w:customStyle="1" w:styleId="Style13">
    <w:name w:val="_Style 13"/>
    <w:qFormat/>
    <w:pPr>
      <w:spacing w:before="120" w:after="120" w:line="288" w:lineRule="auto"/>
    </w:pPr>
    <w:rPr>
      <w:rFonts w:ascii="Arial" w:eastAsia="等线" w:hAnsi="Arial" w:cs="Arial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/>
  <customShpExts>
    <customShpInfo spid="_x0000_s2049"/>
    <customShpInfo spid="_x0000_s1026"/>
    <customShpInfo spid="_x0000_s1027"/>
  </customShpExts>
</s:customData>
</file>

<file path=customXml/itemProps1.xml><?xml version="1.0" encoding="utf-8"?>
<ds:datastoreItem xmlns:ds="http://schemas.openxmlformats.org/officeDocument/2006/customXml" ds:itemID="{D30A7705-75B8-4229-B53C-FF05E53C9DD8}">
  <ds:schemaRefs/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480</Characters>
  <Application>Microsoft Office Word</Application>
  <DocSecurity>0</DocSecurity>
  <Lines>4</Lines>
  <Paragraphs>1</Paragraphs>
  <ScaleCrop>false</ScaleCrop>
  <Company>Microsoft</Company>
  <LinksUpToDate>false</LinksUpToDate>
  <CharactersWithSpaces>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宜春天辰招标服务有限公司</cp:lastModifiedBy>
  <cp:revision>3</cp:revision>
  <cp:lastPrinted>2026-06-01T08:40:00Z</cp:lastPrinted>
  <dcterms:created xsi:type="dcterms:W3CDTF">2026-06-03T02:29:00Z</dcterms:created>
  <dcterms:modified xsi:type="dcterms:W3CDTF">2026-06-03T02:30:00Z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eyJoZGlkIjoiNWUxMzFjYzg2ODJlOWFmYzEwOTQwOTNlYmE2OTAzNTAiLCJ1c2VySWQiOiI0NDY5MTY0NjIifQ==</vt:lpwstr>
  </property>
  <property fmtid="{D5CDD505-2E9C-101B-9397-08002B2CF9AE}" pid="3" name="KSOProductBuildVer">
    <vt:lpwstr>2052-12.1.0.25865</vt:lpwstr>
  </property>
  <property fmtid="{D5CDD505-2E9C-101B-9397-08002B2CF9AE}" pid="4" name="ICV">
    <vt:lpwstr>A181B29ED35A4791AA5A5444930EE0A6_13</vt:lpwstr>
  </property>
</Properties>
</file>