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B70512">
      <w:pPr>
        <w:pStyle w:val="4"/>
        <w:spacing w:before="0" w:after="0" w:line="460" w:lineRule="exact"/>
        <w:jc w:val="center"/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28"/>
          <w:szCs w:val="28"/>
        </w:rPr>
        <w:t>二、采购要求</w:t>
      </w:r>
    </w:p>
    <w:p w14:paraId="75B9B365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/>
        <w:textAlignment w:val="auto"/>
        <w:rPr>
          <w:rFonts w:hint="eastAsia" w:asciiTheme="minorEastAsia" w:hAnsiTheme="minorEastAsia" w:eastAsiaTheme="minorEastAsia" w:cstheme="minorEastAsia"/>
          <w:b/>
          <w:bCs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一、技术要求</w:t>
      </w:r>
    </w:p>
    <w:p w14:paraId="6715F7BF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（一）设计要求</w:t>
      </w:r>
    </w:p>
    <w:p w14:paraId="16A822B8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25" w:firstLineChars="0"/>
        <w:textAlignment w:val="auto"/>
        <w:rPr>
          <w:rFonts w:hint="eastAsia" w:asciiTheme="minorEastAsia" w:hAnsiTheme="minorEastAsia" w:eastAsiaTheme="minorEastAsia" w:cstheme="minorEastAsia"/>
          <w:b/>
          <w:bCs/>
          <w:caps w:val="0"/>
          <w:color w:val="auto"/>
          <w:spacing w:val="0"/>
          <w:sz w:val="24"/>
          <w:szCs w:val="24"/>
          <w:highlight w:val="none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1.整体设计符合医院整体文化定位，色彩、字体、版式全程统一。</w:t>
      </w:r>
      <w:r>
        <w:rPr>
          <w:rFonts w:hint="eastAsia" w:asciiTheme="minorEastAsia" w:hAnsiTheme="minorEastAsia" w:eastAsiaTheme="minorEastAsia" w:cstheme="minorEastAsia"/>
          <w:b/>
          <w:bCs/>
          <w:caps w:val="0"/>
          <w:color w:val="auto"/>
          <w:spacing w:val="0"/>
          <w:sz w:val="24"/>
          <w:szCs w:val="24"/>
          <w:highlight w:val="none"/>
          <w:shd w:val="clear" w:color="auto" w:fill="FFFFFF"/>
          <w:lang w:val="en-US" w:eastAsia="zh-CN"/>
        </w:rPr>
        <w:t>且供应商须配备至少3名专业设计人员，并提供投标截止日前六个月内任意一个月的社保缴纳证明，同时提供该3名设计人员设计类相关资质证明。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（供应商应提供社保证明材料以及相关资质证明材料）</w:t>
      </w:r>
    </w:p>
    <w:p w14:paraId="01000198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2.导向信息清晰易懂、层级划分明确，充分贴合患者视觉浏览习惯，严格满足国家无障碍设计指引相关规范要求。</w:t>
      </w:r>
    </w:p>
    <w:p w14:paraId="3D449E74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3.供应商需提交完整设计图纸及实物样品，经采购人审核确认通过后，方可启动批量生产；</w:t>
      </w:r>
    </w:p>
    <w:p w14:paraId="1E31679E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（二）材料与工艺</w:t>
      </w:r>
    </w:p>
    <w:p w14:paraId="048D5B7B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1. 选用材质需满足环保、耐用、防火、易清洁标准，优先采用不锈钢、亚克力、铝板等材料；户外标识额外具备耐候、抗紫外线、防老化性能，适配户外长期使用场景。</w:t>
      </w:r>
    </w:p>
    <w:p w14:paraId="303B5182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2. 制作工艺采用高精度数码印刷或激光切割工艺，产品边缘平整无毛刺、无尖锐边角，表面色彩附着力强，长期使用不褪色、不变色。</w:t>
      </w:r>
    </w:p>
    <w:p w14:paraId="5EE19F1E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3. 发光标识亮度均匀柔和，无眩光、无暗区，符合医院夜间就医照明要求，亮度标准≥1000cd/㎡且≤1500cd/㎡，兼顾可视性与患者视觉舒适度。</w:t>
      </w:r>
    </w:p>
    <w:p w14:paraId="30B43B8B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（三）安装要求</w:t>
      </w:r>
    </w:p>
    <w:p w14:paraId="2D6CAB99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1. 安装位置选址醒目，无遮挡、无视线干扰，安装牢固度满足抗风等级≥8级、防水防护等级IP65及以上，施工需明确安装固定、密封防水具体施工按照国家或行业相关标准执行。</w:t>
      </w:r>
    </w:p>
    <w:p w14:paraId="785ECCB2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2. 涉及高空作业的施工人员，必须持有对应高空作业特种作业资质，严格遵守现场安全施工规范；施工时段需提前报备，主动避开医院就诊高峰时段，减少对医患正常就医的影响。</w:t>
      </w:r>
    </w:p>
    <w:p w14:paraId="1F709D52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/>
        <w:textAlignment w:val="auto"/>
        <w:rPr>
          <w:rFonts w:hint="eastAsia" w:asciiTheme="minorEastAsia" w:hAnsiTheme="minorEastAsia" w:eastAsiaTheme="minorEastAsia" w:cstheme="minorEastAsia"/>
          <w:b/>
          <w:bCs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二、服务管理要求</w:t>
      </w:r>
    </w:p>
    <w:p w14:paraId="2395B98E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（一）验收标准</w:t>
      </w:r>
    </w:p>
    <w:p w14:paraId="3E3FA091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1. 标识标牌安装完毕后，由采购人开展现场验收。</w:t>
      </w:r>
    </w:p>
    <w:p w14:paraId="62639E58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2. 验收采取随机抽查方式，抽查比例不低于成品总量的10%，抽检合格率需≥98%；不合格产品允许供应商限期整改复检，复检合格后通过验收；夜间发光效果需现场逐一复核，达标方可验收。</w:t>
      </w:r>
    </w:p>
    <w:p w14:paraId="29559741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3. 明确整体项目质保期：整体标识质保2年，发光源、电器组件质保1年，质保期自验收合格之日起计算，质保期内免费维修、更换。</w:t>
      </w:r>
    </w:p>
    <w:p w14:paraId="5BAD5903">
      <w:pPr>
        <w:pStyle w:val="5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  <w:lang w:val="en-US" w:eastAsia="zh-CN"/>
        </w:rPr>
        <w:t>三</w:t>
      </w:r>
      <w:r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</w:rPr>
        <w:t>、商务要求</w:t>
      </w:r>
    </w:p>
    <w:p w14:paraId="0F8DC92A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25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（一）服务周期与付款</w:t>
      </w:r>
    </w:p>
    <w:p w14:paraId="426BB049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1. 合同期限：三年，或服务金额累计达到</w:t>
      </w:r>
      <w:r>
        <w:rPr>
          <w:rFonts w:hint="eastAsia"/>
          <w:lang w:val="en-US" w:eastAsia="zh-CN"/>
        </w:rPr>
        <w:t>成交合同金额时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合同终止；若提前达到预算金额上限，供应商需免费顺延提供6个月质保维保服务，保障医院后续使用需求。</w:t>
      </w:r>
    </w:p>
    <w:p w14:paraId="28C25B1E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2. 付款方式：</w:t>
      </w:r>
    </w:p>
    <w:p w14:paraId="1E099C5C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（1）进度款支付：按半年为一个结算周期，供应商提交当期完成工作量清单及验收凭证，经采购人审核无误后，支付当期实际完成服务量对应款项，累计支付总额不超过合同总金额的90%。</w:t>
      </w:r>
    </w:p>
    <w:p w14:paraId="40209169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（2）</w:t>
      </w:r>
      <w:r>
        <w:rPr>
          <w:rFonts w:ascii="宋体" w:hAnsi="宋体" w:eastAsia="宋体" w:cs="宋体"/>
          <w:sz w:val="24"/>
          <w:szCs w:val="24"/>
        </w:rPr>
        <w:t>履行完合同约定的权利义务后支付剩余款项</w:t>
      </w: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。</w:t>
      </w:r>
    </w:p>
    <w:p w14:paraId="3E3937E1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（3）结算说明：所有款项均以实际完成且验收合格的服务量为结算依据，累计支付总额不超过合同总金额；三年服务期内，标识材料、人工价格涨跌不再调整单价。</w:t>
      </w:r>
    </w:p>
    <w:p w14:paraId="47D171F1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4）发票类型：供应商须开具合法有效的增值税发票，发票类型为（纸质发票/电子发票），发票联次齐全，发票开具单位必须为合同签订主体（即与采购方完全一致），禁止由第三方代开。发票内容需与合同标的物一致。</w:t>
      </w:r>
    </w:p>
    <w:p w14:paraId="3B4A1501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25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（二）违约责任</w:t>
      </w:r>
    </w:p>
    <w:p w14:paraId="38AE33F8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1. 逾期交付：因供应商自身原因导致超期交付/施工的，每逾期3天扣除合同总金额的0.3%，违约金累计不超过合同总金额的5%；因采购人审核延迟、现场不具备施工条件、不可抗力等非供应商原因导致的工期延误，工期相应顺延，不追究供应商违约责任。</w:t>
      </w:r>
    </w:p>
    <w:p w14:paraId="62053B54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2. 成品不符合标准：成品质量、工艺、尺寸等未达到招标要求的，采购人有权拒收，供应商需无条件返工、重做，产生的所有费用由供应商自行承担，且不得因此延误工期。</w:t>
      </w:r>
    </w:p>
    <w:p w14:paraId="3BACAC35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3.安全责任：因供应商安装、维护操作不当引发安全责任事故的，由供应商承担全部经济赔偿及法律责任；情节严重的，采购人有权单方面终止合同，且追究相关损失。</w:t>
      </w:r>
    </w:p>
    <w:p w14:paraId="308D9A5B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25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（三）</w:t>
      </w: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涉及高空作业的，作业人员须为供应商团队成员，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并提供投标截止日前六个月内任意一个月的社保缴纳证明；同时，须提供</w:t>
      </w:r>
      <w:r>
        <w:rPr>
          <w:rFonts w:hint="eastAsia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zh-CN"/>
        </w:rPr>
        <w:t>应急管理部门颁发的“</w:t>
      </w:r>
      <w:r>
        <w:rPr>
          <w:rFonts w:hint="eastAsia" w:ascii="Segoe UI" w:hAnsi="Segoe UI" w:eastAsia="宋体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特种作业操作证（高空作业）</w:t>
      </w:r>
      <w:r>
        <w:rPr>
          <w:rFonts w:hint="eastAsia" w:ascii="Segoe UI" w:hAnsi="Segoe UI" w:eastAsia="宋体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eastAsia="zh-CN"/>
        </w:rPr>
        <w:t>”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，</w:t>
      </w:r>
      <w:r>
        <w:rPr>
          <w:rFonts w:hint="eastAsia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并承诺提供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覆盖整个服务期及施工全程的人身意外险保险凭证，保险到期前需完成续保</w:t>
      </w:r>
      <w:r>
        <w:rPr>
          <w:rFonts w:hint="eastAsia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。（供应商应提供社保证明材料、登录中华人民共和国应急管理部旗下网站（https://cx.mem.gov.cn/）查询高处作业证书截图、以及承诺函）</w:t>
      </w:r>
    </w:p>
    <w:p w14:paraId="6FA6B556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25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（四）报价方式：本项目以折扣率进行报价。（清单内所有品种统一使用一个折扣）计算方式：单项价格=成交折扣率*单项最高限价</w:t>
      </w:r>
    </w:p>
    <w:p w14:paraId="55C3DC33">
      <w:pPr>
        <w:pStyle w:val="5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textAlignment w:val="auto"/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</w:rPr>
      </w:pPr>
      <w:r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  <w:lang w:val="en-US" w:eastAsia="zh-CN"/>
        </w:rPr>
        <w:t>五、</w:t>
      </w:r>
      <w:r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</w:rPr>
        <w:t>其他要求</w:t>
      </w:r>
    </w:p>
    <w:p w14:paraId="4A011770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（一）供应商需常备常规标识库存材料，接到医院紧急需求通知后，2小时内到达现场响应，24小时内完成应急维修、更换；需明确库存材料品类、备货量标准，纳入履约考核。</w:t>
      </w:r>
    </w:p>
    <w:p w14:paraId="5A7FB345">
      <w:pPr>
        <w:pStyle w:val="5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（二）投标文件需严格按照医院统一提供的报价模板，明确标识制作、日常维保、拆除清运等分项单价，报价包含材料、人工、运输、常规安装、税费等所有费用，除报价模板中的项目，无额外隐形收费。</w:t>
      </w:r>
      <w:r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</w:rPr>
        <w:t>详见附件</w:t>
      </w:r>
      <w:r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  <w:lang w:val="en-US" w:eastAsia="zh-CN"/>
        </w:rPr>
        <w:t>技术清单</w:t>
      </w:r>
      <w:r>
        <w:rPr>
          <w:rStyle w:val="10"/>
          <w:rFonts w:hint="eastAsia" w:asciiTheme="minorEastAsia" w:hAnsiTheme="minorEastAsia" w:eastAsiaTheme="minorEastAsia" w:cstheme="minorEastAsia"/>
          <w:b/>
          <w:bCs w:val="0"/>
          <w:sz w:val="24"/>
          <w:szCs w:val="24"/>
          <w:shd w:val="clear" w:color="auto" w:fill="FFFFFF"/>
        </w:rPr>
        <w:t>。</w:t>
      </w:r>
    </w:p>
    <w:p w14:paraId="5DE15614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default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（三）供应商需安排专属对接人员，定期开展标识巡检、维护，建立维保台账，确保标识长期正常使用。</w:t>
      </w:r>
    </w:p>
    <w:p w14:paraId="238EBA89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（四）常规（非紧急需求）标识标牌制作期限：不锈钢喷漆发光字等15个日历日内完成并交付验收，泡沫板不干胶等2个日历日内完成并交付验收，亚克力、pvc等材质3个日历日内完成并交付验收。</w:t>
      </w:r>
    </w:p>
    <w:p w14:paraId="4E4F847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b/>
          <w:i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iCs/>
          <w:sz w:val="24"/>
          <w:szCs w:val="24"/>
        </w:rPr>
        <w:t>（四）考核评价表</w:t>
      </w:r>
    </w:p>
    <w:tbl>
      <w:tblPr>
        <w:tblStyle w:val="8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1097"/>
        <w:gridCol w:w="4111"/>
        <w:gridCol w:w="1184"/>
      </w:tblGrid>
      <w:tr w14:paraId="5C028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top"/>
          </w:tcPr>
          <w:p w14:paraId="58F0274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  <w:t>考核项目</w:t>
            </w:r>
          </w:p>
        </w:tc>
        <w:tc>
          <w:tcPr>
            <w:tcW w:w="1097" w:type="dxa"/>
            <w:noWrap w:val="0"/>
            <w:vAlign w:val="top"/>
          </w:tcPr>
          <w:p w14:paraId="4E77223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  <w:t>权重</w:t>
            </w:r>
          </w:p>
        </w:tc>
        <w:tc>
          <w:tcPr>
            <w:tcW w:w="4111" w:type="dxa"/>
            <w:noWrap w:val="0"/>
            <w:vAlign w:val="top"/>
          </w:tcPr>
          <w:p w14:paraId="154BE7D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  <w:t>评分标准</w:t>
            </w:r>
          </w:p>
        </w:tc>
        <w:tc>
          <w:tcPr>
            <w:tcW w:w="1184" w:type="dxa"/>
            <w:noWrap w:val="0"/>
            <w:vAlign w:val="top"/>
          </w:tcPr>
          <w:p w14:paraId="4A266E4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Cs/>
                <w:sz w:val="24"/>
                <w:szCs w:val="24"/>
              </w:rPr>
              <w:t>得分</w:t>
            </w:r>
          </w:p>
        </w:tc>
      </w:tr>
      <w:tr w14:paraId="59DD48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7014637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质量考核</w:t>
            </w:r>
          </w:p>
        </w:tc>
        <w:tc>
          <w:tcPr>
            <w:tcW w:w="1097" w:type="dxa"/>
            <w:noWrap w:val="0"/>
            <w:vAlign w:val="center"/>
          </w:tcPr>
          <w:p w14:paraId="5784D4E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30%</w:t>
            </w:r>
          </w:p>
        </w:tc>
        <w:tc>
          <w:tcPr>
            <w:tcW w:w="4111" w:type="dxa"/>
            <w:noWrap w:val="0"/>
            <w:vAlign w:val="top"/>
          </w:tcPr>
          <w:p w14:paraId="72A3F5B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1.材料工艺（10分）：符合采购需求标准，无瑕疵；</w:t>
            </w:r>
          </w:p>
          <w:p w14:paraId="109532B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2.标识准确性（10分）：内容、尺寸零误差；</w:t>
            </w:r>
          </w:p>
          <w:p w14:paraId="0C2EB22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3.耐久性（10分）：验收后30个月内无质量问题。</w:t>
            </w:r>
          </w:p>
        </w:tc>
        <w:tc>
          <w:tcPr>
            <w:tcW w:w="1184" w:type="dxa"/>
            <w:noWrap w:val="0"/>
            <w:vAlign w:val="top"/>
          </w:tcPr>
          <w:p w14:paraId="3D830FC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</w:p>
        </w:tc>
      </w:tr>
      <w:tr w14:paraId="649AEC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2056DE5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服务及时性</w:t>
            </w:r>
          </w:p>
        </w:tc>
        <w:tc>
          <w:tcPr>
            <w:tcW w:w="1097" w:type="dxa"/>
            <w:noWrap w:val="0"/>
            <w:vAlign w:val="center"/>
          </w:tcPr>
          <w:p w14:paraId="789D397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25%</w:t>
            </w:r>
          </w:p>
        </w:tc>
        <w:tc>
          <w:tcPr>
            <w:tcW w:w="4111" w:type="dxa"/>
            <w:noWrap w:val="0"/>
            <w:vAlign w:val="top"/>
          </w:tcPr>
          <w:p w14:paraId="568C1FB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1.设计确认（10分）：≤24小时反馈修改；</w:t>
            </w:r>
          </w:p>
          <w:p w14:paraId="1F3E7E1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2.生产交付（15分）：每延迟一天扣5分（采购人指定期限为基准）</w:t>
            </w:r>
          </w:p>
        </w:tc>
        <w:tc>
          <w:tcPr>
            <w:tcW w:w="1184" w:type="dxa"/>
            <w:noWrap w:val="0"/>
            <w:vAlign w:val="top"/>
          </w:tcPr>
          <w:p w14:paraId="701A0D0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</w:p>
        </w:tc>
      </w:tr>
      <w:tr w14:paraId="130BFB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534202E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满意度</w:t>
            </w:r>
          </w:p>
        </w:tc>
        <w:tc>
          <w:tcPr>
            <w:tcW w:w="1097" w:type="dxa"/>
            <w:noWrap w:val="0"/>
            <w:vAlign w:val="center"/>
          </w:tcPr>
          <w:p w14:paraId="2FED76A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%</w:t>
            </w:r>
          </w:p>
        </w:tc>
        <w:tc>
          <w:tcPr>
            <w:tcW w:w="4111" w:type="dxa"/>
            <w:noWrap w:val="0"/>
            <w:vAlign w:val="top"/>
          </w:tcPr>
          <w:p w14:paraId="50B869A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采购人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评价（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分）</w:t>
            </w:r>
          </w:p>
        </w:tc>
        <w:tc>
          <w:tcPr>
            <w:tcW w:w="1184" w:type="dxa"/>
            <w:noWrap w:val="0"/>
            <w:vAlign w:val="top"/>
          </w:tcPr>
          <w:p w14:paraId="36786C2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5856B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2295A81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售后服务</w:t>
            </w:r>
          </w:p>
        </w:tc>
        <w:tc>
          <w:tcPr>
            <w:tcW w:w="1097" w:type="dxa"/>
            <w:noWrap w:val="0"/>
            <w:vAlign w:val="center"/>
          </w:tcPr>
          <w:p w14:paraId="2AD80DE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%</w:t>
            </w:r>
          </w:p>
        </w:tc>
        <w:tc>
          <w:tcPr>
            <w:tcW w:w="4111" w:type="dxa"/>
            <w:noWrap w:val="0"/>
            <w:vAlign w:val="top"/>
          </w:tcPr>
          <w:p w14:paraId="744F073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1.维修响应（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分）：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24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小时内解决；</w:t>
            </w:r>
          </w:p>
          <w:p w14:paraId="264AC15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2、定期维护（5分）：主体提供维护计划。</w:t>
            </w:r>
          </w:p>
        </w:tc>
        <w:tc>
          <w:tcPr>
            <w:tcW w:w="1184" w:type="dxa"/>
            <w:noWrap w:val="0"/>
            <w:vAlign w:val="top"/>
          </w:tcPr>
          <w:p w14:paraId="7FB9DD1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</w:p>
        </w:tc>
      </w:tr>
      <w:tr w14:paraId="19562C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7F41A9F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成本控制</w:t>
            </w:r>
          </w:p>
        </w:tc>
        <w:tc>
          <w:tcPr>
            <w:tcW w:w="1097" w:type="dxa"/>
            <w:noWrap w:val="0"/>
            <w:vAlign w:val="center"/>
          </w:tcPr>
          <w:p w14:paraId="104CC05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10%</w:t>
            </w:r>
          </w:p>
        </w:tc>
        <w:tc>
          <w:tcPr>
            <w:tcW w:w="4111" w:type="dxa"/>
            <w:noWrap w:val="0"/>
            <w:vAlign w:val="top"/>
          </w:tcPr>
          <w:p w14:paraId="256371D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1.预算符合度（5分）：无超支；</w:t>
            </w:r>
          </w:p>
          <w:p w14:paraId="0B6A78B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2.优化建议（5分）：主动提出节约方案</w:t>
            </w:r>
          </w:p>
        </w:tc>
        <w:tc>
          <w:tcPr>
            <w:tcW w:w="1184" w:type="dxa"/>
            <w:noWrap w:val="0"/>
            <w:vAlign w:val="top"/>
          </w:tcPr>
          <w:p w14:paraId="46CBF98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</w:p>
        </w:tc>
      </w:tr>
      <w:tr w14:paraId="51B6B3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1CE3EE3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安装服务</w:t>
            </w:r>
          </w:p>
        </w:tc>
        <w:tc>
          <w:tcPr>
            <w:tcW w:w="1097" w:type="dxa"/>
            <w:noWrap w:val="0"/>
            <w:vAlign w:val="center"/>
          </w:tcPr>
          <w:p w14:paraId="618278A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5%</w:t>
            </w:r>
          </w:p>
        </w:tc>
        <w:tc>
          <w:tcPr>
            <w:tcW w:w="4111" w:type="dxa"/>
            <w:noWrap w:val="0"/>
            <w:vAlign w:val="top"/>
          </w:tcPr>
          <w:p w14:paraId="376DEAB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专业性（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分）：安装牢固、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val="en-US" w:eastAsia="zh-CN"/>
              </w:rPr>
              <w:t>及时、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位置精准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无遗留杂物。</w:t>
            </w:r>
          </w:p>
        </w:tc>
        <w:tc>
          <w:tcPr>
            <w:tcW w:w="1184" w:type="dxa"/>
            <w:noWrap w:val="0"/>
            <w:vAlign w:val="top"/>
          </w:tcPr>
          <w:p w14:paraId="1EB00EB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</w:p>
        </w:tc>
      </w:tr>
      <w:tr w14:paraId="3138CB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4883593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总分</w:t>
            </w:r>
          </w:p>
        </w:tc>
        <w:tc>
          <w:tcPr>
            <w:tcW w:w="1097" w:type="dxa"/>
            <w:noWrap w:val="0"/>
            <w:vAlign w:val="center"/>
          </w:tcPr>
          <w:p w14:paraId="3D5BDAF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  <w:t>100%</w:t>
            </w:r>
          </w:p>
        </w:tc>
        <w:tc>
          <w:tcPr>
            <w:tcW w:w="4111" w:type="dxa"/>
            <w:noWrap w:val="0"/>
            <w:vAlign w:val="top"/>
          </w:tcPr>
          <w:p w14:paraId="4F23FAB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</w:p>
        </w:tc>
        <w:tc>
          <w:tcPr>
            <w:tcW w:w="1184" w:type="dxa"/>
            <w:noWrap w:val="0"/>
            <w:vAlign w:val="top"/>
          </w:tcPr>
          <w:p w14:paraId="52412D1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iCs/>
                <w:sz w:val="24"/>
                <w:szCs w:val="24"/>
              </w:rPr>
            </w:pPr>
          </w:p>
        </w:tc>
      </w:tr>
    </w:tbl>
    <w:p w14:paraId="048248D5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aps w:val="0"/>
          <w:color w:val="auto"/>
          <w:spacing w:val="0"/>
          <w:sz w:val="24"/>
          <w:szCs w:val="24"/>
          <w:shd w:val="clear" w:color="auto" w:fill="FFFFFF"/>
          <w:lang w:val="en-US" w:eastAsia="zh-CN"/>
        </w:rPr>
        <w:t>每个月组织一次考核，考核满分为100分，60分及以上为及格；累计三次考核不及格的，采购人有权提前终止合同。</w:t>
      </w:r>
    </w:p>
    <w:p w14:paraId="00D0AEF8">
      <w:pPr>
        <w:ind w:firstLine="240" w:firstLineChars="100"/>
        <w:rPr>
          <w:rFonts w:ascii="宋体" w:hAnsi="宋体" w:cs="宋体"/>
          <w:sz w:val="24"/>
          <w:szCs w:val="24"/>
        </w:rPr>
      </w:pPr>
    </w:p>
    <w:p w14:paraId="564851A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FB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utoSpaceDE/>
      <w:autoSpaceDN/>
      <w:adjustRightInd/>
      <w:spacing w:after="120" w:line="240" w:lineRule="auto"/>
      <w:ind w:left="420" w:leftChars="200" w:firstLine="420" w:firstLineChars="200"/>
      <w:jc w:val="both"/>
    </w:pPr>
    <w:rPr>
      <w:rFonts w:ascii="Times New Roman" w:hAnsi="Times New Roman"/>
      <w:kern w:val="2"/>
      <w:sz w:val="21"/>
    </w:rPr>
  </w:style>
  <w:style w:type="paragraph" w:styleId="3">
    <w:name w:val="Body Text Indent"/>
    <w:basedOn w:val="1"/>
    <w:qFormat/>
    <w:uiPriority w:val="0"/>
    <w:pPr>
      <w:autoSpaceDE w:val="0"/>
      <w:autoSpaceDN w:val="0"/>
      <w:adjustRightInd w:val="0"/>
      <w:spacing w:line="360" w:lineRule="auto"/>
      <w:ind w:firstLine="480"/>
      <w:jc w:val="left"/>
    </w:pPr>
    <w:rPr>
      <w:rFonts w:ascii="宋体" w:hAnsi="宋体"/>
      <w:kern w:val="0"/>
      <w:sz w:val="24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10">
    <w:name w:val="Strong"/>
    <w:basedOn w:val="9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2026-07-02T09:09:57Z</dcterms:created>
  <dc:creator>14042</dc:creator>
  <cp:lastModifiedBy>14042</cp:lastModifiedBy>
  <dcterms:modified xsi:type="dcterms:W3CDTF">2026-07-02T09:09:59Z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eyJoZGlkIjoiZTgwNzY5YjY4OWIwMDZhMzE2NDUzYTBhNmEwZjllM2IiLCJ1c2VySWQiOiIzNTUzNjc4OTcifQ==</vt:lpwstr>
  </property>
  <property fmtid="{D5CDD505-2E9C-101B-9397-08002B2CF9AE}" pid="4" name="ICV">
    <vt:lpwstr>9100CBA46D394FA4A3CA9BDFB44DF5DF_12</vt:lpwstr>
  </property>
</Properties>
</file>