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69A36D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bookmarkStart w:id="0" w:name="_Toc20804"/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End w:id="0"/>
    </w:p>
    <w:p w14:paraId="3FBD8574">
      <w:pPr>
        <w:pageBreakBefore w:val="0"/>
        <w:widowControl w:val="0"/>
        <w:kinsoku/>
        <w:wordWrap/>
        <w:overflowPunct/>
        <w:topLinePunct w:val="0"/>
        <w:bidi w:val="0"/>
        <w:spacing w:line="309" w:lineRule="auto"/>
        <w:jc w:val="both"/>
        <w:rPr>
          <w:color w:val="auto"/>
          <w:highlight w:val="none"/>
          <w:lang w:eastAsia="zh-CN"/>
        </w:rPr>
      </w:pPr>
    </w:p>
    <w:p w14:paraId="06A0B7A2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jc w:val="both"/>
        <w:outlineLvl w:val="9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59525597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jc w:val="both"/>
        <w:outlineLvl w:val="1"/>
        <w:rPr>
          <w:color w:val="auto"/>
          <w:highlight w:val="none"/>
        </w:rPr>
      </w:pPr>
      <w:bookmarkStart w:id="1" w:name="_Toc14194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1"/>
    </w:p>
    <w:p w14:paraId="1018DE2B">
      <w:pPr>
        <w:pageBreakBefore w:val="0"/>
        <w:widowControl w:val="0"/>
        <w:kinsoku/>
        <w:wordWrap/>
        <w:overflowPunct/>
        <w:topLinePunct w:val="0"/>
        <w:bidi w:val="0"/>
        <w:jc w:val="both"/>
        <w:rPr>
          <w:color w:val="auto"/>
          <w:highlight w:val="none"/>
        </w:rPr>
      </w:pPr>
    </w:p>
    <w:tbl>
      <w:tblPr>
        <w:tblStyle w:val="3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7"/>
        <w:gridCol w:w="1101"/>
        <w:gridCol w:w="6263"/>
      </w:tblGrid>
      <w:tr w14:paraId="067D4D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</w:trPr>
        <w:tc>
          <w:tcPr>
            <w:tcW w:w="1737" w:type="dxa"/>
            <w:tcBorders>
              <w:right w:val="nil"/>
            </w:tcBorders>
            <w:vAlign w:val="center"/>
          </w:tcPr>
          <w:p w14:paraId="69266BAD">
            <w:pPr>
              <w:widowControl w:val="0"/>
              <w:kinsoku/>
              <w:spacing w:before="183" w:line="223" w:lineRule="auto"/>
              <w:ind w:left="1091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bookmarkStart w:id="5" w:name="_GoBack"/>
            <w:r>
              <w:rPr>
                <w:rFonts w:asciiTheme="minorEastAsia" w:hAnsiTheme="minorEastAsia" w:eastAsiaTheme="minorEastAsia"/>
                <w:color w:val="auto"/>
                <w:lang w:eastAsia="zh-CN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10160</wp:posOffset>
                  </wp:positionV>
                  <wp:extent cx="1776730" cy="1456690"/>
                  <wp:effectExtent l="0" t="0" r="13970" b="1016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673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5"/>
            <w:r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  <w:t>名</w:t>
            </w:r>
          </w:p>
          <w:p w14:paraId="5BEFAA1C">
            <w:pPr>
              <w:pStyle w:val="5"/>
              <w:widowControl w:val="0"/>
              <w:kinsoku/>
              <w:spacing w:line="245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7BCC35AE">
            <w:pPr>
              <w:pStyle w:val="5"/>
              <w:widowControl w:val="0"/>
              <w:kinsoku/>
              <w:spacing w:line="246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59753626">
            <w:pPr>
              <w:widowControl w:val="0"/>
              <w:kinsoku/>
              <w:spacing w:before="78" w:line="219" w:lineRule="auto"/>
              <w:ind w:left="481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  <w:t>内</w:t>
            </w:r>
          </w:p>
          <w:p w14:paraId="66B01935">
            <w:pPr>
              <w:pStyle w:val="5"/>
              <w:widowControl w:val="0"/>
              <w:kinsoku/>
              <w:spacing w:line="338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2F255D7B">
            <w:pPr>
              <w:widowControl w:val="0"/>
              <w:kinsoku/>
              <w:spacing w:before="78" w:line="220" w:lineRule="auto"/>
              <w:ind w:left="1311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  <w:vAlign w:val="center"/>
          </w:tcPr>
          <w:p w14:paraId="435C3112">
            <w:pPr>
              <w:pStyle w:val="5"/>
              <w:widowControl w:val="0"/>
              <w:kinsoku/>
              <w:spacing w:line="263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54F626B1">
            <w:pPr>
              <w:pStyle w:val="5"/>
              <w:widowControl w:val="0"/>
              <w:kinsoku/>
              <w:spacing w:line="263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4A9EAD5D">
            <w:pPr>
              <w:pStyle w:val="5"/>
              <w:widowControl w:val="0"/>
              <w:kinsoku/>
              <w:spacing w:line="264" w:lineRule="auto"/>
              <w:jc w:val="center"/>
              <w:rPr>
                <w:rFonts w:asciiTheme="minorEastAsia" w:hAnsiTheme="minorEastAsia" w:eastAsiaTheme="minorEastAsia"/>
                <w:color w:val="auto"/>
              </w:rPr>
            </w:pPr>
          </w:p>
          <w:p w14:paraId="63869368">
            <w:pPr>
              <w:widowControl w:val="0"/>
              <w:kinsoku/>
              <w:spacing w:before="78" w:line="221" w:lineRule="auto"/>
              <w:ind w:left="192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  <w:t>称</w:t>
            </w:r>
          </w:p>
        </w:tc>
        <w:tc>
          <w:tcPr>
            <w:tcW w:w="6263" w:type="dxa"/>
            <w:vAlign w:val="center"/>
          </w:tcPr>
          <w:p w14:paraId="4731179E">
            <w:pPr>
              <w:spacing w:line="480" w:lineRule="auto"/>
              <w:jc w:val="center"/>
              <w:rPr>
                <w:rFonts w:cs="宋体" w:asciiTheme="minorEastAsia" w:hAnsiTheme="minorEastAsia" w:eastAsiaTheme="minorEastAsia"/>
                <w:color w:val="auto"/>
                <w:spacing w:val="3"/>
                <w:sz w:val="31"/>
                <w:szCs w:val="31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auto"/>
                <w:spacing w:val="3"/>
                <w:sz w:val="30"/>
                <w:szCs w:val="30"/>
                <w:lang w:eastAsia="zh-CN"/>
              </w:rPr>
              <w:t>宜春市疾病预防控制中心核酸检测类试剂采购项目</w:t>
            </w:r>
          </w:p>
        </w:tc>
      </w:tr>
      <w:tr w14:paraId="7BF49F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376660E5">
            <w:pPr>
              <w:widowControl w:val="0"/>
              <w:kinsoku/>
              <w:spacing w:before="253" w:line="219" w:lineRule="auto"/>
              <w:ind w:left="1188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6263" w:type="dxa"/>
            <w:vAlign w:val="center"/>
          </w:tcPr>
          <w:p w14:paraId="7EB7F999">
            <w:pPr>
              <w:pStyle w:val="5"/>
              <w:widowControl w:val="0"/>
              <w:kinsoku/>
              <w:jc w:val="center"/>
              <w:rPr>
                <w:rFonts w:asciiTheme="minorEastAsia" w:hAnsiTheme="minorEastAsia" w:eastAsiaTheme="minorEastAsia"/>
                <w:color w:val="auto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1批</w:t>
            </w:r>
          </w:p>
        </w:tc>
      </w:tr>
      <w:tr w14:paraId="0A4E9B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48C46950">
            <w:pPr>
              <w:widowControl w:val="0"/>
              <w:kinsoku/>
              <w:spacing w:before="253" w:line="219" w:lineRule="auto"/>
              <w:ind w:left="1071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pacing w:val="-5"/>
                <w:sz w:val="24"/>
                <w:szCs w:val="24"/>
              </w:rPr>
              <w:t>交货期</w:t>
            </w:r>
          </w:p>
        </w:tc>
        <w:tc>
          <w:tcPr>
            <w:tcW w:w="6263" w:type="dxa"/>
            <w:vAlign w:val="center"/>
          </w:tcPr>
          <w:p w14:paraId="78132902">
            <w:pPr>
              <w:pStyle w:val="5"/>
              <w:widowControl w:val="0"/>
              <w:kinsoku/>
              <w:jc w:val="center"/>
              <w:rPr>
                <w:rFonts w:asciiTheme="minorEastAsia" w:hAnsiTheme="minorEastAsia" w:eastAsiaTheme="minorEastAsia"/>
                <w:color w:val="auto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合同签订后的</w:t>
            </w:r>
            <w:r>
              <w:rPr>
                <w:rFonts w:hint="eastAsia" w:asciiTheme="minorEastAsia" w:hAnsiTheme="minorEastAsia" w:eastAsiaTheme="minorEastAsia"/>
                <w:color w:val="auto"/>
                <w:lang w:val="en-US" w:eastAsia="zh-CN"/>
              </w:rPr>
              <w:t>12个月</w:t>
            </w: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内完成供货</w:t>
            </w:r>
          </w:p>
        </w:tc>
      </w:tr>
      <w:tr w14:paraId="0D39D2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68718D1B">
            <w:pPr>
              <w:widowControl w:val="0"/>
              <w:kinsoku/>
              <w:spacing w:before="256" w:line="219" w:lineRule="auto"/>
              <w:ind w:left="951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pacing w:val="-4"/>
                <w:sz w:val="24"/>
                <w:szCs w:val="24"/>
              </w:rPr>
              <w:t>交货地点</w:t>
            </w:r>
          </w:p>
        </w:tc>
        <w:tc>
          <w:tcPr>
            <w:tcW w:w="6263" w:type="dxa"/>
            <w:vAlign w:val="center"/>
          </w:tcPr>
          <w:p w14:paraId="0C31C26B">
            <w:pPr>
              <w:pStyle w:val="5"/>
              <w:widowControl w:val="0"/>
              <w:kinsoku/>
              <w:jc w:val="center"/>
              <w:rPr>
                <w:rFonts w:asciiTheme="minorEastAsia" w:hAnsiTheme="minorEastAsia" w:eastAsiaTheme="minorEastAsia"/>
                <w:color w:val="auto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甲方指定地点</w:t>
            </w:r>
          </w:p>
        </w:tc>
      </w:tr>
      <w:tr w14:paraId="6ABC71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</w:trPr>
        <w:tc>
          <w:tcPr>
            <w:tcW w:w="2838" w:type="dxa"/>
            <w:gridSpan w:val="2"/>
            <w:vAlign w:val="center"/>
          </w:tcPr>
          <w:p w14:paraId="6D9A93B5">
            <w:pPr>
              <w:widowControl w:val="0"/>
              <w:kinsoku/>
              <w:spacing w:before="257" w:line="220" w:lineRule="auto"/>
              <w:ind w:left="951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pacing w:val="-4"/>
                <w:sz w:val="24"/>
                <w:szCs w:val="24"/>
              </w:rPr>
              <w:t>安装地点</w:t>
            </w:r>
          </w:p>
        </w:tc>
        <w:tc>
          <w:tcPr>
            <w:tcW w:w="6263" w:type="dxa"/>
            <w:vAlign w:val="center"/>
          </w:tcPr>
          <w:p w14:paraId="0BD0ADF2">
            <w:pPr>
              <w:pStyle w:val="5"/>
              <w:widowControl w:val="0"/>
              <w:kinsoku/>
              <w:jc w:val="center"/>
              <w:rPr>
                <w:rFonts w:asciiTheme="minorEastAsia" w:hAnsiTheme="minorEastAsia" w:eastAsiaTheme="minorEastAsia"/>
                <w:color w:val="auto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甲方指定地点</w:t>
            </w:r>
          </w:p>
        </w:tc>
      </w:tr>
      <w:tr w14:paraId="206A9A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2838" w:type="dxa"/>
            <w:gridSpan w:val="2"/>
            <w:vAlign w:val="center"/>
          </w:tcPr>
          <w:p w14:paraId="64715331">
            <w:pPr>
              <w:widowControl w:val="0"/>
              <w:kinsoku/>
              <w:spacing w:before="256" w:line="221" w:lineRule="auto"/>
              <w:ind w:left="1189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color w:val="auto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263" w:type="dxa"/>
            <w:vAlign w:val="center"/>
          </w:tcPr>
          <w:p w14:paraId="347C2FC0">
            <w:pPr>
              <w:pStyle w:val="5"/>
              <w:widowControl w:val="0"/>
              <w:kinsoku/>
              <w:jc w:val="center"/>
              <w:rPr>
                <w:rFonts w:asciiTheme="minorEastAsia" w:hAnsiTheme="minorEastAsia" w:eastAsiaTheme="minorEastAsia"/>
                <w:color w:val="auto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lang w:eastAsia="zh-CN"/>
              </w:rPr>
              <w:t>/</w:t>
            </w:r>
          </w:p>
        </w:tc>
      </w:tr>
    </w:tbl>
    <w:p w14:paraId="0A429EA7">
      <w:pPr>
        <w:pageBreakBefore w:val="0"/>
        <w:widowControl w:val="0"/>
        <w:kinsoku/>
        <w:wordWrap/>
        <w:overflowPunct/>
        <w:topLinePunct w:val="0"/>
        <w:bidi w:val="0"/>
        <w:jc w:val="both"/>
        <w:rPr>
          <w:color w:val="auto"/>
          <w:highlight w:val="none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2" w:name="bookmark81"/>
      <w:bookmarkEnd w:id="2"/>
      <w:bookmarkStart w:id="3" w:name="_Toc12949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3"/>
    </w:p>
    <w:p w14:paraId="2A218C7A">
      <w:pPr>
        <w:pageBreakBefore w:val="0"/>
        <w:widowControl w:val="0"/>
        <w:kinsoku/>
        <w:wordWrap/>
        <w:overflowPunct/>
        <w:topLinePunct w:val="0"/>
        <w:bidi w:val="0"/>
        <w:spacing w:line="257" w:lineRule="auto"/>
        <w:jc w:val="both"/>
        <w:rPr>
          <w:color w:val="auto"/>
          <w:highlight w:val="none"/>
        </w:rPr>
      </w:pPr>
    </w:p>
    <w:p w14:paraId="015D2860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技术需求</w:t>
      </w:r>
    </w:p>
    <w:p w14:paraId="75ECA552">
      <w:pPr>
        <w:widowControl w:val="0"/>
        <w:kinsoku/>
        <w:spacing w:line="258" w:lineRule="auto"/>
        <w:rPr>
          <w:rFonts w:hint="default" w:asciiTheme="minorEastAsia" w:hAnsiTheme="minorEastAsia" w:eastAsiaTheme="minorEastAsia"/>
          <w:color w:val="auto"/>
          <w:lang w:val="en-US" w:eastAsia="zh-CN"/>
        </w:rPr>
      </w:pPr>
      <w:r>
        <w:rPr>
          <w:rFonts w:hint="eastAsia" w:asciiTheme="minorEastAsia" w:hAnsiTheme="minorEastAsia" w:eastAsiaTheme="minorEastAsia"/>
          <w:color w:val="auto"/>
          <w:lang w:val="en-US" w:eastAsia="zh-CN"/>
        </w:rPr>
        <w:t>（1）清单1</w:t>
      </w:r>
    </w:p>
    <w:tbl>
      <w:tblPr>
        <w:tblStyle w:val="3"/>
        <w:tblW w:w="6129" w:type="pct"/>
        <w:tblInd w:w="-67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2638"/>
        <w:gridCol w:w="1363"/>
        <w:gridCol w:w="589"/>
        <w:gridCol w:w="920"/>
        <w:gridCol w:w="734"/>
        <w:gridCol w:w="977"/>
        <w:gridCol w:w="1454"/>
        <w:gridCol w:w="1212"/>
      </w:tblGrid>
      <w:tr w14:paraId="416CC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315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noWrap w:val="0"/>
            <w:vAlign w:val="center"/>
          </w:tcPr>
          <w:p w14:paraId="0944E1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50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6F6E8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品    名</w:t>
            </w:r>
          </w:p>
        </w:tc>
        <w:tc>
          <w:tcPr>
            <w:tcW w:w="646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15B7F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型号/规格</w:t>
            </w:r>
          </w:p>
        </w:tc>
        <w:tc>
          <w:tcPr>
            <w:tcW w:w="279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66D9C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36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5F0A9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48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73CBD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463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4CB60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金  额（元）</w:t>
            </w:r>
          </w:p>
        </w:tc>
        <w:tc>
          <w:tcPr>
            <w:tcW w:w="689" w:type="pct"/>
            <w:tcBorders>
              <w:top w:val="single" w:color="000000" w:sz="8" w:space="0"/>
              <w:left w:val="nil"/>
              <w:bottom w:val="nil"/>
              <w:right w:val="nil"/>
            </w:tcBorders>
            <w:noWrap w:val="0"/>
            <w:vAlign w:val="center"/>
          </w:tcPr>
          <w:p w14:paraId="62C80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质量要求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80FB9B">
            <w:pPr>
              <w:keepNext w:val="0"/>
              <w:keepLines w:val="0"/>
              <w:widowControl/>
              <w:suppressLineNumbers w:val="0"/>
              <w:tabs>
                <w:tab w:val="left" w:pos="630"/>
              </w:tabs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ABC0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9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5E2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C71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甲型流感病毒核酸检测试剂盒（荧光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8F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F07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E2B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1750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9245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67163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07D48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具有三类医疗器械注册证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E386F1">
            <w:pPr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响应文件中提供三类医疗器械注册证</w:t>
            </w:r>
          </w:p>
        </w:tc>
      </w:tr>
      <w:tr w14:paraId="48A4A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69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65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乙型流感病毒核酸检测试剂盒（荧光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FA6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D8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C9F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1750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7646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4C2A8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0C6F15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具有三类医疗器械注册证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E1EF25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响应文件中提供三类医疗器械注册证</w:t>
            </w:r>
          </w:p>
        </w:tc>
      </w:tr>
      <w:tr w14:paraId="7EAA9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CF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EA5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甲型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H1N1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流感病毒双通道核酸检测试剂盒（荧光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83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D35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281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8783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F496E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F72A81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AC841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3915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AA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C3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季节性流感病毒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H3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亚型核酸检测试剂盒（荧光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7BA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486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190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8579F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9015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1D40B9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54B52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ABE8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EAC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59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新型冠状病毒核酸检测试剂盒（荧光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842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EC6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1F1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1750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BA96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DCA0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A4B1EE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具有三类医疗器械注册证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7208C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响应文件中提供三类医疗器械注册证</w:t>
            </w:r>
          </w:p>
        </w:tc>
      </w:tr>
      <w:tr w14:paraId="17356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78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A27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乙型流感病毒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Victoria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Yamagata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谱系双通道核酸检测试剂盒（荧光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97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D1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507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1929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619E1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D806B0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B1700C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489D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F4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E2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禽流感病毒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H5/H7/H9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三重核酸检测试剂盒（荧光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22B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EF2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BC1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9602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FDF3B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DB0D61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8FECC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73A5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1B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3B4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禽流感病毒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H10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1AA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881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E29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25F7B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B30AD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710A20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304D8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5A9A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27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0C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核酸提取试剂盒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40E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AC2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9AE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A71C1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FB54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55B7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匹配达安基因smart32提取仪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2B9C02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4B2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7C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100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核酸提取试剂盒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932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D0F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26F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3840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5851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6E46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D25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匹配博日提取仪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8E817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29B9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DD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388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核酸提取试剂盒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21B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E87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F56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C0F77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D52B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0D4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匹配鲲鹏基因ArchiPure 96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7C3B1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EC8A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D0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4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肠道病毒通用病毒核酸检测试剂盒（荧光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317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CF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D96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D3B8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0E23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16328B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9EF40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4CAD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5C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48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肠道病毒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722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B8C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7A2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FBF72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3234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78BDE6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62C13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1676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A8C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538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柯萨奇病毒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CB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59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12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A622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AD00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804447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0653E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1FEB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1D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B4E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柯萨奇病毒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9C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039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73D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8E7E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7B483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0BEC9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单重或多重具有三类医疗器械注册证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64E59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响应文件中提供单重或多重具有三类医疗器械注册证</w:t>
            </w:r>
          </w:p>
        </w:tc>
      </w:tr>
      <w:tr w14:paraId="50A9B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D4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A00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柯萨奇病毒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D3F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35B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704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64C0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DF62B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8AB0DD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单重或多重具有三类医疗器械注册证</w:t>
            </w: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F5DCF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响应文件中提供单重或多重具有三类医疗器械注册证</w:t>
            </w:r>
          </w:p>
        </w:tc>
      </w:tr>
      <w:tr w14:paraId="608D7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3B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65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麻疹病毒核酸检测试剂盒（荧光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6C1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7D6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90C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018B6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DAD2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2E4C08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538FEB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25CD4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" w:hRule="atLeast"/>
        </w:trPr>
        <w:tc>
          <w:tcPr>
            <w:tcW w:w="3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E28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2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D0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风疹病毒核酸检测试剂盒（荧光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1A0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DAB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BE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auto"/>
                <w:sz w:val="21"/>
                <w:szCs w:val="21"/>
                <w:u w:val="none"/>
                <w:lang w:val="en-US" w:eastAsia="en-US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D786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2AA26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075CC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5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F5065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06E8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A49E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03855DF3">
      <w:pPr>
        <w:widowControl w:val="0"/>
        <w:kinsoku/>
        <w:spacing w:line="242" w:lineRule="auto"/>
        <w:rPr>
          <w:rFonts w:asciiTheme="minorEastAsia" w:hAnsiTheme="minorEastAsia" w:eastAsiaTheme="minorEastAsia"/>
          <w:color w:val="auto"/>
        </w:rPr>
      </w:pPr>
    </w:p>
    <w:p w14:paraId="414CA608">
      <w:pPr>
        <w:widowControl w:val="0"/>
        <w:kinsoku/>
        <w:spacing w:line="242" w:lineRule="auto"/>
        <w:rPr>
          <w:rFonts w:hint="eastAsia" w:asciiTheme="minorEastAsia" w:hAnsiTheme="minorEastAsia" w:eastAsiaTheme="minorEastAsia"/>
          <w:color w:val="auto"/>
          <w:lang w:val="en-US" w:eastAsia="zh-CN"/>
        </w:rPr>
      </w:pPr>
      <w:r>
        <w:rPr>
          <w:rFonts w:hint="eastAsia" w:asciiTheme="minorEastAsia" w:hAnsiTheme="minorEastAsia" w:eastAsiaTheme="minorEastAsia"/>
          <w:color w:val="auto"/>
          <w:lang w:eastAsia="zh-CN"/>
        </w:rPr>
        <w:t>（</w:t>
      </w:r>
      <w:r>
        <w:rPr>
          <w:rFonts w:hint="eastAsia" w:asciiTheme="minorEastAsia" w:hAnsiTheme="minorEastAsia" w:eastAsiaTheme="minorEastAsia"/>
          <w:color w:val="auto"/>
          <w:lang w:val="en-US" w:eastAsia="zh-CN"/>
        </w:rPr>
        <w:t>2</w:t>
      </w:r>
      <w:r>
        <w:rPr>
          <w:rFonts w:hint="eastAsia" w:asciiTheme="minorEastAsia" w:hAnsiTheme="minorEastAsia" w:eastAsiaTheme="minorEastAsia"/>
          <w:color w:val="auto"/>
          <w:lang w:eastAsia="zh-CN"/>
        </w:rPr>
        <w:t>）</w:t>
      </w:r>
      <w:r>
        <w:rPr>
          <w:rFonts w:hint="eastAsia" w:asciiTheme="minorEastAsia" w:hAnsiTheme="minorEastAsia" w:eastAsiaTheme="minorEastAsia"/>
          <w:color w:val="auto"/>
          <w:lang w:val="en-US" w:eastAsia="zh-CN"/>
        </w:rPr>
        <w:t>清单2</w:t>
      </w:r>
    </w:p>
    <w:tbl>
      <w:tblPr>
        <w:tblStyle w:val="3"/>
        <w:tblW w:w="6077" w:type="pct"/>
        <w:tblInd w:w="-52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2568"/>
        <w:gridCol w:w="1278"/>
        <w:gridCol w:w="863"/>
        <w:gridCol w:w="976"/>
        <w:gridCol w:w="704"/>
        <w:gridCol w:w="1462"/>
        <w:gridCol w:w="1127"/>
        <w:gridCol w:w="706"/>
      </w:tblGrid>
      <w:tr w14:paraId="4B694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372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noWrap w:val="0"/>
            <w:vAlign w:val="center"/>
          </w:tcPr>
          <w:p w14:paraId="10E237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26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1F1BE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    名</w:t>
            </w:r>
          </w:p>
        </w:tc>
        <w:tc>
          <w:tcPr>
            <w:tcW w:w="610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5521A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型号/规格</w:t>
            </w:r>
          </w:p>
        </w:tc>
        <w:tc>
          <w:tcPr>
            <w:tcW w:w="412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6EF83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66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12AC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36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58A9F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698" w:type="pct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40D6A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额</w:t>
            </w:r>
          </w:p>
          <w:p w14:paraId="1F762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（元）</w:t>
            </w:r>
          </w:p>
        </w:tc>
        <w:tc>
          <w:tcPr>
            <w:tcW w:w="538" w:type="pct"/>
            <w:tcBorders>
              <w:top w:val="single" w:color="000000" w:sz="8" w:space="0"/>
              <w:left w:val="nil"/>
              <w:bottom w:val="nil"/>
              <w:right w:val="nil"/>
            </w:tcBorders>
            <w:noWrap w:val="0"/>
            <w:vAlign w:val="center"/>
          </w:tcPr>
          <w:p w14:paraId="4A258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 量 要 求</w:t>
            </w: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F252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4D423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CC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E9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流行性乙型脑炎病毒核酸检测试剂盒（荧光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59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9E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64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B1CA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FB9CE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F76F5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185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A84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B0D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E21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西尼罗病毒核酸检测试剂盒（荧光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6A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7C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B59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FBE9D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EAEA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E10409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4BBD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C54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039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82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登革病毒通用型核酸检测试剂盒（荧光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78A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C15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15A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4379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11BDD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FABE20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BC0F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2507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B72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633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黄热病毒核酸检测试剂盒（荧光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8A6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DE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228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F3105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68135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7DBA3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FDC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CCE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C5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BD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基孔肯雅病毒核酸检测试剂盒（荧光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A9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EB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1E6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6916D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E211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52870D6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B7E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9DB2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9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B3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23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辛德</w:t>
            </w:r>
            <w:r>
              <w:rPr>
                <w:rStyle w:val="6"/>
                <w:lang w:val="en-US" w:eastAsia="zh-CN" w:bidi="ar"/>
              </w:rPr>
              <w:t>毕斯病毒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65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B4B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5EC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26ED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2F4B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9F907D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43E1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1B5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C91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FB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致病钩端螺旋体核酸试剂盒（荧光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22D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6C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F2D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D4629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DB282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352E79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A54A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8898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685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E22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汉坦病毒核酸检测试剂盒（荧光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C1C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66F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2D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C7719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C368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9489EE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D1A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BEE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0B6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2A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汉坦病毒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HTNV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SEOV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双重核酸检测试剂盒（荧光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31F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855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25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12704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D10D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3CB876E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60A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87EF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5B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BD0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恙虫病立克次体核酸检测试剂盒（荧光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BB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09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11D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07DE7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D676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669A49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BE26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AD6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0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08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5A1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发热伴血小板减少综合症布尼亚病毒（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基因、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基因、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基因）三重核酸检测试剂盒（荧光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978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6C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DA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CFE91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58DFE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518D3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D64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8FC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0A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AAF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致病钩端螺旋体核酸试剂盒（荧光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02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335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74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46B2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9FCB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14E425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B0DB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5FC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C4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76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基孔肯雅病毒核酸试剂盒（荧光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B1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DFB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57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F7E0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8001D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1CCA2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D803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F06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E0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C42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鹦鹉热衣原体病毒核酸试剂盒（荧光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8B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1BF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C96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6E94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52C4A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2586F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086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F20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D47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2A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猪链球菌核酸试剂盒（荧光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CCE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3C2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4E3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7FC98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0F268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9FB43A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64D1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733A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872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58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蜱传病原体多重核酸检测试剂盒（荧光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4D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大别班达病毒、伯氏疏螺旋体、回归热螺旋体、森林脑炎病毒、斑点热群立克次体、克里米亚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刚果出血热病毒、查菲埃立克体、嗜吞噬细胞无形体、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C76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54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F446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7B9F9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C7BA1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C5A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056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26C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627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蜱传疾病血清学检测试剂盒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26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发热伴血小板减少综合征病毒、森林脑炎病毒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71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DD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BC60E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7846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F0807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4B4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671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76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674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流行性乙型脑炎病毒核酸检测试剂盒（荧光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54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AC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387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0B34F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EFFA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98FA9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A786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A40F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B3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26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脑膜炎奈瑟菌核酸检测试剂盒（荧光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4F5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015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487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710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5C843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6E3853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545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787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8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3F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7F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脑膜炎奈瑟菌(X型，Y型，W135型)三重核酸检测试剂盒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BC7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B6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04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601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B774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6001C6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58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霍乱弧菌</w:t>
            </w:r>
          </w:p>
        </w:tc>
      </w:tr>
      <w:tr w14:paraId="1B8C4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1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0EE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2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脑膜炎奈瑟菌双重核酸检测试剂盒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D9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658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8C8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39C6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450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7E63E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01DB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E17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1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CA6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41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脑膜炎奈瑟菌（A型，B型，C型）三重核酸检测试剂盒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34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87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71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96E5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6FD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B3AAA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9B6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98B2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1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04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638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猪链球菌（通用型，2型）双重核酸检测试剂盒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E9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7C7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57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F44B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7E89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C1CAF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D30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3D6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A26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32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霍乱弧菌核酸检测试剂盒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4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01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8B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1CF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5DD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7F8C8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B24E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1E5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706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8D1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霍乱弧菌O1、0139双重核酸检测试剂盒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1C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A2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D8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2A95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1E6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DB36D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B0D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963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6D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4FD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霍乱弧菌CTXA基因核酸检测试剂盒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4BB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0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421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BABA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9CE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1BABA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9C3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2C2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638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4C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霍乱弧菌CTXAB基因核酸检测试剂盒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63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67D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EC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689D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BEB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8B82F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3A4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63D4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F7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F2E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疟原虫核酸检测试剂盒（四重荧光PCR法）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04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12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A4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EEF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957F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C9B5CA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604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疟原虫检测</w:t>
            </w:r>
          </w:p>
        </w:tc>
      </w:tr>
      <w:tr w14:paraId="61641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5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7F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C29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食源性疾病多重核酸检测预分装试剂盒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73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沙门氏菌、副溶血性弧菌、霍乱弧菌，5种致泻大肠埃希氏菌（EIEC、ETEC、EPEC、EHEC、EAEC）、金黄色葡萄球菌、志贺氏菌、空肠弯曲菌、结肠弯曲菌、蜡样芽胞杆菌、产气荚膜梭菌、嗜水气单胞菌、类志贺邻单胞菌、小肠结肠炎耶尔森氏菌、克罗诺杆菌、单核细胞增生李斯特氏菌和诺如病毒）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476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041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37B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6212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2216B77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C420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C18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4B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FDF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金黄色葡萄球菌核酸检测试剂盒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DE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87A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E06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406D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4B9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FE71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F70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204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0EB64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B9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五种致泻性大肠杆菌核酸检测试剂盒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914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54F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27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0BD7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1CD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412E59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FDA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F5A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198B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FF4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蜡样芽孢杆菌核酸检测试剂盒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668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F91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38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DEE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11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C6398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7AAC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0FB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6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C2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C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产志贺毒素大肠埃希菌核酸检测试剂盒（含毒力基因stx）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579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C9C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35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0EE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FA05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04222A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821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80B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4" w:hRule="atLeast"/>
        </w:trPr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60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4AE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副溶血弧菌核酸检测试剂盒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DBD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C1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人份</w:t>
            </w:r>
          </w:p>
        </w:tc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4D5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3C5D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3917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77C349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B29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0E0AFBF4">
      <w:pPr>
        <w:widowControl w:val="0"/>
        <w:kinsoku/>
        <w:spacing w:line="242" w:lineRule="auto"/>
        <w:rPr>
          <w:rFonts w:hint="eastAsia" w:asciiTheme="minorEastAsia" w:hAnsiTheme="minorEastAsia" w:eastAsiaTheme="minorEastAsia"/>
          <w:color w:val="auto"/>
          <w:lang w:val="en-US" w:eastAsia="zh-CN"/>
        </w:rPr>
      </w:pPr>
      <w:r>
        <w:rPr>
          <w:rFonts w:hint="eastAsia" w:asciiTheme="minorEastAsia" w:hAnsiTheme="minorEastAsia" w:eastAsiaTheme="minorEastAsia"/>
          <w:color w:val="auto"/>
          <w:lang w:val="en-US" w:eastAsia="zh-CN"/>
        </w:rPr>
        <w:t xml:space="preserve"> </w:t>
      </w:r>
    </w:p>
    <w:p w14:paraId="0D0785EB">
      <w:pPr>
        <w:widowControl w:val="0"/>
        <w:kinsoku/>
        <w:spacing w:line="242" w:lineRule="auto"/>
        <w:rPr>
          <w:rFonts w:hint="eastAsia" w:asciiTheme="minorEastAsia" w:hAnsiTheme="minorEastAsia" w:eastAsiaTheme="minorEastAsia"/>
          <w:color w:val="auto"/>
          <w:lang w:val="en-US" w:eastAsia="zh-CN"/>
        </w:rPr>
      </w:pPr>
      <w:r>
        <w:rPr>
          <w:rFonts w:hint="eastAsia" w:asciiTheme="minorEastAsia" w:hAnsiTheme="minorEastAsia" w:eastAsiaTheme="minorEastAsia"/>
          <w:color w:val="auto"/>
          <w:lang w:val="en-US" w:eastAsia="zh-CN"/>
        </w:rPr>
        <w:t>（3）清单3</w:t>
      </w:r>
    </w:p>
    <w:tbl>
      <w:tblPr>
        <w:tblStyle w:val="3"/>
        <w:tblW w:w="6020" w:type="pct"/>
        <w:tblInd w:w="-5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6"/>
        <w:gridCol w:w="1448"/>
        <w:gridCol w:w="2949"/>
        <w:gridCol w:w="765"/>
        <w:gridCol w:w="782"/>
        <w:gridCol w:w="784"/>
        <w:gridCol w:w="1056"/>
        <w:gridCol w:w="2024"/>
      </w:tblGrid>
      <w:tr w14:paraId="3514E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76B6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35F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商品名称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5B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型号/规格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C11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5C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D76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E4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额（元）</w:t>
            </w: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99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 量 要 求</w:t>
            </w:r>
          </w:p>
        </w:tc>
      </w:tr>
      <w:tr w14:paraId="1AA8F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B32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40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重呼吸道病原体核酸检测试剂盒（荧光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法）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8830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多重呼吸道检测试剂盒  包含以下检测项目28项（鼻病毒、腺病毒、人偏肺病毒、博卡病毒、甲型流感病毒 H3N2(HA)型、甲型流感病毒 H1N1(HA)型、乙型流感病毒 BV 型、乙型流感病毒 BY 型、人冠状病毒 NL63/229E/OC43/HKU1 型、副流感病毒 I/II/III/IV 型、 新型冠状病毒 ORF1ab 基因、新型冠状病毒 N 基因、甲型流感病 毒、乙型流感病毒、百日咳杆菌、流感嗜血杆菌、A 组链球菌、 肺炎支原体、肺炎链球菌、肠道病毒、 呼吸道合胞病毒 A 型、 呼吸道合胞病毒 B 型）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962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人份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D45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BE3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163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1D3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投标试剂盒生产厂家需提供同品牌≥13种呼吸道类别病原参比试剂，参比试剂需经国家药品监督管理局审批获证，以便后续开展方法的性能验证。(需提供三类医疗器械注册证）多重检测试剂不超过8管/份标本</w:t>
            </w:r>
          </w:p>
        </w:tc>
      </w:tr>
      <w:tr w14:paraId="56A20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5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BD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28C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种发热伴出血症候病原体多重核酸检测试剂盒（荧光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PCR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法）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133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大别班达病毒、汉滩病毒、首尔病毒、普马拉病毒、登革病毒、克里米亚刚果出血热病毒、湿地病毒、钩端螺旋体、人嗜吞噬细胞无形体、猪链球菌、鄂木斯克病毒、卡萨诺尔森林病毒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B98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人份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76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6BB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EA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9EC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响应文件中需提供多重检测试剂不超过4管/份标本</w:t>
            </w:r>
          </w:p>
        </w:tc>
      </w:tr>
      <w:tr w14:paraId="0CD87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052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8C6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百日咳杆菌双重核酸检测试剂盒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45D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25人份/盒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686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人份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ED1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6E0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B55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0F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317C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33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D6D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诺如病毒核酸检测试剂及分型（GI/GII型）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E0C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通用、1型、2型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F4F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人份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029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F50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74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6D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21EC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2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144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AF0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猴痘病毒核酸检测试剂盒（荧光PCR法）</w:t>
            </w:r>
          </w:p>
        </w:tc>
        <w:tc>
          <w:tcPr>
            <w:tcW w:w="14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63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3C0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人份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EDA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461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B0B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733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响应文件中须提供单重或多重具有三类医疗器械注册证</w:t>
            </w:r>
          </w:p>
        </w:tc>
      </w:tr>
    </w:tbl>
    <w:p w14:paraId="4C7C206C">
      <w:pPr>
        <w:widowControl w:val="0"/>
        <w:kinsoku/>
        <w:spacing w:line="242" w:lineRule="auto"/>
        <w:rPr>
          <w:rFonts w:hint="default" w:asciiTheme="minorEastAsia" w:hAnsiTheme="minorEastAsia" w:eastAsiaTheme="minorEastAsia"/>
          <w:color w:val="auto"/>
          <w:lang w:val="en-US" w:eastAsia="zh-CN"/>
        </w:rPr>
      </w:pPr>
    </w:p>
    <w:p w14:paraId="1159ECFA">
      <w:pPr>
        <w:spacing w:line="480" w:lineRule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（清单1）通用核酸参数</w:t>
      </w:r>
    </w:p>
    <w:p w14:paraId="6D224365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.检测时间：可提供除酶以外一管预混液体系包装，也可提供可拆卸的96孔板0.1ml或0.2ml包装。每个反应孔核酸体积不超过5μL，终体积不超过25μL，一次性完成多种基因型的定性检测，反应理论时间≤38min，反应时长≤70min</w:t>
      </w:r>
    </w:p>
    <w:p w14:paraId="59C9546A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2.荧光PCR反应程序：a）逆转录50℃≤10min；b）预变性95℃≤30sec；c）退火/延伸/检测荧光95℃≤5sec及60℃≤30 sec，循环≤45次。</w:t>
      </w:r>
    </w:p>
    <w:p w14:paraId="10344000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3.qPCR分析软件：可提供试剂盒同品牌的多病原核酸检测结果自动判读软件，一键自动完成多种病原体的结果判读。                                                                                                                                  4.试剂可承受的反复冻融次数≥5次。                                                                                                                               5.适用于：于ABI7500，Bio-Rad CFX96，Roche Lightcycler480I、Lightcycler480II、cobas Z480，宏石SLAN-96S、SLAN-96P 等全自动荧光PCR 检测仪。                                                                                                                        6.检测性能：灵敏度≤1000copies/mL，与其他病原菌均无交叉反应。                                                                                                       7.有效期：不少于12个月，到货后质保期不少于10个月。 </w:t>
      </w:r>
    </w:p>
    <w:p w14:paraId="5B9C1780">
      <w:pPr>
        <w:spacing w:line="48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8. 为保证扩增程序一致可同时上机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清单1所投产品需为同一品牌。</w:t>
      </w:r>
    </w:p>
    <w:p w14:paraId="32F9998D">
      <w:pPr>
        <w:widowControl w:val="0"/>
        <w:kinsoku/>
        <w:spacing w:line="480" w:lineRule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（清单2）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通用核酸参数</w:t>
      </w:r>
    </w:p>
    <w:p w14:paraId="15B5565E">
      <w:pPr>
        <w:spacing w:line="360" w:lineRule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、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规格：25反应/盒，50反应/盒</w:t>
      </w:r>
    </w:p>
    <w:p w14:paraId="384FCA64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2、储存条件及有效期：避光-20±5℃贮存，有效期12个月。开封后避光-20±5℃贮存，对有效期没有影响；冰袋低温运输4天、反复冻融5次对效期没有影响。</w:t>
      </w:r>
    </w:p>
    <w:p w14:paraId="3118FD46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3、探针为Taqman探针，试剂灵敏度高、特异性好、抗污染性强。</w:t>
      </w:r>
    </w:p>
    <w:p w14:paraId="3D88D27C">
      <w:pPr>
        <w:spacing w:line="360" w:lineRule="auto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4、最低检测限：500 copies/mL 。</w:t>
      </w:r>
    </w:p>
    <w:p w14:paraId="52324F76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5、线性检测范围：2×10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vertAlign w:val="superscript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~1×10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vertAlign w:val="superscript"/>
          <w:lang w:val="en-US" w:eastAsia="zh-CN"/>
        </w:rPr>
        <w:t>8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 xml:space="preserve"> copies/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mL</w:t>
      </w:r>
    </w:p>
    <w:p w14:paraId="2EF710D4">
      <w:pPr>
        <w:spacing w:line="360" w:lineRule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6、扩增时间小于80分钟。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</w:p>
    <w:p w14:paraId="65FE031B">
      <w:pPr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7、适用仪器：ABI 7500、QuantStudio™ 5、QuantStudio™ 7、Roche LightCycler® 480、Bio-Rad CFX96™、上海宏石SLAN-96P/S 等荧光定量 PCR 仪。</w:t>
      </w:r>
    </w:p>
    <w:p w14:paraId="19C26D3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sz w:val="24"/>
          <w:szCs w:val="24"/>
        </w:rPr>
        <w:t>、生产企业需具有医疗器械生产企业许可证。</w:t>
      </w:r>
    </w:p>
    <w:p w14:paraId="5E42A351">
      <w:pPr>
        <w:spacing w:line="36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9、为方便使用，扩增程序一致性，所投试剂品牌为同一品牌。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                                                                                                                                          </w:t>
      </w:r>
    </w:p>
    <w:p w14:paraId="31CF7B51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10..生产厂家资质：拥有生物安全二级实验室备案、医疗机构（医学检验实验室）执业许可及测序服务平台，能对所投标产品提供数据验证支撑（以上在响应文件中需提供有效证明文件复印件佐证），且一年内免费提供20份异常标本的宏基因测序需求。</w:t>
      </w:r>
    </w:p>
    <w:p w14:paraId="6ECC3EF8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11.为保证扩增程序一致可同时上机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清单2所投产品需为同一品牌。</w:t>
      </w:r>
    </w:p>
    <w:p w14:paraId="6473211D">
      <w:pPr>
        <w:widowControl w:val="0"/>
        <w:kinsoku/>
        <w:spacing w:line="480" w:lineRule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（清单3）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通用核酸参数</w:t>
      </w:r>
    </w:p>
    <w:p w14:paraId="113EEBA3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1.用于 于ABI7500，Bio-Rad CFX96，Roche Lightcycler480I、Lightcycler480II、cobas Z480，宏石SLAN-96S、SLAN-96P 等全自动荧光PCR 检测仪。</w:t>
      </w:r>
    </w:p>
    <w:p w14:paraId="529A6DDB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2.试剂效期：12 个月，到货后质保期不少于10个月。</w:t>
      </w:r>
    </w:p>
    <w:p w14:paraId="7305347E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3.荧光 PCR 法，探针为 Taqman 探针，具有单重、双重、三重、四重及多重荧光 PCR 试剂。</w:t>
      </w:r>
    </w:p>
    <w:p w14:paraId="78F1D7E9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4.扩增时间 RNA 类标本不大于 80 分钟，DNA 类标本不大于 70 分钟。</w:t>
      </w:r>
    </w:p>
    <w:p w14:paraId="24F13957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5.试剂盒成份精简，组分：RT-PCR 反应液、酶混合液、引物探针、阴阳性对照品，减少加样次数，从而减少操作人员工作量。</w:t>
      </w:r>
    </w:p>
    <w:p w14:paraId="4D2EF94F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6.试剂具有抵抗反复冻融及防污染能力，具有超强的热稳定性。</w:t>
      </w:r>
    </w:p>
    <w:p w14:paraId="03159559">
      <w:pPr>
        <w:spacing w:line="480" w:lineRule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7.检测精密性参考品的变异系数≦5%。                                                                                                                                     8.检测性能：灵敏度≤1000copies/mL，与其他病原菌均无交叉反应。                                                                                                                                                                </w:t>
      </w:r>
    </w:p>
    <w:p w14:paraId="5D5C179C">
      <w:pPr>
        <w:widowControl w:val="0"/>
        <w:kinsoku/>
        <w:spacing w:line="242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9.为保证扩增程序一致可同时上机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清单3所投产品需为同一品牌。</w:t>
      </w:r>
    </w:p>
    <w:p w14:paraId="4B817FF3">
      <w:pPr>
        <w:widowControl w:val="0"/>
        <w:kinsoku/>
        <w:spacing w:before="78" w:line="360" w:lineRule="auto"/>
        <w:rPr>
          <w:rFonts w:cs="宋体" w:asciiTheme="minorEastAsia" w:hAnsiTheme="minorEastAsia" w:eastAsiaTheme="minorEastAsia"/>
          <w:color w:val="auto"/>
          <w:sz w:val="24"/>
          <w:szCs w:val="24"/>
          <w:lang w:eastAsia="zh-CN"/>
        </w:rPr>
      </w:pPr>
      <w:r>
        <w:rPr>
          <w:rFonts w:cs="宋体" w:asciiTheme="minorEastAsia" w:hAnsiTheme="minorEastAsia" w:eastAsiaTheme="minorEastAsia"/>
          <w:color w:val="auto"/>
          <w:spacing w:val="-6"/>
          <w:sz w:val="24"/>
          <w:szCs w:val="24"/>
          <w:lang w:eastAsia="zh-CN"/>
        </w:rPr>
        <w:t>（二）</w:t>
      </w:r>
      <w:r>
        <w:rPr>
          <w:rFonts w:cs="宋体" w:asciiTheme="minorEastAsia" w:hAnsiTheme="minorEastAsia" w:eastAsiaTheme="minorEastAsia"/>
          <w:color w:val="auto"/>
          <w:spacing w:val="32"/>
          <w:sz w:val="24"/>
          <w:szCs w:val="24"/>
          <w:lang w:eastAsia="zh-CN"/>
        </w:rPr>
        <w:t xml:space="preserve"> </w:t>
      </w:r>
      <w:r>
        <w:rPr>
          <w:rFonts w:cs="宋体" w:asciiTheme="minorEastAsia" w:hAnsiTheme="minorEastAsia" w:eastAsiaTheme="minorEastAsia"/>
          <w:color w:val="auto"/>
          <w:spacing w:val="-6"/>
          <w:sz w:val="24"/>
          <w:szCs w:val="24"/>
          <w:lang w:eastAsia="zh-CN"/>
        </w:rPr>
        <w:t>商务条件</w:t>
      </w:r>
    </w:p>
    <w:p w14:paraId="44BD6A53">
      <w:pPr>
        <w:spacing w:before="79" w:line="360" w:lineRule="auto"/>
        <w:ind w:right="118" w:firstLine="495" w:firstLineChars="20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1、付款条件和方式</w:t>
      </w:r>
      <w:r>
        <w:rPr>
          <w:rFonts w:ascii="宋体" w:hAnsi="宋体" w:eastAsia="宋体" w:cs="宋体"/>
          <w:spacing w:val="-1"/>
          <w:sz w:val="24"/>
          <w:szCs w:val="24"/>
        </w:rPr>
        <w:t>：合同签订后,收到采购人需求通知，按需分批次配送</w:t>
      </w:r>
      <w:r>
        <w:rPr>
          <w:rFonts w:ascii="宋体" w:hAnsi="宋体" w:eastAsia="宋体" w:cs="宋体"/>
          <w:spacing w:val="-2"/>
          <w:sz w:val="24"/>
          <w:szCs w:val="24"/>
        </w:rPr>
        <w:t>到货，经采购人验收合格后，按实际采购数量分批次据实结算货款。</w:t>
      </w:r>
    </w:p>
    <w:p w14:paraId="78F94881">
      <w:pPr>
        <w:spacing w:line="360" w:lineRule="auto"/>
        <w:ind w:left="4" w:firstLine="466" w:firstLineChars="20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2、合同履行期限：</w:t>
      </w:r>
      <w:r>
        <w:rPr>
          <w:rFonts w:hint="eastAsia" w:ascii="宋体" w:hAnsi="宋体" w:eastAsia="宋体" w:cs="宋体"/>
          <w:spacing w:val="-2"/>
          <w:sz w:val="24"/>
          <w:szCs w:val="24"/>
          <w:lang w:eastAsia="zh-CN"/>
        </w:rPr>
        <w:t>合同签订后的</w:t>
      </w:r>
      <w:r>
        <w:rPr>
          <w:rFonts w:hint="eastAsia" w:ascii="宋体" w:hAnsi="宋体" w:eastAsia="宋体" w:cs="宋体"/>
          <w:spacing w:val="-2"/>
          <w:sz w:val="24"/>
          <w:szCs w:val="24"/>
          <w:lang w:val="en-US" w:eastAsia="zh-CN"/>
        </w:rPr>
        <w:t>12个月</w:t>
      </w:r>
      <w:r>
        <w:rPr>
          <w:rFonts w:hint="eastAsia" w:ascii="宋体" w:hAnsi="宋体" w:eastAsia="宋体" w:cs="宋体"/>
          <w:spacing w:val="-2"/>
          <w:sz w:val="24"/>
          <w:szCs w:val="24"/>
          <w:lang w:eastAsia="zh-CN"/>
        </w:rPr>
        <w:t>内完成供货</w:t>
      </w:r>
      <w:r>
        <w:rPr>
          <w:rFonts w:ascii="宋体" w:hAnsi="宋体" w:eastAsia="宋体" w:cs="宋体"/>
          <w:spacing w:val="-2"/>
          <w:sz w:val="24"/>
          <w:szCs w:val="24"/>
        </w:rPr>
        <w:t>。</w:t>
      </w:r>
    </w:p>
    <w:p w14:paraId="74FD7DE0">
      <w:pPr>
        <w:spacing w:before="182" w:line="360" w:lineRule="auto"/>
        <w:ind w:firstLine="478" w:firstLineChars="20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3、交货时间：</w:t>
      </w:r>
      <w:r>
        <w:rPr>
          <w:rFonts w:ascii="宋体" w:hAnsi="宋体" w:eastAsia="宋体" w:cs="宋体"/>
          <w:spacing w:val="-1"/>
          <w:sz w:val="24"/>
          <w:szCs w:val="24"/>
        </w:rPr>
        <w:t>根据采购单位供货需求分批次将产品及时运送到采购单位指定地点，收</w:t>
      </w:r>
      <w:r>
        <w:rPr>
          <w:rFonts w:ascii="宋体" w:hAnsi="宋体" w:eastAsia="宋体" w:cs="宋体"/>
          <w:sz w:val="24"/>
          <w:szCs w:val="24"/>
        </w:rPr>
        <w:t>到采购单位订单后 7 个工作日内到货，供货时</w:t>
      </w:r>
      <w:r>
        <w:rPr>
          <w:rFonts w:ascii="宋体" w:hAnsi="宋体" w:eastAsia="宋体" w:cs="宋体"/>
          <w:spacing w:val="-2"/>
          <w:sz w:val="24"/>
          <w:szCs w:val="24"/>
        </w:rPr>
        <w:t>出库单（复印件加盖单位公章）提供给采购单位。</w:t>
      </w:r>
    </w:p>
    <w:p w14:paraId="02B16C6C">
      <w:pPr>
        <w:spacing w:before="1"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4、其他要求：</w:t>
      </w:r>
    </w:p>
    <w:p w14:paraId="5224B736">
      <w:pPr>
        <w:spacing w:before="180" w:line="360" w:lineRule="auto"/>
        <w:ind w:left="2" w:right="20" w:firstLine="242" w:firstLineChars="102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（1）中标人须保证货物是全新、未使用过的，并完全符合强制性的国家技术质量规范</w:t>
      </w:r>
      <w:r>
        <w:rPr>
          <w:rFonts w:ascii="宋体" w:hAnsi="宋体" w:eastAsia="宋体" w:cs="宋体"/>
          <w:spacing w:val="-2"/>
          <w:sz w:val="24"/>
          <w:szCs w:val="24"/>
        </w:rPr>
        <w:t>和招标文件规定的质量、规格、性能和技术规范等要求。</w:t>
      </w:r>
    </w:p>
    <w:p w14:paraId="31B8D358">
      <w:pPr>
        <w:spacing w:before="180" w:line="360" w:lineRule="auto"/>
        <w:ind w:left="2" w:right="20" w:firstLine="244" w:firstLineChars="102"/>
        <w:rPr>
          <w:rFonts w:ascii="宋体" w:hAnsi="宋体" w:eastAsia="宋体" w:cs="宋体"/>
          <w:spacing w:val="-1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（2）中标人须保证所提供的货物为原厂生产的</w:t>
      </w:r>
      <w:r>
        <w:rPr>
          <w:rFonts w:ascii="宋体" w:hAnsi="宋体" w:eastAsia="宋体" w:cs="宋体"/>
          <w:spacing w:val="-1"/>
          <w:sz w:val="24"/>
          <w:szCs w:val="24"/>
        </w:rPr>
        <w:t>合格产品；有效期≤1年的，所供产品</w:t>
      </w:r>
      <w:r>
        <w:rPr>
          <w:rFonts w:ascii="宋体" w:hAnsi="宋体" w:eastAsia="宋体" w:cs="宋体"/>
          <w:sz w:val="24"/>
          <w:szCs w:val="24"/>
        </w:rPr>
        <w:t>到</w:t>
      </w:r>
      <w:r>
        <w:rPr>
          <w:rFonts w:ascii="宋体" w:hAnsi="宋体" w:eastAsia="宋体" w:cs="宋体"/>
          <w:spacing w:val="-1"/>
          <w:sz w:val="24"/>
          <w:szCs w:val="24"/>
        </w:rPr>
        <w:t>达采购单位距离生产日期不能超过2个月。有效期&gt;1年的，所供产品到达采购单位距离生产日期不能超过3个月，产品的运输和贮存须符合法律规定，并向采购人提供相应运输记录。质量保证期内发生的一切费用由乙方承担。</w:t>
      </w:r>
    </w:p>
    <w:p w14:paraId="16143728">
      <w:pPr>
        <w:spacing w:before="180" w:line="360" w:lineRule="auto"/>
        <w:ind w:left="2" w:right="20" w:firstLine="242" w:firstLineChars="102"/>
        <w:rPr>
          <w:rFonts w:ascii="宋体" w:hAnsi="宋体" w:eastAsia="宋体" w:cs="宋体"/>
          <w:spacing w:val="-1"/>
          <w:sz w:val="24"/>
          <w:szCs w:val="24"/>
        </w:rPr>
      </w:pPr>
      <w:r>
        <w:rPr>
          <w:rFonts w:ascii="宋体" w:hAnsi="宋体" w:eastAsia="宋体" w:cs="宋体"/>
          <w:spacing w:val="-1"/>
          <w:sz w:val="24"/>
          <w:szCs w:val="24"/>
        </w:rPr>
        <w:t>（3）在提供每一批次的产品时，随货提供产品的产品合格证书。</w:t>
      </w:r>
    </w:p>
    <w:p w14:paraId="6422D39D">
      <w:pPr>
        <w:spacing w:before="26" w:line="360" w:lineRule="auto"/>
        <w:rPr>
          <w:rFonts w:ascii="宋体" w:hAnsi="宋体" w:eastAsia="宋体" w:cs="宋体"/>
          <w:b/>
          <w:bCs/>
          <w:spacing w:val="-2"/>
          <w:sz w:val="24"/>
          <w:szCs w:val="24"/>
        </w:rPr>
      </w:pPr>
    </w:p>
    <w:p w14:paraId="429DC4C5">
      <w:pPr>
        <w:spacing w:before="26" w:line="360" w:lineRule="auto"/>
        <w:ind w:firstLine="711" w:firstLineChars="30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注：投标人须完全响应上述商务条件，否则投标</w:t>
      </w:r>
      <w:r>
        <w:rPr>
          <w:rFonts w:ascii="宋体" w:hAnsi="宋体" w:eastAsia="宋体" w:cs="宋体"/>
          <w:b/>
          <w:bCs/>
          <w:spacing w:val="-3"/>
          <w:sz w:val="24"/>
          <w:szCs w:val="24"/>
        </w:rPr>
        <w:t>无效。</w:t>
      </w:r>
    </w:p>
    <w:p w14:paraId="6CFD3747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jc w:val="both"/>
        <w:rPr>
          <w:color w:val="auto"/>
          <w:highlight w:val="none"/>
          <w:lang w:eastAsia="zh-CN"/>
        </w:rPr>
      </w:pPr>
      <w:bookmarkStart w:id="4" w:name="bookmark82"/>
      <w:bookmarkEnd w:id="4"/>
    </w:p>
    <w:p w14:paraId="712617C3"/>
    <w:sectPr>
      <w:footerReference r:id="rId4" w:type="default"/>
      <w:pgSz w:w="11906" w:h="16839"/>
      <w:pgMar w:top="1463" w:right="1757" w:bottom="1463" w:left="175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63B3A6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5FD6FC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5FD6FC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C2EED5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307CC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307CC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054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5">
    <w:name w:val="Table Text"/>
    <w:basedOn w:val="1"/>
    <w:semiHidden/>
    <w:qFormat/>
    <w:uiPriority w:val="0"/>
  </w:style>
  <w:style w:type="character" w:customStyle="1" w:styleId="6">
    <w:name w:val="font9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2026-07-02T08:19:52Z</dcterms:created>
  <dc:creator>admin</dc:creator>
  <cp:lastModifiedBy>admin</cp:lastModifiedBy>
  <dcterms:modified xsi:type="dcterms:W3CDTF">2026-07-02T08:20:25Z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eyJoZGlkIjoiMGFhMGMwYjU5NTQ2ZDdkZWI2M2Q0NGM1ZmUwMWNjZWYiLCJ1c2VySWQiOiIxMDIxMTEyODMzIn0=</vt:lpwstr>
  </property>
  <property fmtid="{D5CDD505-2E9C-101B-9397-08002B2CF9AE}" pid="4" name="ICV">
    <vt:lpwstr>73979A34171B49648DF6D5713443A950_12</vt:lpwstr>
  </property>
</Properties>
</file>