
<file path=[Content_Types].xml><?xml version="1.0" encoding="utf-8"?>
<Types xmlns="http://schemas.openxmlformats.org/package/2006/content-types">
  <Default Extension="jpeg" ContentType="image/jpeg"/>
  <Default Extension="JPG" ContentType="image/.jp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04BFFA">
      <w:pPr>
        <w:widowControl w:val="0"/>
        <w:kinsoku/>
        <w:spacing w:before="47" w:line="219" w:lineRule="auto"/>
        <w:ind w:left="3805"/>
        <w:outlineLvl w:val="1"/>
        <w:rPr>
          <w:rFonts w:hint="eastAsia" w:ascii="宋体" w:hAnsi="宋体" w:eastAsia="宋体" w:cs="宋体"/>
          <w:color w:val="auto"/>
          <w:sz w:val="24"/>
          <w:szCs w:val="24"/>
          <w:highlight w:val="none"/>
        </w:rPr>
      </w:pPr>
      <w:r>
        <w:rPr>
          <w:rFonts w:ascii="宋体" w:hAnsi="宋体" w:eastAsia="宋体" w:cs="宋体"/>
          <w:color w:val="auto"/>
          <w:spacing w:val="-2"/>
          <w:sz w:val="24"/>
          <w:szCs w:val="24"/>
          <w:highlight w:val="none"/>
        </w:rPr>
        <w:t>采购</w:t>
      </w:r>
      <w:r>
        <w:rPr>
          <w:rFonts w:hint="eastAsia" w:ascii="宋体" w:hAnsi="宋体" w:eastAsia="宋体" w:cs="宋体"/>
          <w:color w:val="auto"/>
          <w:spacing w:val="-2"/>
          <w:sz w:val="24"/>
          <w:szCs w:val="24"/>
          <w:highlight w:val="none"/>
          <w:lang w:eastAsia="zh-CN"/>
        </w:rPr>
        <w:t>要</w:t>
      </w:r>
      <w:r>
        <w:rPr>
          <w:rFonts w:ascii="宋体" w:hAnsi="宋体" w:eastAsia="宋体" w:cs="宋体"/>
          <w:color w:val="auto"/>
          <w:spacing w:val="-2"/>
          <w:sz w:val="24"/>
          <w:szCs w:val="24"/>
          <w:highlight w:val="none"/>
        </w:rPr>
        <w:t>求</w:t>
      </w:r>
    </w:p>
    <w:p w14:paraId="0DB090F1">
      <w:pPr>
        <w:widowControl w:val="0"/>
        <w:kinsoku/>
        <w:spacing w:line="257" w:lineRule="auto"/>
        <w:rPr>
          <w:color w:val="auto"/>
          <w:highlight w:val="none"/>
        </w:rPr>
      </w:pPr>
    </w:p>
    <w:p w14:paraId="61A63C34">
      <w:pPr>
        <w:widowControl w:val="0"/>
        <w:kinsoku/>
        <w:spacing w:line="258" w:lineRule="auto"/>
        <w:rPr>
          <w:color w:val="auto"/>
          <w:highlight w:val="none"/>
        </w:rPr>
      </w:pPr>
    </w:p>
    <w:p w14:paraId="28FAC5D3">
      <w:pPr>
        <w:widowControl w:val="0"/>
        <w:kinsoku/>
        <w:spacing w:before="78" w:line="219" w:lineRule="auto"/>
        <w:rPr>
          <w:rFonts w:hint="eastAsia" w:ascii="宋体" w:hAnsi="宋体" w:eastAsia="宋体" w:cs="宋体"/>
          <w:color w:val="auto"/>
          <w:sz w:val="24"/>
          <w:szCs w:val="24"/>
          <w:highlight w:val="none"/>
        </w:rPr>
      </w:pPr>
      <w:r>
        <w:rPr>
          <w:rFonts w:ascii="宋体" w:hAnsi="宋体" w:eastAsia="宋体" w:cs="宋体"/>
          <w:color w:val="auto"/>
          <w:spacing w:val="-5"/>
          <w:sz w:val="24"/>
          <w:szCs w:val="24"/>
          <w:highlight w:val="none"/>
        </w:rPr>
        <w:t>（一）</w:t>
      </w:r>
      <w:r>
        <w:rPr>
          <w:rFonts w:ascii="宋体" w:hAnsi="宋体" w:eastAsia="宋体" w:cs="宋体"/>
          <w:color w:val="auto"/>
          <w:spacing w:val="25"/>
          <w:sz w:val="24"/>
          <w:szCs w:val="24"/>
          <w:highlight w:val="none"/>
        </w:rPr>
        <w:t xml:space="preserve"> </w:t>
      </w:r>
      <w:r>
        <w:rPr>
          <w:rFonts w:ascii="宋体" w:hAnsi="宋体" w:eastAsia="宋体" w:cs="宋体"/>
          <w:color w:val="auto"/>
          <w:spacing w:val="-5"/>
          <w:sz w:val="24"/>
          <w:szCs w:val="24"/>
          <w:highlight w:val="none"/>
        </w:rPr>
        <w:t>技术需求</w:t>
      </w:r>
    </w:p>
    <w:p w14:paraId="3E705BBD">
      <w:pPr>
        <w:widowControl w:val="0"/>
        <w:kinsoku/>
        <w:spacing w:line="242" w:lineRule="auto"/>
        <w:rPr>
          <w:color w:val="auto"/>
          <w:highlight w:val="none"/>
        </w:rPr>
      </w:pPr>
    </w:p>
    <w:tbl>
      <w:tblPr>
        <w:tblStyle w:val="2"/>
        <w:tblW w:w="10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1"/>
        <w:gridCol w:w="1277"/>
        <w:gridCol w:w="4603"/>
        <w:gridCol w:w="3336"/>
        <w:gridCol w:w="850"/>
      </w:tblGrid>
      <w:tr w14:paraId="78A1F7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531" w:type="dxa"/>
            <w:vAlign w:val="center"/>
          </w:tcPr>
          <w:p w14:paraId="72F94C5E">
            <w:pPr>
              <w:spacing w:line="360" w:lineRule="auto"/>
              <w:jc w:val="center"/>
              <w:rPr>
                <w:rFonts w:ascii="宋体" w:hAnsi="宋体" w:eastAsia="宋体" w:cs="宋体"/>
                <w:b/>
                <w:color w:val="auto"/>
                <w:sz w:val="24"/>
                <w:szCs w:val="24"/>
                <w:highlight w:val="none"/>
              </w:rPr>
            </w:pPr>
            <w:r>
              <w:rPr>
                <w:rFonts w:hint="eastAsia" w:ascii="宋体" w:hAnsi="宋体" w:eastAsia="宋体" w:cs="宋体"/>
                <w:b/>
                <w:color w:val="auto"/>
                <w:sz w:val="24"/>
                <w:szCs w:val="24"/>
                <w:highlight w:val="none"/>
              </w:rPr>
              <w:t>序号</w:t>
            </w:r>
          </w:p>
        </w:tc>
        <w:tc>
          <w:tcPr>
            <w:tcW w:w="1277" w:type="dxa"/>
            <w:vAlign w:val="center"/>
          </w:tcPr>
          <w:p w14:paraId="52197743">
            <w:pPr>
              <w:spacing w:line="360" w:lineRule="auto"/>
              <w:jc w:val="center"/>
              <w:rPr>
                <w:rFonts w:ascii="宋体" w:hAnsi="宋体" w:eastAsia="宋体" w:cs="宋体"/>
                <w:b/>
                <w:color w:val="auto"/>
                <w:sz w:val="24"/>
                <w:szCs w:val="24"/>
                <w:highlight w:val="none"/>
              </w:rPr>
            </w:pPr>
            <w:r>
              <w:rPr>
                <w:rFonts w:hint="eastAsia" w:ascii="宋体" w:hAnsi="宋体" w:eastAsia="宋体" w:cs="宋体"/>
                <w:b/>
                <w:color w:val="auto"/>
                <w:sz w:val="24"/>
                <w:szCs w:val="24"/>
                <w:highlight w:val="none"/>
              </w:rPr>
              <w:t>项目明细</w:t>
            </w:r>
          </w:p>
        </w:tc>
        <w:tc>
          <w:tcPr>
            <w:tcW w:w="4603" w:type="dxa"/>
            <w:vAlign w:val="center"/>
          </w:tcPr>
          <w:p w14:paraId="7907D1F6">
            <w:pPr>
              <w:spacing w:line="360" w:lineRule="auto"/>
              <w:jc w:val="center"/>
              <w:rPr>
                <w:rFonts w:ascii="宋体" w:hAnsi="宋体" w:eastAsia="宋体" w:cs="宋体"/>
                <w:b/>
                <w:color w:val="auto"/>
                <w:sz w:val="24"/>
                <w:szCs w:val="24"/>
                <w:highlight w:val="none"/>
                <w:lang w:eastAsia="zh-CN"/>
              </w:rPr>
            </w:pPr>
            <w:bookmarkStart w:id="0" w:name="OLE_LINK34"/>
            <w:bookmarkStart w:id="1" w:name="OLE_LINK114"/>
            <w:bookmarkStart w:id="2" w:name="OLE_LINK46"/>
            <w:r>
              <w:rPr>
                <w:rFonts w:hint="eastAsia" w:ascii="宋体" w:hAnsi="宋体" w:eastAsia="宋体" w:cs="宋体"/>
                <w:b/>
                <w:color w:val="auto"/>
                <w:sz w:val="24"/>
                <w:szCs w:val="24"/>
                <w:highlight w:val="none"/>
                <w:lang w:eastAsia="zh-CN"/>
              </w:rPr>
              <w:t>主要技术参数</w:t>
            </w:r>
          </w:p>
          <w:p w14:paraId="09F837D4">
            <w:pPr>
              <w:spacing w:line="360" w:lineRule="auto"/>
              <w:rPr>
                <w:rFonts w:ascii="宋体" w:hAnsi="宋体" w:eastAsia="宋体" w:cs="宋体"/>
                <w:b/>
                <w:color w:val="auto"/>
                <w:sz w:val="24"/>
                <w:szCs w:val="24"/>
                <w:highlight w:val="none"/>
              </w:rPr>
            </w:pPr>
            <w:r>
              <w:rPr>
                <w:rFonts w:hint="eastAsia" w:ascii="宋体" w:hAnsi="宋体" w:eastAsia="宋体" w:cs="宋体"/>
                <w:b/>
                <w:color w:val="auto"/>
                <w:sz w:val="24"/>
                <w:szCs w:val="24"/>
                <w:highlight w:val="none"/>
                <w:lang w:eastAsia="zh-CN"/>
              </w:rPr>
              <w:t>（以下外形尺寸（长、宽、高），尺寸≥100mm的，允许偏差</w:t>
            </w:r>
            <w:bookmarkStart w:id="3" w:name="OLE_LINK159"/>
            <w:r>
              <w:rPr>
                <w:rFonts w:hint="eastAsia" w:ascii="宋体" w:hAnsi="宋体" w:eastAsia="宋体" w:cs="宋体"/>
                <w:b/>
                <w:color w:val="auto"/>
                <w:sz w:val="24"/>
                <w:szCs w:val="24"/>
                <w:highlight w:val="none"/>
                <w:lang w:eastAsia="zh-CN"/>
              </w:rPr>
              <w:t>±</w:t>
            </w:r>
            <w:bookmarkEnd w:id="3"/>
            <w:r>
              <w:rPr>
                <w:rFonts w:hint="eastAsia" w:ascii="宋体" w:hAnsi="宋体" w:eastAsia="宋体" w:cs="宋体"/>
                <w:b/>
                <w:color w:val="auto"/>
                <w:sz w:val="24"/>
                <w:szCs w:val="24"/>
                <w:highlight w:val="none"/>
                <w:lang w:eastAsia="zh-CN"/>
              </w:rPr>
              <w:t>5mm；尺寸&lt;100mm的，允许偏差±2mm。钢管、钢板、木板的厚度尺寸不允许负偏差。</w:t>
            </w:r>
            <w:r>
              <w:rPr>
                <w:rFonts w:hint="eastAsia" w:ascii="宋体" w:hAnsi="宋体" w:eastAsia="宋体" w:cs="宋体"/>
                <w:b/>
                <w:color w:val="auto"/>
                <w:sz w:val="24"/>
                <w:szCs w:val="24"/>
                <w:highlight w:val="none"/>
              </w:rPr>
              <w:t>）</w:t>
            </w:r>
            <w:bookmarkEnd w:id="0"/>
            <w:bookmarkEnd w:id="1"/>
            <w:bookmarkEnd w:id="2"/>
          </w:p>
        </w:tc>
        <w:tc>
          <w:tcPr>
            <w:tcW w:w="3336" w:type="dxa"/>
            <w:vAlign w:val="center"/>
          </w:tcPr>
          <w:p w14:paraId="1F194C66">
            <w:pPr>
              <w:spacing w:line="360" w:lineRule="auto"/>
              <w:jc w:val="center"/>
              <w:rPr>
                <w:rFonts w:ascii="宋体" w:hAnsi="宋体" w:eastAsia="宋体" w:cs="宋体"/>
                <w:b/>
                <w:color w:val="auto"/>
                <w:sz w:val="24"/>
                <w:szCs w:val="24"/>
                <w:highlight w:val="none"/>
              </w:rPr>
            </w:pPr>
            <w:r>
              <w:rPr>
                <w:rFonts w:hint="eastAsia" w:ascii="宋体" w:hAnsi="宋体" w:eastAsia="宋体" w:cs="宋体"/>
                <w:b/>
                <w:color w:val="auto"/>
                <w:sz w:val="24"/>
                <w:szCs w:val="24"/>
                <w:highlight w:val="none"/>
              </w:rPr>
              <w:t>参考图</w:t>
            </w:r>
          </w:p>
        </w:tc>
        <w:tc>
          <w:tcPr>
            <w:tcW w:w="850" w:type="dxa"/>
            <w:vAlign w:val="center"/>
          </w:tcPr>
          <w:p w14:paraId="3621F53E">
            <w:pPr>
              <w:spacing w:line="360" w:lineRule="auto"/>
              <w:jc w:val="center"/>
              <w:rPr>
                <w:rFonts w:ascii="宋体" w:hAnsi="宋体" w:eastAsia="宋体" w:cs="宋体"/>
                <w:b/>
                <w:color w:val="auto"/>
                <w:sz w:val="24"/>
                <w:szCs w:val="24"/>
                <w:highlight w:val="none"/>
              </w:rPr>
            </w:pPr>
            <w:r>
              <w:rPr>
                <w:rFonts w:hint="eastAsia" w:ascii="宋体" w:hAnsi="宋体" w:eastAsia="宋体" w:cs="宋体"/>
                <w:b/>
                <w:color w:val="auto"/>
                <w:sz w:val="24"/>
                <w:szCs w:val="24"/>
                <w:highlight w:val="none"/>
              </w:rPr>
              <w:t>数量</w:t>
            </w:r>
          </w:p>
        </w:tc>
      </w:tr>
      <w:tr w14:paraId="42FFEF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jc w:val="center"/>
        </w:trPr>
        <w:tc>
          <w:tcPr>
            <w:tcW w:w="531" w:type="dxa"/>
            <w:vAlign w:val="center"/>
          </w:tcPr>
          <w:p w14:paraId="10173275">
            <w:pPr>
              <w:spacing w:line="360" w:lineRule="auto"/>
              <w:jc w:val="center"/>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1277" w:type="dxa"/>
            <w:vAlign w:val="center"/>
          </w:tcPr>
          <w:p w14:paraId="6943611C">
            <w:pPr>
              <w:spacing w:line="360" w:lineRule="auto"/>
              <w:jc w:val="center"/>
              <w:rPr>
                <w:rFonts w:ascii="宋体" w:hAnsi="宋体" w:eastAsia="宋体" w:cs="宋体"/>
                <w:color w:val="auto"/>
                <w:sz w:val="24"/>
                <w:szCs w:val="24"/>
                <w:highlight w:val="none"/>
              </w:rPr>
            </w:pPr>
            <w:bookmarkStart w:id="4" w:name="OLE_LINK40"/>
            <w:r>
              <w:rPr>
                <w:rFonts w:hint="eastAsia" w:ascii="宋体" w:hAnsi="宋体" w:eastAsia="宋体" w:cs="宋体"/>
                <w:color w:val="auto"/>
                <w:sz w:val="24"/>
                <w:szCs w:val="24"/>
                <w:highlight w:val="none"/>
              </w:rPr>
              <w:t>活动联排课桌椅</w:t>
            </w:r>
            <w:bookmarkEnd w:id="4"/>
          </w:p>
        </w:tc>
        <w:tc>
          <w:tcPr>
            <w:tcW w:w="4603" w:type="dxa"/>
            <w:vAlign w:val="center"/>
          </w:tcPr>
          <w:p w14:paraId="47CD3076">
            <w:pPr>
              <w:spacing w:line="360" w:lineRule="auto"/>
              <w:ind w:firstLine="11"/>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1、规格：座宽</w:t>
            </w:r>
            <w:bookmarkStart w:id="5" w:name="OLE_LINK18"/>
            <w:bookmarkStart w:id="6" w:name="OLE_LINK19"/>
            <w:r>
              <w:rPr>
                <w:rFonts w:hint="eastAsia" w:ascii="宋体" w:hAnsi="宋体" w:eastAsia="宋体" w:cs="宋体"/>
                <w:color w:val="auto"/>
                <w:sz w:val="24"/>
                <w:szCs w:val="24"/>
                <w:highlight w:val="none"/>
                <w:lang w:eastAsia="zh-CN"/>
              </w:rPr>
              <w:t>中到中距</w:t>
            </w:r>
            <w:bookmarkEnd w:id="5"/>
            <w:bookmarkEnd w:id="6"/>
            <w:r>
              <w:rPr>
                <w:rFonts w:hint="eastAsia" w:ascii="宋体" w:hAnsi="宋体" w:eastAsia="宋体" w:cs="宋体"/>
                <w:color w:val="auto"/>
                <w:sz w:val="24"/>
                <w:szCs w:val="24"/>
                <w:highlight w:val="none"/>
                <w:lang w:eastAsia="zh-CN"/>
              </w:rPr>
              <w:t>520mm，座高450mm，桌面离地高760mm，具体规格</w:t>
            </w:r>
            <w:r>
              <w:rPr>
                <w:rFonts w:hint="eastAsia" w:ascii="宋体" w:hAnsi="宋体" w:eastAsia="宋体" w:cs="宋体"/>
                <w:bCs/>
                <w:color w:val="auto"/>
                <w:sz w:val="24"/>
                <w:szCs w:val="24"/>
                <w:highlight w:val="none"/>
                <w:lang w:eastAsia="zh-CN"/>
              </w:rPr>
              <w:t>、排位按照实际使用的教室大小来确定</w:t>
            </w:r>
            <w:r>
              <w:rPr>
                <w:rFonts w:hint="eastAsia" w:ascii="宋体" w:hAnsi="宋体" w:eastAsia="宋体" w:cs="宋体"/>
                <w:color w:val="auto"/>
                <w:sz w:val="24"/>
                <w:szCs w:val="24"/>
                <w:highlight w:val="none"/>
                <w:lang w:eastAsia="zh-CN"/>
              </w:rPr>
              <w:t>。</w:t>
            </w:r>
            <w:bookmarkStart w:id="7" w:name="OLE_LINK134"/>
            <w:r>
              <w:rPr>
                <w:rFonts w:hint="eastAsia" w:ascii="宋体" w:hAnsi="宋体" w:eastAsia="宋体" w:cs="宋体"/>
                <w:color w:val="auto"/>
                <w:spacing w:val="-6"/>
                <w:sz w:val="24"/>
                <w:szCs w:val="24"/>
                <w:highlight w:val="none"/>
                <w:lang w:eastAsia="zh-CN"/>
              </w:rPr>
              <w:t>木制品颜色中标后由采购人确定</w:t>
            </w:r>
            <w:bookmarkEnd w:id="7"/>
            <w:r>
              <w:rPr>
                <w:rFonts w:hint="eastAsia" w:ascii="宋体" w:hAnsi="宋体" w:eastAsia="宋体" w:cs="宋体"/>
                <w:color w:val="auto"/>
                <w:spacing w:val="-6"/>
                <w:sz w:val="24"/>
                <w:szCs w:val="24"/>
                <w:highlight w:val="none"/>
                <w:lang w:eastAsia="zh-CN"/>
              </w:rPr>
              <w:t>。</w:t>
            </w:r>
            <w:r>
              <w:rPr>
                <w:rFonts w:hint="eastAsia" w:ascii="宋体" w:hAnsi="宋体" w:cs="宋体"/>
                <w:color w:val="auto"/>
                <w:spacing w:val="-6"/>
                <w:sz w:val="24"/>
                <w:szCs w:val="24"/>
                <w:highlight w:val="none"/>
                <w:lang w:val="en-US" w:eastAsia="zh-CN"/>
              </w:rPr>
              <w:t>单个座位</w:t>
            </w:r>
            <w:r>
              <w:rPr>
                <w:rFonts w:hint="eastAsia" w:ascii="宋体" w:hAnsi="宋体" w:eastAsia="宋体" w:cs="宋体"/>
                <w:bCs/>
                <w:color w:val="auto"/>
                <w:sz w:val="24"/>
                <w:szCs w:val="24"/>
                <w:highlight w:val="none"/>
                <w:shd w:val="clear" w:color="auto" w:fill="FFFFFF"/>
              </w:rPr>
              <w:t>有效承重</w:t>
            </w:r>
            <w:r>
              <w:rPr>
                <w:rFonts w:hint="eastAsia" w:ascii="宋体" w:hAnsi="宋体" w:eastAsia="宋体" w:cs="宋体"/>
                <w:color w:val="auto"/>
                <w:sz w:val="24"/>
                <w:szCs w:val="24"/>
                <w:highlight w:val="none"/>
              </w:rPr>
              <w:t>≥1</w:t>
            </w:r>
            <w:r>
              <w:rPr>
                <w:rFonts w:hint="eastAsia" w:ascii="宋体" w:hAnsi="宋体" w:cs="宋体"/>
                <w:color w:val="auto"/>
                <w:sz w:val="24"/>
                <w:szCs w:val="24"/>
                <w:highlight w:val="none"/>
                <w:lang w:val="en-US" w:eastAsia="zh-CN"/>
              </w:rPr>
              <w:t>5</w:t>
            </w:r>
            <w:r>
              <w:rPr>
                <w:rFonts w:hint="eastAsia" w:ascii="宋体" w:hAnsi="宋体" w:eastAsia="宋体" w:cs="宋体"/>
                <w:color w:val="auto"/>
                <w:sz w:val="24"/>
                <w:szCs w:val="24"/>
                <w:highlight w:val="none"/>
              </w:rPr>
              <w:t>0公斤。</w:t>
            </w:r>
          </w:p>
          <w:p w14:paraId="4B2DDD43">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2、脚立柱和主横梁：</w:t>
            </w:r>
            <w:bookmarkStart w:id="8" w:name="OLE_LINK41"/>
            <w:r>
              <w:rPr>
                <w:rFonts w:hint="eastAsia" w:ascii="宋体" w:hAnsi="宋体" w:eastAsia="宋体" w:cs="宋体"/>
                <w:color w:val="auto"/>
                <w:sz w:val="24"/>
                <w:szCs w:val="24"/>
                <w:highlight w:val="none"/>
                <w:lang w:eastAsia="zh-CN"/>
              </w:rPr>
              <w:t>脚立柱采用冷轧40mm *80mm*厚度≥1.5mm椭圆管，主横梁采用冷轧40mm *80mm *厚</w:t>
            </w:r>
            <w:bookmarkStart w:id="9" w:name="OLE_LINK8"/>
            <w:bookmarkStart w:id="10" w:name="OLE_LINK7"/>
            <w:r>
              <w:rPr>
                <w:rFonts w:hint="eastAsia" w:ascii="宋体" w:hAnsi="宋体" w:eastAsia="宋体" w:cs="宋体"/>
                <w:color w:val="auto"/>
                <w:sz w:val="24"/>
                <w:szCs w:val="24"/>
                <w:highlight w:val="none"/>
                <w:lang w:eastAsia="zh-CN"/>
              </w:rPr>
              <w:t>度</w:t>
            </w:r>
            <w:bookmarkEnd w:id="9"/>
            <w:bookmarkEnd w:id="10"/>
            <w:r>
              <w:rPr>
                <w:rFonts w:hint="eastAsia" w:ascii="宋体" w:hAnsi="宋体" w:eastAsia="宋体" w:cs="宋体"/>
                <w:color w:val="auto"/>
                <w:sz w:val="24"/>
                <w:szCs w:val="24"/>
                <w:highlight w:val="none"/>
                <w:lang w:eastAsia="zh-CN"/>
              </w:rPr>
              <w:t>≥2.0mm方管，</w:t>
            </w:r>
            <w:bookmarkEnd w:id="8"/>
            <w:r>
              <w:rPr>
                <w:rFonts w:hint="eastAsia" w:ascii="宋体" w:hAnsi="宋体" w:eastAsia="宋体" w:cs="宋体"/>
                <w:color w:val="auto"/>
                <w:sz w:val="24"/>
                <w:szCs w:val="24"/>
                <w:highlight w:val="none"/>
                <w:lang w:eastAsia="zh-CN"/>
              </w:rPr>
              <w:t>管材表面作防氧化处理后经高温喷涂处理，抗冲击、耐腐蚀、不生锈、不褪色、经久耐用。</w:t>
            </w:r>
          </w:p>
          <w:p w14:paraId="24457AAD">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3、脚掌：规格</w:t>
            </w:r>
            <w:r>
              <w:rPr>
                <w:rFonts w:hint="eastAsia" w:ascii="宋体" w:hAnsi="宋体" w:cs="宋体"/>
                <w:color w:val="auto"/>
                <w:sz w:val="24"/>
                <w:szCs w:val="24"/>
                <w:highlight w:val="none"/>
                <w:lang w:val="en-US" w:eastAsia="zh-CN"/>
              </w:rPr>
              <w:t>600</w:t>
            </w:r>
            <w:r>
              <w:rPr>
                <w:rFonts w:hint="eastAsia" w:ascii="宋体" w:hAnsi="宋体" w:eastAsia="宋体" w:cs="宋体"/>
                <w:color w:val="auto"/>
                <w:sz w:val="24"/>
                <w:szCs w:val="24"/>
                <w:highlight w:val="none"/>
                <w:lang w:eastAsia="zh-CN"/>
              </w:rPr>
              <w:t xml:space="preserve"> mm（长）*</w:t>
            </w:r>
            <w:r>
              <w:rPr>
                <w:rFonts w:hint="eastAsia" w:ascii="宋体" w:hAnsi="宋体" w:cs="宋体"/>
                <w:color w:val="auto"/>
                <w:sz w:val="24"/>
                <w:szCs w:val="24"/>
                <w:highlight w:val="none"/>
                <w:lang w:val="en-US" w:eastAsia="zh-CN"/>
              </w:rPr>
              <w:t>73</w:t>
            </w:r>
            <w:r>
              <w:rPr>
                <w:rFonts w:hint="eastAsia" w:ascii="宋体" w:hAnsi="宋体" w:eastAsia="宋体" w:cs="宋体"/>
                <w:color w:val="auto"/>
                <w:sz w:val="24"/>
                <w:szCs w:val="24"/>
                <w:highlight w:val="none"/>
                <w:lang w:eastAsia="zh-CN"/>
              </w:rPr>
              <w:t>mm（宽），采用厚度≥2.0 mm冷轧钢经模具一次冲压成型，与脚立柱焊接组合成型。</w:t>
            </w:r>
            <w:bookmarkStart w:id="11" w:name="OLE_LINK125"/>
            <w:bookmarkStart w:id="12" w:name="OLE_LINK126"/>
            <w:bookmarkStart w:id="13" w:name="OLE_LINK53"/>
            <w:bookmarkStart w:id="14" w:name="OLE_LINK54"/>
            <w:r>
              <w:rPr>
                <w:rFonts w:hint="eastAsia" w:ascii="宋体" w:hAnsi="宋体" w:eastAsia="宋体" w:cs="宋体"/>
                <w:color w:val="auto"/>
                <w:sz w:val="24"/>
                <w:szCs w:val="24"/>
                <w:highlight w:val="none"/>
                <w:lang w:eastAsia="zh-CN"/>
              </w:rPr>
              <w:t>脚掌底部安装</w:t>
            </w:r>
            <w:bookmarkStart w:id="15" w:name="OLE_LINK99"/>
            <w:r>
              <w:rPr>
                <w:rFonts w:hint="eastAsia" w:ascii="宋体" w:hAnsi="宋体" w:eastAsia="宋体" w:cs="宋体"/>
                <w:color w:val="auto"/>
                <w:sz w:val="24"/>
                <w:szCs w:val="24"/>
                <w:highlight w:val="none"/>
                <w:lang w:eastAsia="zh-CN"/>
              </w:rPr>
              <w:t>加厚耐磨</w:t>
            </w:r>
            <w:bookmarkEnd w:id="15"/>
            <w:r>
              <w:rPr>
                <w:rFonts w:hint="eastAsia" w:ascii="宋体" w:hAnsi="宋体" w:eastAsia="宋体" w:cs="宋体"/>
                <w:color w:val="auto"/>
                <w:sz w:val="24"/>
                <w:szCs w:val="24"/>
                <w:highlight w:val="none"/>
                <w:lang w:eastAsia="zh-CN"/>
              </w:rPr>
              <w:t>橡胶脚垫保护地面，确保课桌椅摆放平稳，移动时噪音小。</w:t>
            </w:r>
            <w:bookmarkEnd w:id="11"/>
            <w:bookmarkEnd w:id="12"/>
            <w:r>
              <w:rPr>
                <w:rFonts w:hint="eastAsia" w:ascii="宋体" w:hAnsi="宋体" w:eastAsia="宋体" w:cs="宋体"/>
                <w:color w:val="auto"/>
                <w:sz w:val="24"/>
                <w:szCs w:val="24"/>
                <w:highlight w:val="none"/>
                <w:lang w:eastAsia="zh-CN"/>
              </w:rPr>
              <w:t xml:space="preserve"> </w:t>
            </w:r>
          </w:p>
          <w:bookmarkEnd w:id="13"/>
          <w:bookmarkEnd w:id="14"/>
          <w:p w14:paraId="1BD88EEC">
            <w:pPr>
              <w:spacing w:line="360" w:lineRule="auto"/>
              <w:ind w:firstLine="12" w:firstLineChars="5"/>
              <w:rPr>
                <w:rFonts w:ascii="宋体" w:hAnsi="宋体" w:eastAsia="宋体" w:cs="宋体"/>
                <w:color w:val="auto"/>
                <w:sz w:val="24"/>
                <w:szCs w:val="24"/>
                <w:highlight w:val="none"/>
                <w:lang w:eastAsia="zh-CN"/>
              </w:rPr>
            </w:pPr>
            <w:bookmarkStart w:id="16" w:name="OLE_LINK85"/>
            <w:bookmarkStart w:id="17" w:name="OLE_LINK83"/>
            <w:r>
              <w:rPr>
                <w:rFonts w:hint="eastAsia" w:ascii="宋体" w:hAnsi="宋体" w:eastAsia="宋体" w:cs="宋体"/>
                <w:color w:val="auto"/>
                <w:sz w:val="24"/>
                <w:szCs w:val="24"/>
                <w:highlight w:val="none"/>
                <w:lang w:eastAsia="zh-CN"/>
              </w:rPr>
              <w:t>4、桌面板、层板：桌面板宽350mm，厚度≥18mm；层板宽300mm，厚≥16mm；</w:t>
            </w:r>
            <w:bookmarkStart w:id="18" w:name="OLE_LINK73"/>
            <w:bookmarkStart w:id="19" w:name="OLE_LINK72"/>
            <w:r>
              <w:rPr>
                <w:rFonts w:hint="eastAsia" w:ascii="宋体" w:hAnsi="宋体" w:eastAsia="宋体" w:cs="宋体"/>
                <w:color w:val="auto"/>
                <w:sz w:val="24"/>
                <w:szCs w:val="24"/>
                <w:highlight w:val="none"/>
                <w:lang w:eastAsia="zh-CN"/>
              </w:rPr>
              <w:t>均采用多层板裁切成型后经干燥、防虫防腐处理，双面贴防火板，四周采用油漆封边工艺处理；板材无空心、气泡、松散、发霉、虫蛀，无明显崩缺及加工锯痕。</w:t>
            </w:r>
            <w:bookmarkEnd w:id="18"/>
            <w:bookmarkEnd w:id="19"/>
            <w:r>
              <w:rPr>
                <w:rFonts w:hint="eastAsia" w:ascii="宋体" w:hAnsi="宋体" w:eastAsia="宋体" w:cs="宋体"/>
                <w:color w:val="auto"/>
                <w:spacing w:val="-6"/>
                <w:sz w:val="24"/>
                <w:szCs w:val="24"/>
                <w:highlight w:val="none"/>
                <w:lang w:eastAsia="zh-CN"/>
              </w:rPr>
              <w:t>两人位、三人位课桌椅并排对齐摆放时，两块桌面板中间应做到无</w:t>
            </w:r>
            <w:r>
              <w:rPr>
                <w:rFonts w:hint="eastAsia" w:ascii="宋体" w:hAnsi="宋体" w:cs="宋体"/>
                <w:color w:val="auto"/>
                <w:spacing w:val="-6"/>
                <w:sz w:val="24"/>
                <w:szCs w:val="24"/>
                <w:highlight w:val="none"/>
                <w:lang w:val="en-US" w:eastAsia="zh-CN"/>
              </w:rPr>
              <w:t>明显</w:t>
            </w:r>
            <w:r>
              <w:rPr>
                <w:rFonts w:hint="eastAsia" w:ascii="宋体" w:hAnsi="宋体" w:eastAsia="宋体" w:cs="宋体"/>
                <w:color w:val="auto"/>
                <w:spacing w:val="-6"/>
                <w:sz w:val="24"/>
                <w:szCs w:val="24"/>
                <w:highlight w:val="none"/>
                <w:lang w:eastAsia="zh-CN"/>
              </w:rPr>
              <w:t>间隙。</w:t>
            </w:r>
          </w:p>
          <w:p w14:paraId="57D4E21A">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5、座板、背板：厚度≥13mm</w:t>
            </w:r>
            <w:bookmarkStart w:id="20" w:name="OLE_LINK47"/>
            <w:bookmarkStart w:id="21" w:name="OLE_LINK35"/>
            <w:bookmarkStart w:id="22" w:name="OLE_LINK36"/>
            <w:r>
              <w:rPr>
                <w:rFonts w:hint="eastAsia" w:ascii="宋体" w:hAnsi="宋体" w:eastAsia="宋体" w:cs="宋体"/>
                <w:color w:val="auto"/>
                <w:sz w:val="24"/>
                <w:szCs w:val="24"/>
                <w:highlight w:val="none"/>
                <w:lang w:eastAsia="zh-CN"/>
              </w:rPr>
              <w:t>；均采用多层板裁切成型后经干燥、防虫防腐处理，双面贴防火板，四周采用油漆封边工艺处理；板材无空心、气泡、松散、发霉、虫蛀，无明显崩缺及加工锯痕。</w:t>
            </w:r>
            <w:bookmarkStart w:id="23" w:name="OLE_LINK127"/>
            <w:bookmarkStart w:id="24" w:name="OLE_LINK130"/>
            <w:r>
              <w:rPr>
                <w:rFonts w:hint="eastAsia" w:ascii="宋体" w:hAnsi="宋体" w:eastAsia="宋体" w:cs="宋体"/>
                <w:color w:val="auto"/>
                <w:sz w:val="24"/>
                <w:szCs w:val="24"/>
                <w:highlight w:val="none"/>
                <w:lang w:eastAsia="zh-CN"/>
              </w:rPr>
              <w:t>背板上下均采用U型钢板卡槽进行装饰并在反面用螺丝固定，装饰条与背板贴合紧密不起翘。座板和背板的设计和安装必须符合人体工程学原理，能自由形成身体曲线，坐感舒适。</w:t>
            </w:r>
            <w:bookmarkEnd w:id="20"/>
            <w:bookmarkEnd w:id="23"/>
            <w:bookmarkEnd w:id="24"/>
          </w:p>
          <w:bookmarkEnd w:id="16"/>
          <w:bookmarkEnd w:id="17"/>
          <w:bookmarkEnd w:id="21"/>
          <w:bookmarkEnd w:id="22"/>
          <w:p w14:paraId="21FF3E95">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6、支撑钢板：</w:t>
            </w:r>
            <w:bookmarkStart w:id="25" w:name="OLE_LINK48"/>
            <w:r>
              <w:rPr>
                <w:rFonts w:hint="eastAsia" w:ascii="宋体" w:hAnsi="宋体" w:eastAsia="宋体" w:cs="宋体"/>
                <w:color w:val="auto"/>
                <w:sz w:val="24"/>
                <w:szCs w:val="24"/>
                <w:highlight w:val="none"/>
                <w:lang w:eastAsia="zh-CN"/>
              </w:rPr>
              <w:t>桌面板支撑钢板采用厚度≥1.8mm冷轧钢板一次冲压成型，层板支撑钢板采用厚度≥1.5mm冷轧钢板一次冲压成型。座板底部支撑钢板采用厚度≥2.5mm冷轧钢板一次冲压成型。座板支撑架与主横梁采用螺丝固定，与主横梁的连接钢板采用厚度≥4mm冷轧钢板一次冲压成型</w:t>
            </w:r>
            <w:bookmarkStart w:id="26" w:name="OLE_LINK80"/>
            <w:r>
              <w:rPr>
                <w:rFonts w:hint="eastAsia" w:ascii="宋体" w:hAnsi="宋体" w:eastAsia="宋体" w:cs="宋体"/>
                <w:color w:val="auto"/>
                <w:sz w:val="24"/>
                <w:szCs w:val="24"/>
                <w:highlight w:val="none"/>
                <w:lang w:eastAsia="zh-CN"/>
              </w:rPr>
              <w:t>，</w:t>
            </w:r>
            <w:bookmarkEnd w:id="25"/>
            <w:r>
              <w:rPr>
                <w:rFonts w:hint="eastAsia" w:ascii="宋体" w:hAnsi="宋体" w:eastAsia="宋体" w:cs="宋体"/>
                <w:color w:val="auto"/>
                <w:sz w:val="24"/>
                <w:szCs w:val="24"/>
                <w:highlight w:val="none"/>
                <w:lang w:eastAsia="zh-CN"/>
              </w:rPr>
              <w:t>确保安全牢固。</w:t>
            </w:r>
            <w:bookmarkEnd w:id="26"/>
          </w:p>
          <w:p w14:paraId="55AC4BE6">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7、回复机构：</w:t>
            </w:r>
            <w:bookmarkStart w:id="27" w:name="OLE_LINK57"/>
            <w:r>
              <w:rPr>
                <w:rFonts w:hint="eastAsia" w:ascii="宋体" w:hAnsi="宋体" w:eastAsia="宋体" w:cs="宋体"/>
                <w:color w:val="auto"/>
                <w:sz w:val="24"/>
                <w:szCs w:val="24"/>
                <w:highlight w:val="none"/>
                <w:lang w:eastAsia="zh-CN"/>
              </w:rPr>
              <w:t>采用带阻尼缓冲自动回位机构</w:t>
            </w:r>
            <w:bookmarkStart w:id="28" w:name="OLE_LINK132"/>
            <w:bookmarkStart w:id="29" w:name="OLE_LINK131"/>
            <w:r>
              <w:rPr>
                <w:rFonts w:hint="eastAsia" w:ascii="宋体" w:hAnsi="宋体" w:eastAsia="宋体" w:cs="宋体"/>
                <w:color w:val="auto"/>
                <w:sz w:val="24"/>
                <w:szCs w:val="24"/>
                <w:highlight w:val="none"/>
                <w:lang w:eastAsia="zh-CN"/>
              </w:rPr>
              <w:t>，</w:t>
            </w:r>
            <w:bookmarkStart w:id="30" w:name="OLE_LINK32"/>
            <w:r>
              <w:rPr>
                <w:rFonts w:hint="eastAsia" w:ascii="宋体" w:hAnsi="宋体" w:eastAsia="宋体" w:cs="宋体"/>
                <w:color w:val="auto"/>
                <w:sz w:val="24"/>
                <w:szCs w:val="24"/>
                <w:highlight w:val="none"/>
                <w:lang w:eastAsia="zh-CN"/>
              </w:rPr>
              <w:t>座板坐下去和回弹复位时都要做到回复顺畅</w:t>
            </w:r>
            <w:bookmarkEnd w:id="30"/>
            <w:bookmarkStart w:id="31" w:name="OLE_LINK95"/>
            <w:bookmarkStart w:id="32" w:name="OLE_LINK98"/>
            <w:r>
              <w:rPr>
                <w:rFonts w:hint="eastAsia" w:ascii="宋体" w:hAnsi="宋体" w:eastAsia="宋体" w:cs="宋体"/>
                <w:color w:val="auto"/>
                <w:sz w:val="24"/>
                <w:szCs w:val="24"/>
                <w:highlight w:val="none"/>
                <w:lang w:eastAsia="zh-CN"/>
              </w:rPr>
              <w:t>无异响</w:t>
            </w:r>
            <w:bookmarkEnd w:id="28"/>
            <w:bookmarkEnd w:id="29"/>
            <w:bookmarkEnd w:id="31"/>
            <w:bookmarkEnd w:id="32"/>
            <w:r>
              <w:rPr>
                <w:rFonts w:hint="eastAsia" w:ascii="宋体" w:hAnsi="宋体" w:eastAsia="宋体" w:cs="宋体"/>
                <w:color w:val="auto"/>
                <w:sz w:val="24"/>
                <w:szCs w:val="24"/>
                <w:highlight w:val="none"/>
                <w:lang w:eastAsia="zh-CN"/>
              </w:rPr>
              <w:t>。</w:t>
            </w:r>
            <w:bookmarkEnd w:id="27"/>
          </w:p>
          <w:p w14:paraId="49DCEE9F">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8、螺丝：采用电镀圆柱头内六角螺杆，坚固、耐用、不易生锈。</w:t>
            </w:r>
          </w:p>
          <w:p w14:paraId="25B14DBB">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9、焊接工艺：所有钢管要求采用优质国标钢材，焊接全部采用二氧化碳保护焊接，表面波纹均匀，焊接无裂纹、无夹渣、无气孔、无焊丝头咬边，无脱焊、虚焊、焊穿。</w:t>
            </w:r>
          </w:p>
          <w:p w14:paraId="6820885A">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10、</w:t>
            </w:r>
            <w:bookmarkStart w:id="33" w:name="OLE_LINK96"/>
            <w:bookmarkStart w:id="34" w:name="OLE_LINK33"/>
            <w:bookmarkStart w:id="35" w:name="OLE_LINK97"/>
            <w:r>
              <w:rPr>
                <w:rFonts w:hint="eastAsia" w:ascii="宋体" w:hAnsi="宋体" w:eastAsia="宋体" w:cs="宋体"/>
                <w:color w:val="auto"/>
                <w:sz w:val="24"/>
                <w:szCs w:val="24"/>
                <w:highlight w:val="none"/>
                <w:lang w:eastAsia="zh-CN"/>
              </w:rPr>
              <w:t>所有钢材经过除锈、除油、物理抛丸处理，管材表面无裂纹、毛刺、结疤、错位、压痕或划痕。采用环保产品环氧聚酯塑粉静电喷塑，喷塑外膜的表面光滑平整，色泽均匀，喷塑层无漏喷、起泡、模糊、划痕或碰伤等缺陷。</w:t>
            </w:r>
            <w:bookmarkStart w:id="36" w:name="OLE_LINK16"/>
            <w:r>
              <w:rPr>
                <w:rFonts w:hint="eastAsia" w:ascii="宋体" w:hAnsi="宋体" w:eastAsia="宋体" w:cs="宋体"/>
                <w:color w:val="auto"/>
                <w:sz w:val="24"/>
                <w:szCs w:val="24"/>
                <w:highlight w:val="none"/>
                <w:lang w:eastAsia="zh-CN"/>
              </w:rPr>
              <w:t>成品件喷塑表面漆膜厚度≥100</w:t>
            </w:r>
            <w:r>
              <w:rPr>
                <w:rFonts w:hint="eastAsia" w:ascii="宋体" w:hAnsi="宋体" w:eastAsia="宋体" w:cs="宋体"/>
                <w:color w:val="auto"/>
                <w:sz w:val="24"/>
                <w:szCs w:val="24"/>
                <w:highlight w:val="none"/>
              </w:rPr>
              <w:t>μ</w:t>
            </w:r>
            <w:r>
              <w:rPr>
                <w:rFonts w:hint="eastAsia" w:ascii="宋体" w:hAnsi="宋体" w:eastAsia="宋体" w:cs="宋体"/>
                <w:color w:val="auto"/>
                <w:sz w:val="24"/>
                <w:szCs w:val="24"/>
                <w:highlight w:val="none"/>
                <w:lang w:eastAsia="zh-CN"/>
              </w:rPr>
              <w:t>m。</w:t>
            </w:r>
          </w:p>
          <w:bookmarkEnd w:id="36"/>
          <w:p w14:paraId="40899832">
            <w:pPr>
              <w:spacing w:line="360" w:lineRule="auto"/>
              <w:ind w:firstLine="12" w:firstLineChars="5"/>
              <w:rPr>
                <w:rFonts w:ascii="宋体" w:hAnsi="宋体" w:eastAsia="宋体" w:cs="宋体"/>
                <w:color w:val="auto"/>
                <w:sz w:val="24"/>
                <w:szCs w:val="24"/>
                <w:highlight w:val="none"/>
                <w:lang w:eastAsia="zh-CN"/>
              </w:rPr>
            </w:pPr>
            <w:bookmarkStart w:id="37" w:name="OLE_LINK164"/>
            <w:bookmarkStart w:id="38" w:name="OLE_LINK165"/>
            <w:r>
              <w:rPr>
                <w:rFonts w:hint="eastAsia" w:ascii="宋体" w:hAnsi="宋体" w:eastAsia="宋体" w:cs="宋体"/>
                <w:color w:val="auto"/>
                <w:sz w:val="24"/>
                <w:szCs w:val="24"/>
                <w:highlight w:val="none"/>
                <w:lang w:eastAsia="zh-CN"/>
              </w:rPr>
              <w:t>11、外观设计：符合人体工程学原理，结构全拆装设置。所有与学生身体接触部位（含桌面边缘、桌腿、椅面边缘、椅背及支撑结构等）须进行倒圆处理，防止安全事故发生。</w:t>
            </w:r>
          </w:p>
          <w:p w14:paraId="74859A82">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12、所有钢板、钢管、饰面多层板、五金配件、塑料件及其他组件均须为全新制造的原厂材料，未曾经过任何形式的使用、翻新、维修或二次加工。</w:t>
            </w:r>
          </w:p>
          <w:bookmarkEnd w:id="33"/>
          <w:bookmarkEnd w:id="34"/>
          <w:bookmarkEnd w:id="35"/>
          <w:bookmarkEnd w:id="37"/>
          <w:bookmarkEnd w:id="38"/>
          <w:p w14:paraId="24E6F2BC">
            <w:pPr>
              <w:spacing w:line="360" w:lineRule="auto"/>
              <w:ind w:firstLine="12" w:firstLineChars="5"/>
              <w:textAlignment w:val="auto"/>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13、原材料及成品符合GB/T 11253-2019《碳素结构钢冷轧钢板及钢带》、GB/T 9846-2015《普通胶合板》、GB/T 34722-</w:t>
            </w:r>
            <w:r>
              <w:rPr>
                <w:rFonts w:hint="eastAsia" w:ascii="宋体" w:hAnsi="宋体" w:cs="宋体"/>
                <w:color w:val="auto"/>
                <w:sz w:val="24"/>
                <w:szCs w:val="24"/>
                <w:highlight w:val="none"/>
                <w:lang w:val="en-US" w:eastAsia="zh-CN"/>
              </w:rPr>
              <w:t>2025</w:t>
            </w:r>
            <w:r>
              <w:rPr>
                <w:rFonts w:hint="eastAsia" w:ascii="宋体" w:hAnsi="宋体" w:eastAsia="宋体" w:cs="宋体"/>
                <w:color w:val="auto"/>
                <w:sz w:val="24"/>
                <w:szCs w:val="24"/>
                <w:highlight w:val="none"/>
                <w:lang w:eastAsia="zh-CN"/>
              </w:rPr>
              <w:t>《浸渍胶膜纸饰面胶合板和细木工板》、QB/T4071-2021《课桌椅》、GB 18580-20</w:t>
            </w:r>
            <w:r>
              <w:rPr>
                <w:rFonts w:hint="eastAsia" w:ascii="宋体" w:hAnsi="宋体" w:cs="宋体"/>
                <w:color w:val="auto"/>
                <w:sz w:val="24"/>
                <w:szCs w:val="24"/>
                <w:highlight w:val="none"/>
                <w:lang w:val="en-US" w:eastAsia="zh-CN"/>
              </w:rPr>
              <w:t>25</w:t>
            </w:r>
            <w:r>
              <w:rPr>
                <w:rFonts w:hint="eastAsia" w:ascii="宋体" w:hAnsi="宋体" w:eastAsia="宋体" w:cs="宋体"/>
                <w:color w:val="auto"/>
                <w:sz w:val="24"/>
                <w:szCs w:val="24"/>
                <w:highlight w:val="none"/>
                <w:lang w:eastAsia="zh-CN"/>
              </w:rPr>
              <w:t>《室内装饰装修材料人造板及其制品中甲醛释放限量》、GB/T39600-2021《人造板及其制品甲醛释放量分级》、GB/T35607-2024《绿色产品评价家具》、GB/T 3325-2024 《金属家具通用技术条件》</w:t>
            </w:r>
            <w:r>
              <w:rPr>
                <w:rFonts w:hint="eastAsia" w:ascii="宋体" w:hAnsi="宋体" w:cs="宋体"/>
                <w:color w:val="auto"/>
                <w:sz w:val="24"/>
                <w:szCs w:val="24"/>
                <w:highlight w:val="none"/>
                <w:lang w:eastAsia="zh-CN"/>
              </w:rPr>
              <w:t>、</w:t>
            </w:r>
            <w:r>
              <w:rPr>
                <w:rFonts w:hint="eastAsia" w:ascii="宋体" w:hAnsi="宋体" w:eastAsia="宋体" w:cs="宋体"/>
                <w:bCs w:val="0"/>
                <w:color w:val="auto"/>
                <w:sz w:val="24"/>
                <w:szCs w:val="24"/>
                <w:highlight w:val="none"/>
                <w:shd w:val="clear" w:color="auto" w:fill="auto"/>
                <w:lang w:eastAsia="zh-CN"/>
              </w:rPr>
              <w:t>GB28008-2024《家具结构安全技术规范》</w:t>
            </w:r>
            <w:r>
              <w:rPr>
                <w:rFonts w:hint="eastAsia" w:ascii="宋体" w:hAnsi="宋体" w:eastAsia="宋体" w:cs="宋体"/>
                <w:bCs w:val="0"/>
                <w:color w:val="auto"/>
                <w:sz w:val="24"/>
                <w:szCs w:val="24"/>
                <w:highlight w:val="none"/>
                <w:shd w:val="clear" w:color="auto" w:fill="auto"/>
                <w:lang w:val="en-US" w:eastAsia="zh-CN"/>
              </w:rPr>
              <w:t>、</w:t>
            </w:r>
            <w:r>
              <w:rPr>
                <w:rFonts w:hint="eastAsia" w:ascii="宋体" w:hAnsi="宋体" w:eastAsia="宋体" w:cs="宋体"/>
                <w:bCs w:val="0"/>
                <w:color w:val="auto"/>
                <w:sz w:val="24"/>
                <w:szCs w:val="24"/>
                <w:highlight w:val="none"/>
                <w:shd w:val="clear" w:color="auto" w:fill="auto"/>
                <w:lang w:eastAsia="zh-CN"/>
              </w:rPr>
              <w:t>GB18584-2024《家具中有害物质限量》</w:t>
            </w:r>
            <w:r>
              <w:rPr>
                <w:rFonts w:hint="eastAsia" w:ascii="宋体" w:hAnsi="宋体" w:eastAsia="宋体" w:cs="宋体"/>
                <w:color w:val="auto"/>
                <w:sz w:val="24"/>
                <w:szCs w:val="24"/>
                <w:highlight w:val="none"/>
                <w:lang w:eastAsia="zh-CN"/>
              </w:rPr>
              <w:t>等标准。</w:t>
            </w:r>
          </w:p>
          <w:p w14:paraId="496F27DD">
            <w:pPr>
              <w:spacing w:line="360" w:lineRule="auto"/>
              <w:textAlignment w:val="bottom"/>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14、符合GB 18580-20</w:t>
            </w:r>
            <w:r>
              <w:rPr>
                <w:rFonts w:hint="eastAsia" w:ascii="宋体" w:hAnsi="宋体" w:cs="宋体"/>
                <w:color w:val="auto"/>
                <w:sz w:val="24"/>
                <w:szCs w:val="24"/>
                <w:highlight w:val="none"/>
                <w:lang w:val="en-US" w:eastAsia="zh-CN"/>
              </w:rPr>
              <w:t>25</w:t>
            </w:r>
            <w:r>
              <w:rPr>
                <w:rFonts w:hint="eastAsia" w:ascii="宋体" w:hAnsi="宋体" w:eastAsia="宋体" w:cs="宋体"/>
                <w:color w:val="auto"/>
                <w:sz w:val="24"/>
                <w:szCs w:val="24"/>
                <w:highlight w:val="none"/>
                <w:lang w:eastAsia="zh-CN"/>
              </w:rPr>
              <w:t>《室内装饰装修材料人造板及其制品中甲醛释放限量》、GB/T39600-2021《人造板及其制品甲醛释放量分级》</w:t>
            </w:r>
            <w:r>
              <w:rPr>
                <w:rFonts w:hint="eastAsia" w:ascii="宋体" w:hAnsi="宋体" w:cs="宋体"/>
                <w:color w:val="auto"/>
                <w:sz w:val="24"/>
                <w:szCs w:val="24"/>
                <w:highlight w:val="none"/>
                <w:lang w:eastAsia="zh-CN"/>
              </w:rPr>
              <w:t>标准</w:t>
            </w:r>
            <w:r>
              <w:rPr>
                <w:rFonts w:hint="eastAsia" w:ascii="宋体" w:hAnsi="宋体" w:eastAsia="宋体" w:cs="宋体"/>
                <w:color w:val="auto"/>
                <w:sz w:val="24"/>
                <w:szCs w:val="24"/>
                <w:highlight w:val="none"/>
                <w:lang w:eastAsia="zh-CN"/>
              </w:rPr>
              <w:t>，饰面多层板的甲醛释放量≤0.05㎎/m³。</w:t>
            </w:r>
            <w:r>
              <w:rPr>
                <w:rFonts w:hint="eastAsia" w:ascii="宋体" w:hAnsi="宋体" w:eastAsia="宋体" w:cs="宋体"/>
                <w:b/>
                <w:bCs/>
                <w:color w:val="auto"/>
                <w:sz w:val="24"/>
                <w:szCs w:val="24"/>
                <w:highlight w:val="none"/>
                <w:lang w:eastAsia="zh-CN"/>
              </w:rPr>
              <w:t>（响应文件中需同时提供第三方检测机构出具</w:t>
            </w:r>
            <w:r>
              <w:rPr>
                <w:rFonts w:hint="eastAsia" w:ascii="宋体" w:hAnsi="宋体" w:cs="宋体"/>
                <w:b/>
                <w:bCs/>
                <w:color w:val="auto"/>
                <w:sz w:val="24"/>
                <w:szCs w:val="24"/>
                <w:highlight w:val="none"/>
                <w:lang w:val="en-US" w:eastAsia="zh-CN"/>
              </w:rPr>
              <w:t>合格的</w:t>
            </w:r>
            <w:r>
              <w:rPr>
                <w:rFonts w:hint="eastAsia" w:ascii="宋体" w:hAnsi="宋体" w:eastAsia="宋体" w:cs="宋体"/>
                <w:b/>
                <w:bCs/>
                <w:color w:val="auto"/>
                <w:sz w:val="24"/>
                <w:szCs w:val="24"/>
                <w:highlight w:val="none"/>
                <w:lang w:eastAsia="zh-CN"/>
              </w:rPr>
              <w:t>“带有CMA标识”检验（测）报告扫描件及</w:t>
            </w:r>
            <w:r>
              <w:rPr>
                <w:rFonts w:hint="eastAsia" w:ascii="宋体" w:hAnsi="宋体" w:cs="宋体"/>
                <w:b/>
                <w:bCs/>
                <w:color w:val="auto"/>
                <w:sz w:val="24"/>
                <w:szCs w:val="24"/>
                <w:highlight w:val="none"/>
                <w:lang w:val="en-US" w:eastAsia="zh-CN"/>
              </w:rPr>
              <w:t>该</w:t>
            </w:r>
            <w:r>
              <w:rPr>
                <w:rFonts w:hint="eastAsia" w:ascii="宋体" w:hAnsi="宋体" w:eastAsia="宋体" w:cs="宋体"/>
                <w:b/>
                <w:bCs/>
                <w:color w:val="auto"/>
                <w:sz w:val="24"/>
                <w:szCs w:val="24"/>
                <w:highlight w:val="none"/>
                <w:lang w:eastAsia="zh-CN"/>
              </w:rPr>
              <w:t>检验（测）报告</w:t>
            </w:r>
            <w:r>
              <w:rPr>
                <w:rFonts w:hint="eastAsia" w:ascii="宋体" w:hAnsi="宋体" w:cs="宋体"/>
                <w:b/>
                <w:bCs/>
                <w:color w:val="auto"/>
                <w:sz w:val="24"/>
                <w:szCs w:val="24"/>
                <w:highlight w:val="none"/>
                <w:lang w:val="en-US" w:eastAsia="zh-CN"/>
              </w:rPr>
              <w:t>在</w:t>
            </w:r>
            <w:r>
              <w:rPr>
                <w:rFonts w:hint="eastAsia" w:ascii="宋体" w:hAnsi="宋体" w:eastAsia="宋体" w:cs="宋体"/>
                <w:b/>
                <w:bCs/>
                <w:color w:val="auto"/>
                <w:sz w:val="24"/>
                <w:szCs w:val="24"/>
                <w:highlight w:val="none"/>
                <w:lang w:eastAsia="zh-CN"/>
              </w:rPr>
              <w:t>检</w:t>
            </w:r>
            <w:r>
              <w:rPr>
                <w:rFonts w:hint="eastAsia" w:ascii="宋体" w:hAnsi="宋体" w:cs="宋体"/>
                <w:b/>
                <w:bCs/>
                <w:color w:val="auto"/>
                <w:sz w:val="24"/>
                <w:szCs w:val="24"/>
                <w:highlight w:val="none"/>
                <w:lang w:val="en-US" w:eastAsia="zh-CN"/>
              </w:rPr>
              <w:t>测</w:t>
            </w:r>
            <w:r>
              <w:rPr>
                <w:rFonts w:hint="eastAsia" w:ascii="宋体" w:hAnsi="宋体" w:eastAsia="宋体" w:cs="宋体"/>
                <w:b/>
                <w:bCs/>
                <w:color w:val="auto"/>
                <w:sz w:val="24"/>
                <w:szCs w:val="24"/>
                <w:highlight w:val="none"/>
                <w:lang w:eastAsia="zh-CN"/>
              </w:rPr>
              <w:t>机构</w:t>
            </w:r>
            <w:r>
              <w:rPr>
                <w:rFonts w:hint="eastAsia" w:ascii="宋体" w:hAnsi="宋体" w:cs="宋体"/>
                <w:b/>
                <w:bCs/>
                <w:color w:val="auto"/>
                <w:sz w:val="24"/>
                <w:szCs w:val="24"/>
                <w:highlight w:val="none"/>
                <w:lang w:val="en-US" w:eastAsia="zh-CN"/>
              </w:rPr>
              <w:t>官网的查询</w:t>
            </w:r>
            <w:r>
              <w:rPr>
                <w:rFonts w:hint="eastAsia" w:ascii="宋体" w:hAnsi="宋体" w:eastAsia="宋体" w:cs="宋体"/>
                <w:b/>
                <w:bCs/>
                <w:color w:val="auto"/>
                <w:sz w:val="24"/>
                <w:szCs w:val="24"/>
                <w:highlight w:val="none"/>
                <w:lang w:eastAsia="zh-CN"/>
              </w:rPr>
              <w:t>截图）</w:t>
            </w:r>
          </w:p>
        </w:tc>
        <w:tc>
          <w:tcPr>
            <w:tcW w:w="3336" w:type="dxa"/>
            <w:vAlign w:val="center"/>
          </w:tcPr>
          <w:p w14:paraId="665A4D85">
            <w:pPr>
              <w:spacing w:line="360" w:lineRule="auto"/>
              <w:jc w:val="center"/>
              <w:rPr>
                <w:rFonts w:ascii="宋体" w:hAnsi="宋体" w:eastAsia="宋体" w:cs="宋体"/>
                <w:color w:val="auto"/>
                <w:sz w:val="24"/>
                <w:szCs w:val="24"/>
                <w:highlight w:val="none"/>
                <w:lang w:eastAsia="zh-CN"/>
              </w:rPr>
            </w:pPr>
          </w:p>
          <w:p w14:paraId="79AB8B8B">
            <w:pPr>
              <w:spacing w:line="360" w:lineRule="auto"/>
              <w:jc w:val="center"/>
              <w:rPr>
                <w:rFonts w:ascii="宋体" w:hAnsi="宋体" w:eastAsia="宋体" w:cs="宋体"/>
                <w:color w:val="auto"/>
                <w:sz w:val="24"/>
                <w:szCs w:val="24"/>
                <w:highlight w:val="none"/>
                <w:lang w:eastAsia="zh-CN"/>
              </w:rPr>
            </w:pPr>
          </w:p>
          <w:p w14:paraId="38C5C770">
            <w:pPr>
              <w:spacing w:line="360" w:lineRule="auto"/>
              <w:jc w:val="center"/>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drawing>
                <wp:inline distT="0" distB="0" distL="114300" distR="114300">
                  <wp:extent cx="2171700" cy="2868930"/>
                  <wp:effectExtent l="0" t="0" r="0" b="7620"/>
                  <wp:docPr id="9" name="图片 11" descr="2367831306984005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1" descr="236783130698400550"/>
                          <pic:cNvPicPr>
                            <a:picLocks noChangeAspect="1"/>
                          </pic:cNvPicPr>
                        </pic:nvPicPr>
                        <pic:blipFill>
                          <a:blip r:embed="rId4" cstate="print"/>
                          <a:stretch>
                            <a:fillRect/>
                          </a:stretch>
                        </pic:blipFill>
                        <pic:spPr>
                          <a:xfrm>
                            <a:off x="0" y="0"/>
                            <a:ext cx="2171700" cy="2868930"/>
                          </a:xfrm>
                          <a:prstGeom prst="rect">
                            <a:avLst/>
                          </a:prstGeom>
                          <a:noFill/>
                          <a:ln>
                            <a:noFill/>
                          </a:ln>
                        </pic:spPr>
                      </pic:pic>
                    </a:graphicData>
                  </a:graphic>
                </wp:inline>
              </w:drawing>
            </w:r>
          </w:p>
        </w:tc>
        <w:tc>
          <w:tcPr>
            <w:tcW w:w="850" w:type="dxa"/>
            <w:vAlign w:val="center"/>
          </w:tcPr>
          <w:p w14:paraId="6B4A86B3">
            <w:pPr>
              <w:jc w:val="center"/>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Cs w:val="21"/>
                <w:highlight w:val="none"/>
                <w:lang w:val="en-US" w:eastAsia="zh-CN"/>
              </w:rPr>
              <w:t>2330</w:t>
            </w:r>
            <w:r>
              <w:rPr>
                <w:rFonts w:hint="eastAsia" w:asciiTheme="minorEastAsia" w:hAnsiTheme="minorEastAsia" w:eastAsiaTheme="minorEastAsia" w:cstheme="minorEastAsia"/>
                <w:color w:val="auto"/>
                <w:szCs w:val="21"/>
                <w:highlight w:val="none"/>
              </w:rPr>
              <w:t>位</w:t>
            </w:r>
          </w:p>
        </w:tc>
      </w:tr>
      <w:tr w14:paraId="76F5D3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8" w:hRule="atLeast"/>
          <w:jc w:val="center"/>
        </w:trPr>
        <w:tc>
          <w:tcPr>
            <w:tcW w:w="531" w:type="dxa"/>
            <w:vAlign w:val="center"/>
          </w:tcPr>
          <w:p w14:paraId="6AD17AC2">
            <w:pPr>
              <w:spacing w:line="360" w:lineRule="auto"/>
              <w:jc w:val="center"/>
              <w:rPr>
                <w:rFonts w:ascii="宋体" w:hAnsi="宋体" w:eastAsia="宋体" w:cs="宋体"/>
                <w:color w:val="auto"/>
                <w:sz w:val="24"/>
                <w:szCs w:val="24"/>
                <w:highlight w:val="none"/>
              </w:rPr>
            </w:pPr>
            <w:bookmarkStart w:id="39" w:name="_Hlk201674522"/>
            <w:r>
              <w:rPr>
                <w:rFonts w:hint="eastAsia" w:ascii="宋体" w:hAnsi="宋体" w:eastAsia="宋体" w:cs="宋体"/>
                <w:color w:val="auto"/>
                <w:sz w:val="24"/>
                <w:szCs w:val="24"/>
                <w:highlight w:val="none"/>
              </w:rPr>
              <w:t>2</w:t>
            </w:r>
          </w:p>
        </w:tc>
        <w:tc>
          <w:tcPr>
            <w:tcW w:w="1277" w:type="dxa"/>
            <w:shd w:val="clear" w:color="auto" w:fill="auto"/>
            <w:vAlign w:val="center"/>
          </w:tcPr>
          <w:p w14:paraId="5BDE28F5">
            <w:pPr>
              <w:spacing w:line="360" w:lineRule="auto"/>
              <w:jc w:val="center"/>
              <w:rPr>
                <w:rFonts w:ascii="宋体" w:hAnsi="宋体" w:eastAsia="宋体" w:cs="宋体"/>
                <w:color w:val="auto"/>
                <w:sz w:val="24"/>
                <w:szCs w:val="24"/>
                <w:highlight w:val="none"/>
              </w:rPr>
            </w:pPr>
            <w:bookmarkStart w:id="40" w:name="OLE_LINK59"/>
            <w:r>
              <w:rPr>
                <w:rFonts w:hint="eastAsia" w:ascii="宋体" w:hAnsi="宋体" w:eastAsia="宋体" w:cs="宋体"/>
                <w:color w:val="auto"/>
                <w:sz w:val="24"/>
                <w:szCs w:val="24"/>
                <w:highlight w:val="none"/>
              </w:rPr>
              <w:t>阶梯教室</w:t>
            </w:r>
          </w:p>
          <w:p w14:paraId="376C7171">
            <w:pPr>
              <w:spacing w:line="360" w:lineRule="auto"/>
              <w:jc w:val="center"/>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固定课桌椅</w:t>
            </w:r>
            <w:bookmarkEnd w:id="40"/>
          </w:p>
        </w:tc>
        <w:tc>
          <w:tcPr>
            <w:tcW w:w="4603" w:type="dxa"/>
            <w:shd w:val="clear" w:color="auto" w:fill="auto"/>
            <w:vAlign w:val="center"/>
          </w:tcPr>
          <w:p w14:paraId="39D1133F">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1、规格</w:t>
            </w:r>
            <w:r>
              <w:rPr>
                <w:rFonts w:hint="eastAsia" w:ascii="宋体" w:hAnsi="宋体" w:eastAsia="宋体" w:cs="宋体"/>
                <w:color w:val="auto"/>
                <w:spacing w:val="-6"/>
                <w:sz w:val="24"/>
                <w:szCs w:val="24"/>
                <w:highlight w:val="none"/>
                <w:lang w:eastAsia="zh-CN"/>
              </w:rPr>
              <w:t>：座宽</w:t>
            </w:r>
            <w:r>
              <w:rPr>
                <w:rFonts w:hint="eastAsia" w:ascii="宋体" w:hAnsi="宋体" w:eastAsia="宋体" w:cs="宋体"/>
                <w:color w:val="auto"/>
                <w:sz w:val="24"/>
                <w:szCs w:val="24"/>
                <w:highlight w:val="none"/>
                <w:lang w:eastAsia="zh-CN"/>
              </w:rPr>
              <w:t>中到中距</w:t>
            </w:r>
            <w:r>
              <w:rPr>
                <w:rFonts w:hint="eastAsia" w:ascii="宋体" w:hAnsi="宋体" w:eastAsia="宋体" w:cs="宋体"/>
                <w:color w:val="auto"/>
                <w:spacing w:val="-6"/>
                <w:sz w:val="24"/>
                <w:szCs w:val="24"/>
                <w:highlight w:val="none"/>
                <w:lang w:eastAsia="zh-CN"/>
              </w:rPr>
              <w:t>5</w:t>
            </w:r>
            <w:r>
              <w:rPr>
                <w:rFonts w:hint="eastAsia" w:ascii="宋体" w:hAnsi="宋体" w:eastAsia="宋体" w:cs="宋体"/>
                <w:color w:val="auto"/>
                <w:spacing w:val="-6"/>
                <w:sz w:val="24"/>
                <w:szCs w:val="24"/>
                <w:highlight w:val="none"/>
                <w:lang w:val="en-US" w:eastAsia="zh-CN"/>
              </w:rPr>
              <w:t>2</w:t>
            </w:r>
            <w:r>
              <w:rPr>
                <w:rFonts w:hint="eastAsia" w:ascii="宋体" w:hAnsi="宋体" w:eastAsia="宋体" w:cs="宋体"/>
                <w:color w:val="auto"/>
                <w:spacing w:val="-6"/>
                <w:sz w:val="24"/>
                <w:szCs w:val="24"/>
                <w:highlight w:val="none"/>
                <w:lang w:eastAsia="zh-CN"/>
              </w:rPr>
              <w:t>0mm，座高45</w:t>
            </w:r>
            <w:r>
              <w:rPr>
                <w:rFonts w:hint="eastAsia" w:ascii="宋体" w:hAnsi="宋体" w:eastAsia="宋体" w:cs="宋体"/>
                <w:color w:val="auto"/>
                <w:sz w:val="24"/>
                <w:szCs w:val="24"/>
                <w:highlight w:val="none"/>
                <w:lang w:eastAsia="zh-CN"/>
              </w:rPr>
              <w:t>0mm，桌面离地高760mm</w:t>
            </w:r>
            <w:r>
              <w:rPr>
                <w:rFonts w:hint="eastAsia" w:ascii="宋体" w:hAnsi="宋体" w:eastAsia="宋体" w:cs="宋体"/>
                <w:bCs/>
                <w:color w:val="auto"/>
                <w:sz w:val="24"/>
                <w:szCs w:val="24"/>
                <w:highlight w:val="none"/>
                <w:lang w:eastAsia="zh-CN"/>
              </w:rPr>
              <w:t>，具体规格、排位按照实际使用的教室大小来确定</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pacing w:val="-6"/>
                <w:sz w:val="24"/>
                <w:szCs w:val="24"/>
                <w:highlight w:val="none"/>
                <w:lang w:eastAsia="zh-CN"/>
              </w:rPr>
              <w:t>木制品颜色中标后由采购人确定。</w:t>
            </w:r>
            <w:r>
              <w:rPr>
                <w:rFonts w:hint="eastAsia" w:ascii="宋体" w:hAnsi="宋体" w:cs="宋体"/>
                <w:color w:val="auto"/>
                <w:spacing w:val="-6"/>
                <w:sz w:val="24"/>
                <w:szCs w:val="24"/>
                <w:highlight w:val="none"/>
                <w:lang w:val="en-US" w:eastAsia="zh-CN"/>
              </w:rPr>
              <w:t>单个座位</w:t>
            </w:r>
            <w:r>
              <w:rPr>
                <w:rFonts w:hint="eastAsia" w:ascii="宋体" w:hAnsi="宋体" w:eastAsia="宋体" w:cs="宋体"/>
                <w:bCs/>
                <w:color w:val="auto"/>
                <w:sz w:val="24"/>
                <w:szCs w:val="24"/>
                <w:highlight w:val="none"/>
                <w:shd w:val="clear" w:color="auto" w:fill="FFFFFF"/>
              </w:rPr>
              <w:t>有效承重</w:t>
            </w:r>
            <w:r>
              <w:rPr>
                <w:rFonts w:hint="eastAsia" w:ascii="宋体" w:hAnsi="宋体" w:eastAsia="宋体" w:cs="宋体"/>
                <w:color w:val="auto"/>
                <w:sz w:val="24"/>
                <w:szCs w:val="24"/>
                <w:highlight w:val="none"/>
              </w:rPr>
              <w:t>≥1</w:t>
            </w:r>
            <w:r>
              <w:rPr>
                <w:rFonts w:hint="eastAsia" w:ascii="宋体" w:hAnsi="宋体" w:cs="宋体"/>
                <w:color w:val="auto"/>
                <w:sz w:val="24"/>
                <w:szCs w:val="24"/>
                <w:highlight w:val="none"/>
                <w:lang w:val="en-US" w:eastAsia="zh-CN"/>
              </w:rPr>
              <w:t>5</w:t>
            </w:r>
            <w:r>
              <w:rPr>
                <w:rFonts w:hint="eastAsia" w:ascii="宋体" w:hAnsi="宋体" w:eastAsia="宋体" w:cs="宋体"/>
                <w:color w:val="auto"/>
                <w:sz w:val="24"/>
                <w:szCs w:val="24"/>
                <w:highlight w:val="none"/>
              </w:rPr>
              <w:t>0公斤。</w:t>
            </w:r>
          </w:p>
          <w:p w14:paraId="2CC9EF4D">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2、脚立柱：采用冷轧30mm</w:t>
            </w:r>
            <w:bookmarkStart w:id="41" w:name="OLE_LINK29"/>
            <w:bookmarkStart w:id="42" w:name="OLE_LINK28"/>
            <w:r>
              <w:rPr>
                <w:rFonts w:hint="eastAsia" w:ascii="宋体" w:hAnsi="宋体" w:eastAsia="宋体" w:cs="宋体"/>
                <w:color w:val="auto"/>
                <w:sz w:val="24"/>
                <w:szCs w:val="24"/>
                <w:highlight w:val="none"/>
                <w:lang w:eastAsia="zh-CN"/>
              </w:rPr>
              <w:t>*</w:t>
            </w:r>
            <w:bookmarkEnd w:id="41"/>
            <w:bookmarkEnd w:id="42"/>
            <w:r>
              <w:rPr>
                <w:rFonts w:hint="eastAsia" w:ascii="宋体" w:hAnsi="宋体" w:eastAsia="宋体" w:cs="宋体"/>
                <w:color w:val="auto"/>
                <w:sz w:val="24"/>
                <w:szCs w:val="24"/>
                <w:highlight w:val="none"/>
                <w:lang w:eastAsia="zh-CN"/>
              </w:rPr>
              <w:t>80mm*厚度≥1.5mm扁圆管，靠背：采用冷轧30mm*60mm*厚度≥1.5mm扁圆管，经一次抽心弯曲，无炸纹。</w:t>
            </w:r>
          </w:p>
          <w:p w14:paraId="024A9CEC">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3、脚掌：规格</w:t>
            </w:r>
            <w:r>
              <w:rPr>
                <w:rFonts w:hint="eastAsia" w:ascii="宋体" w:hAnsi="宋体" w:cs="宋体"/>
                <w:color w:val="auto"/>
                <w:sz w:val="24"/>
                <w:szCs w:val="24"/>
                <w:highlight w:val="none"/>
                <w:lang w:val="en-US" w:eastAsia="zh-CN"/>
              </w:rPr>
              <w:t>350mm</w:t>
            </w:r>
            <w:r>
              <w:rPr>
                <w:rFonts w:hint="eastAsia" w:ascii="宋体" w:hAnsi="宋体" w:eastAsia="宋体" w:cs="宋体"/>
                <w:color w:val="auto"/>
                <w:sz w:val="24"/>
                <w:szCs w:val="24"/>
                <w:highlight w:val="none"/>
                <w:lang w:eastAsia="zh-CN"/>
              </w:rPr>
              <w:t>（长）*80mm（宽），采用厚度≥2.0 mm冷轧钢经模具一次冲压成型，与脚立柱焊接组合成型。采用膨胀螺丝固定地面，整体结构稳固。</w:t>
            </w:r>
          </w:p>
          <w:p w14:paraId="7664A689">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4、桌面板、层板：桌面板宽3</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lang w:eastAsia="zh-CN"/>
              </w:rPr>
              <w:t>0mm，厚度≥18mm；层板宽</w:t>
            </w:r>
            <w:r>
              <w:rPr>
                <w:rFonts w:hint="eastAsia" w:ascii="宋体" w:hAnsi="宋体" w:eastAsia="宋体" w:cs="宋体"/>
                <w:color w:val="auto"/>
                <w:sz w:val="24"/>
                <w:szCs w:val="24"/>
                <w:highlight w:val="none"/>
                <w:lang w:val="en-US" w:eastAsia="zh-CN"/>
              </w:rPr>
              <w:t>300</w:t>
            </w:r>
            <w:r>
              <w:rPr>
                <w:rFonts w:hint="eastAsia" w:ascii="宋体" w:hAnsi="宋体" w:eastAsia="宋体" w:cs="宋体"/>
                <w:color w:val="auto"/>
                <w:sz w:val="24"/>
                <w:szCs w:val="24"/>
                <w:highlight w:val="none"/>
                <w:lang w:eastAsia="zh-CN"/>
              </w:rPr>
              <w:t>mm，厚度≥16mm；均采用多层板裁切成型后经干燥、防虫防腐处理，双面贴防火板，四周采用油漆封边工艺处理；板材无空心、气泡、松散、发霉、虫蛀，无明显崩缺及加工锯痕。</w:t>
            </w:r>
          </w:p>
          <w:p w14:paraId="732A5CC6">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5、座板、背板：厚度≥13mm；均采用多层板裁切成型后经干燥、防虫防腐处理，双面贴防火板，四周采用油漆封边工艺处理；板材无空心、气泡、松散、发霉、虫蛀，无明显崩缺及加工锯痕。座板和背板的设计和安装必须符合人体工程学原理，能自由形成身体曲线，坐感舒适。</w:t>
            </w:r>
          </w:p>
          <w:p w14:paraId="25248DAE">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6、支撑钢板：桌面板支撑钢板采用厚度≥1.8mm冷轧钢板一次冲压成型，层板支撑钢板采用厚度≥1.5mm冷轧钢板一次冲压成型。座板底部支撑钢板采用厚度≥2.5mm冷轧钢板一次冲压成型。椅面两边铁受力杠采用直径≥12mm 国标实心圆钢，确保安全牢固，座板面活动自如。</w:t>
            </w:r>
          </w:p>
          <w:p w14:paraId="468B2AEE">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7、自动翻转装置：采用加大型自动翻转头，壁厚度≥1.5mm，采用重力自回弹设计，</w:t>
            </w:r>
            <w:bookmarkStart w:id="43" w:name="OLE_LINK135"/>
            <w:bookmarkStart w:id="44" w:name="OLE_LINK136"/>
            <w:r>
              <w:rPr>
                <w:rFonts w:hint="eastAsia" w:ascii="宋体" w:hAnsi="宋体" w:eastAsia="宋体" w:cs="宋体"/>
                <w:color w:val="auto"/>
                <w:sz w:val="24"/>
                <w:szCs w:val="24"/>
                <w:highlight w:val="none"/>
                <w:lang w:eastAsia="zh-CN"/>
              </w:rPr>
              <w:t>装有加厚消音橡胶，回位顺畅无异响。</w:t>
            </w:r>
            <w:bookmarkEnd w:id="43"/>
            <w:bookmarkEnd w:id="44"/>
          </w:p>
          <w:p w14:paraId="6749C7D4">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8、焊接工艺：</w:t>
            </w:r>
            <w:bookmarkStart w:id="45" w:name="OLE_LINK50"/>
            <w:bookmarkStart w:id="46" w:name="OLE_LINK49"/>
            <w:r>
              <w:rPr>
                <w:rFonts w:hint="eastAsia" w:ascii="宋体" w:hAnsi="宋体" w:eastAsia="宋体" w:cs="宋体"/>
                <w:color w:val="auto"/>
                <w:sz w:val="24"/>
                <w:szCs w:val="24"/>
                <w:highlight w:val="none"/>
                <w:lang w:eastAsia="zh-CN"/>
              </w:rPr>
              <w:t>所有钢管要求采用国标钢材，焊接全部采用二氧化碳保护焊接，表面波纹均匀，焊接无裂纹、无夹渣、无气孔、无焊丝头咬边，无脱焊、虚焊、焊穿。</w:t>
            </w:r>
            <w:bookmarkEnd w:id="45"/>
            <w:bookmarkEnd w:id="46"/>
          </w:p>
          <w:p w14:paraId="79B54086">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9、所有钢材经过除锈、除油、物理抛丸处理，管材表面无裂纹、毛刺、结疤、错位、压痕或划痕。采用环保产品环氧聚酯塑粉静电喷塑，喷塑外膜的表面光滑平整，色泽均匀，喷塑层无漏喷、起泡、模糊、划痕或碰伤等缺陷。成品件喷塑表面漆膜厚度≥100</w:t>
            </w:r>
            <w:r>
              <w:rPr>
                <w:rFonts w:hint="eastAsia" w:ascii="宋体" w:hAnsi="宋体" w:eastAsia="宋体" w:cs="宋体"/>
                <w:color w:val="auto"/>
                <w:sz w:val="24"/>
                <w:szCs w:val="24"/>
                <w:highlight w:val="none"/>
              </w:rPr>
              <w:t>μ</w:t>
            </w:r>
            <w:r>
              <w:rPr>
                <w:rFonts w:hint="eastAsia" w:ascii="宋体" w:hAnsi="宋体" w:eastAsia="宋体" w:cs="宋体"/>
                <w:color w:val="auto"/>
                <w:sz w:val="24"/>
                <w:szCs w:val="24"/>
                <w:highlight w:val="none"/>
                <w:lang w:eastAsia="zh-CN"/>
              </w:rPr>
              <w:t>m。</w:t>
            </w:r>
          </w:p>
          <w:p w14:paraId="521A684C">
            <w:pPr>
              <w:spacing w:line="360" w:lineRule="auto"/>
              <w:ind w:firstLine="12" w:firstLineChars="5"/>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10、外观设计：符合人体工程学原理，结构全拆装设置。所有与学生身体接触部位（含桌面边缘、桌腿、椅面边缘、椅背及支撑结构等）须进行倒圆处理，防止安全事故发生。</w:t>
            </w:r>
          </w:p>
          <w:p w14:paraId="010C6624">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11、所有钢板、钢管、饰面多层板、五金配件、塑料件及其他组件均须为全新制造的原厂材料，未曾经过任何形式的使用、翻新、维修或二次加工。</w:t>
            </w:r>
          </w:p>
          <w:p w14:paraId="2EF0DB52">
            <w:pPr>
              <w:spacing w:line="360" w:lineRule="auto"/>
              <w:ind w:firstLine="12" w:firstLine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12、原材料及成品符合GB/T 11253-2019《碳素结构钢冷轧钢板及钢带》、GB/T 9846-2015《普通胶合板》、GB/T 34722-20</w:t>
            </w:r>
            <w:r>
              <w:rPr>
                <w:rFonts w:hint="eastAsia" w:ascii="宋体" w:hAnsi="宋体" w:cs="宋体"/>
                <w:color w:val="auto"/>
                <w:sz w:val="24"/>
                <w:szCs w:val="24"/>
                <w:highlight w:val="none"/>
                <w:lang w:val="en-US" w:eastAsia="zh-CN"/>
              </w:rPr>
              <w:t>25</w:t>
            </w:r>
            <w:r>
              <w:rPr>
                <w:rFonts w:hint="eastAsia" w:ascii="宋体" w:hAnsi="宋体" w:eastAsia="宋体" w:cs="宋体"/>
                <w:color w:val="auto"/>
                <w:sz w:val="24"/>
                <w:szCs w:val="24"/>
                <w:highlight w:val="none"/>
                <w:lang w:eastAsia="zh-CN"/>
              </w:rPr>
              <w:t>《浸渍胶膜纸饰面胶合板和细木工板》、QB/T4071-2021《课桌椅》、GB 18580-20</w:t>
            </w:r>
            <w:r>
              <w:rPr>
                <w:rFonts w:hint="eastAsia" w:ascii="宋体" w:hAnsi="宋体" w:cs="宋体"/>
                <w:color w:val="auto"/>
                <w:sz w:val="24"/>
                <w:szCs w:val="24"/>
                <w:highlight w:val="none"/>
                <w:lang w:val="en-US" w:eastAsia="zh-CN"/>
              </w:rPr>
              <w:t>25</w:t>
            </w:r>
            <w:r>
              <w:rPr>
                <w:rFonts w:hint="eastAsia" w:ascii="宋体" w:hAnsi="宋体" w:eastAsia="宋体" w:cs="宋体"/>
                <w:color w:val="auto"/>
                <w:sz w:val="24"/>
                <w:szCs w:val="24"/>
                <w:highlight w:val="none"/>
                <w:lang w:eastAsia="zh-CN"/>
              </w:rPr>
              <w:t>《室内装饰装修材料人造板及其制品中甲醛释放限量》、GB/T39600-2021《人造板及其制品甲醛释放量分级》、GB/T35607-2024《绿色产品评价家具》、GB/T 3325-2024 《金属家具通用技术条件》</w:t>
            </w:r>
            <w:r>
              <w:rPr>
                <w:rFonts w:hint="eastAsia" w:ascii="宋体" w:hAnsi="宋体" w:cs="宋体"/>
                <w:color w:val="auto"/>
                <w:sz w:val="24"/>
                <w:szCs w:val="24"/>
                <w:highlight w:val="none"/>
                <w:lang w:eastAsia="zh-CN"/>
              </w:rPr>
              <w:t>、</w:t>
            </w:r>
            <w:r>
              <w:rPr>
                <w:rFonts w:hint="eastAsia" w:ascii="宋体" w:hAnsi="宋体" w:eastAsia="宋体" w:cs="宋体"/>
                <w:bCs w:val="0"/>
                <w:color w:val="auto"/>
                <w:sz w:val="24"/>
                <w:szCs w:val="24"/>
                <w:highlight w:val="none"/>
                <w:shd w:val="clear"/>
                <w:lang w:eastAsia="zh-CN"/>
              </w:rPr>
              <w:t>GB28008-2024《家具结构安全技术规范》</w:t>
            </w:r>
            <w:r>
              <w:rPr>
                <w:rFonts w:hint="eastAsia" w:ascii="宋体" w:hAnsi="宋体" w:eastAsia="宋体" w:cs="宋体"/>
                <w:bCs w:val="0"/>
                <w:color w:val="auto"/>
                <w:sz w:val="24"/>
                <w:szCs w:val="24"/>
                <w:highlight w:val="none"/>
                <w:shd w:val="clear"/>
                <w:lang w:val="en-US" w:eastAsia="zh-CN"/>
              </w:rPr>
              <w:t>、</w:t>
            </w:r>
            <w:r>
              <w:rPr>
                <w:rFonts w:hint="eastAsia" w:ascii="宋体" w:hAnsi="宋体" w:eastAsia="宋体" w:cs="宋体"/>
                <w:bCs w:val="0"/>
                <w:color w:val="auto"/>
                <w:sz w:val="24"/>
                <w:szCs w:val="24"/>
                <w:highlight w:val="none"/>
                <w:shd w:val="clear"/>
                <w:lang w:eastAsia="zh-CN"/>
              </w:rPr>
              <w:t>GB18584-2024《家具中有害物质限量》</w:t>
            </w:r>
            <w:r>
              <w:rPr>
                <w:rFonts w:hint="eastAsia" w:ascii="宋体" w:hAnsi="宋体" w:eastAsia="宋体" w:cs="宋体"/>
                <w:color w:val="auto"/>
                <w:sz w:val="24"/>
                <w:szCs w:val="24"/>
                <w:highlight w:val="none"/>
                <w:lang w:eastAsia="zh-CN"/>
              </w:rPr>
              <w:t>等标准。</w:t>
            </w:r>
          </w:p>
          <w:p w14:paraId="4CCE05ED">
            <w:pPr>
              <w:spacing w:line="360" w:lineRule="auto"/>
              <w:ind w:firstLine="12" w:firstLineChars="5"/>
              <w:rPr>
                <w:rFonts w:hint="eastAsia" w:ascii="宋体" w:hAnsi="宋体" w:eastAsia="宋体" w:cs="宋体"/>
                <w:b/>
                <w:bCs/>
                <w:color w:val="auto"/>
                <w:sz w:val="24"/>
                <w:szCs w:val="24"/>
                <w:highlight w:val="none"/>
                <w:lang w:eastAsia="zh-CN"/>
              </w:rPr>
            </w:pPr>
            <w:r>
              <w:rPr>
                <w:rFonts w:hint="eastAsia" w:ascii="宋体" w:hAnsi="宋体" w:eastAsia="宋体" w:cs="宋体"/>
                <w:color w:val="auto"/>
                <w:sz w:val="24"/>
                <w:szCs w:val="24"/>
                <w:highlight w:val="none"/>
                <w:lang w:eastAsia="zh-CN"/>
              </w:rPr>
              <w:t>13、符合GB 18580-20</w:t>
            </w:r>
            <w:r>
              <w:rPr>
                <w:rFonts w:hint="eastAsia" w:ascii="宋体" w:hAnsi="宋体" w:cs="宋体"/>
                <w:color w:val="auto"/>
                <w:sz w:val="24"/>
                <w:szCs w:val="24"/>
                <w:highlight w:val="none"/>
                <w:lang w:val="en-US" w:eastAsia="zh-CN"/>
              </w:rPr>
              <w:t>25</w:t>
            </w:r>
            <w:r>
              <w:rPr>
                <w:rFonts w:hint="eastAsia" w:ascii="宋体" w:hAnsi="宋体" w:eastAsia="宋体" w:cs="宋体"/>
                <w:color w:val="auto"/>
                <w:sz w:val="24"/>
                <w:szCs w:val="24"/>
                <w:highlight w:val="none"/>
                <w:lang w:eastAsia="zh-CN"/>
              </w:rPr>
              <w:t>《室内装饰装修材料人造板及其制品中甲醛释放限量》、GB/T39600-2021《人造板及其制品甲醛释放量分级》</w:t>
            </w:r>
            <w:r>
              <w:rPr>
                <w:rFonts w:hint="eastAsia" w:ascii="宋体" w:hAnsi="宋体" w:cs="宋体"/>
                <w:color w:val="auto"/>
                <w:sz w:val="24"/>
                <w:szCs w:val="24"/>
                <w:highlight w:val="none"/>
                <w:lang w:eastAsia="zh-CN"/>
              </w:rPr>
              <w:t>标准</w:t>
            </w:r>
            <w:r>
              <w:rPr>
                <w:rFonts w:hint="eastAsia" w:ascii="宋体" w:hAnsi="宋体" w:eastAsia="宋体" w:cs="宋体"/>
                <w:color w:val="auto"/>
                <w:sz w:val="24"/>
                <w:szCs w:val="24"/>
                <w:highlight w:val="none"/>
                <w:lang w:eastAsia="zh-CN"/>
              </w:rPr>
              <w:t>，饰面多层板的甲醛释放量≤0.05㎎/m³。</w:t>
            </w:r>
            <w:r>
              <w:rPr>
                <w:rFonts w:hint="eastAsia" w:ascii="宋体" w:hAnsi="宋体" w:eastAsia="宋体" w:cs="宋体"/>
                <w:b/>
                <w:bCs/>
                <w:color w:val="auto"/>
                <w:sz w:val="24"/>
                <w:szCs w:val="24"/>
                <w:highlight w:val="none"/>
                <w:lang w:eastAsia="zh-CN"/>
              </w:rPr>
              <w:t>（响应文件中需同时提供第三方检测机构出具</w:t>
            </w:r>
            <w:r>
              <w:rPr>
                <w:rFonts w:hint="eastAsia" w:ascii="宋体" w:hAnsi="宋体" w:cs="宋体"/>
                <w:b/>
                <w:bCs/>
                <w:color w:val="auto"/>
                <w:sz w:val="24"/>
                <w:szCs w:val="24"/>
                <w:highlight w:val="none"/>
                <w:lang w:val="en-US" w:eastAsia="zh-CN"/>
              </w:rPr>
              <w:t>合格的</w:t>
            </w:r>
            <w:r>
              <w:rPr>
                <w:rFonts w:hint="eastAsia" w:ascii="宋体" w:hAnsi="宋体" w:eastAsia="宋体" w:cs="宋体"/>
                <w:b/>
                <w:bCs/>
                <w:color w:val="auto"/>
                <w:sz w:val="24"/>
                <w:szCs w:val="24"/>
                <w:highlight w:val="none"/>
                <w:lang w:eastAsia="zh-CN"/>
              </w:rPr>
              <w:t>“带有CMA标识”检验（测）报告扫描件及</w:t>
            </w:r>
            <w:r>
              <w:rPr>
                <w:rFonts w:hint="eastAsia" w:ascii="宋体" w:hAnsi="宋体" w:cs="宋体"/>
                <w:b/>
                <w:bCs/>
                <w:color w:val="auto"/>
                <w:sz w:val="24"/>
                <w:szCs w:val="24"/>
                <w:highlight w:val="none"/>
                <w:lang w:val="en-US" w:eastAsia="zh-CN"/>
              </w:rPr>
              <w:t>该</w:t>
            </w:r>
            <w:r>
              <w:rPr>
                <w:rFonts w:hint="eastAsia" w:ascii="宋体" w:hAnsi="宋体" w:eastAsia="宋体" w:cs="宋体"/>
                <w:b/>
                <w:bCs/>
                <w:color w:val="auto"/>
                <w:sz w:val="24"/>
                <w:szCs w:val="24"/>
                <w:highlight w:val="none"/>
                <w:lang w:eastAsia="zh-CN"/>
              </w:rPr>
              <w:t>检验（测）报告</w:t>
            </w:r>
            <w:r>
              <w:rPr>
                <w:rFonts w:hint="eastAsia" w:ascii="宋体" w:hAnsi="宋体" w:cs="宋体"/>
                <w:b/>
                <w:bCs/>
                <w:color w:val="auto"/>
                <w:sz w:val="24"/>
                <w:szCs w:val="24"/>
                <w:highlight w:val="none"/>
                <w:lang w:val="en-US" w:eastAsia="zh-CN"/>
              </w:rPr>
              <w:t>在</w:t>
            </w:r>
            <w:r>
              <w:rPr>
                <w:rFonts w:hint="eastAsia" w:ascii="宋体" w:hAnsi="宋体" w:eastAsia="宋体" w:cs="宋体"/>
                <w:b/>
                <w:bCs/>
                <w:color w:val="auto"/>
                <w:sz w:val="24"/>
                <w:szCs w:val="24"/>
                <w:highlight w:val="none"/>
                <w:lang w:eastAsia="zh-CN"/>
              </w:rPr>
              <w:t>检</w:t>
            </w:r>
            <w:r>
              <w:rPr>
                <w:rFonts w:hint="eastAsia" w:ascii="宋体" w:hAnsi="宋体" w:cs="宋体"/>
                <w:b/>
                <w:bCs/>
                <w:color w:val="auto"/>
                <w:sz w:val="24"/>
                <w:szCs w:val="24"/>
                <w:highlight w:val="none"/>
                <w:lang w:val="en-US" w:eastAsia="zh-CN"/>
              </w:rPr>
              <w:t>测</w:t>
            </w:r>
            <w:r>
              <w:rPr>
                <w:rFonts w:hint="eastAsia" w:ascii="宋体" w:hAnsi="宋体" w:eastAsia="宋体" w:cs="宋体"/>
                <w:b/>
                <w:bCs/>
                <w:color w:val="auto"/>
                <w:sz w:val="24"/>
                <w:szCs w:val="24"/>
                <w:highlight w:val="none"/>
                <w:lang w:eastAsia="zh-CN"/>
              </w:rPr>
              <w:t>机构</w:t>
            </w:r>
            <w:r>
              <w:rPr>
                <w:rFonts w:hint="eastAsia" w:ascii="宋体" w:hAnsi="宋体" w:cs="宋体"/>
                <w:b/>
                <w:bCs/>
                <w:color w:val="auto"/>
                <w:sz w:val="24"/>
                <w:szCs w:val="24"/>
                <w:highlight w:val="none"/>
                <w:lang w:val="en-US" w:eastAsia="zh-CN"/>
              </w:rPr>
              <w:t>官网的查询</w:t>
            </w:r>
            <w:r>
              <w:rPr>
                <w:rFonts w:hint="eastAsia" w:ascii="宋体" w:hAnsi="宋体" w:eastAsia="宋体" w:cs="宋体"/>
                <w:b/>
                <w:bCs/>
                <w:color w:val="auto"/>
                <w:sz w:val="24"/>
                <w:szCs w:val="24"/>
                <w:highlight w:val="none"/>
                <w:lang w:eastAsia="zh-CN"/>
              </w:rPr>
              <w:t>截图）</w:t>
            </w:r>
          </w:p>
          <w:p w14:paraId="423FBA26">
            <w:pPr>
              <w:spacing w:line="360" w:lineRule="auto"/>
              <w:ind w:firstLine="12" w:firstLineChars="5"/>
              <w:rPr>
                <w:rFonts w:hint="default" w:ascii="宋体" w:hAnsi="宋体" w:eastAsia="宋体" w:cs="宋体"/>
                <w:b/>
                <w:bCs/>
                <w:color w:val="auto"/>
                <w:sz w:val="24"/>
                <w:szCs w:val="24"/>
                <w:highlight w:val="none"/>
                <w:lang w:val="en-US" w:eastAsia="zh-CN"/>
              </w:rPr>
            </w:pPr>
            <w:r>
              <w:rPr>
                <w:rFonts w:hint="eastAsia" w:ascii="宋体" w:hAnsi="宋体" w:cs="宋体"/>
                <w:b/>
                <w:bCs/>
                <w:color w:val="auto"/>
                <w:sz w:val="24"/>
                <w:szCs w:val="24"/>
                <w:highlight w:val="none"/>
                <w:lang w:val="en-US" w:eastAsia="zh-CN"/>
              </w:rPr>
              <w:t>14、拆除阶梯教室原有课桌椅，对场地破损地砖进行更换，随后完成新课桌椅安装，保证桌椅安装牢固稳定。本项全部施工内容、人工、辅材等所有费用均综合计入本次报价总价，采购人不再另行追加费用。</w:t>
            </w:r>
          </w:p>
        </w:tc>
        <w:tc>
          <w:tcPr>
            <w:tcW w:w="3336" w:type="dxa"/>
            <w:shd w:val="clear" w:color="auto" w:fill="auto"/>
            <w:vAlign w:val="center"/>
          </w:tcPr>
          <w:p w14:paraId="74170549">
            <w:pPr>
              <w:spacing w:line="360" w:lineRule="auto"/>
              <w:jc w:val="center"/>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drawing>
                <wp:inline distT="0" distB="0" distL="114300" distR="114300">
                  <wp:extent cx="1581150" cy="1238250"/>
                  <wp:effectExtent l="0" t="0" r="0" b="0"/>
                  <wp:docPr id="10" name="图片 2" descr="160637688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2" descr="1606376888(1)"/>
                          <pic:cNvPicPr>
                            <a:picLocks noChangeAspect="1"/>
                          </pic:cNvPicPr>
                        </pic:nvPicPr>
                        <pic:blipFill>
                          <a:blip r:embed="rId5" cstate="print"/>
                          <a:stretch>
                            <a:fillRect/>
                          </a:stretch>
                        </pic:blipFill>
                        <pic:spPr>
                          <a:xfrm>
                            <a:off x="0" y="0"/>
                            <a:ext cx="1581150" cy="1238250"/>
                          </a:xfrm>
                          <a:prstGeom prst="rect">
                            <a:avLst/>
                          </a:prstGeom>
                          <a:noFill/>
                          <a:ln>
                            <a:noFill/>
                          </a:ln>
                        </pic:spPr>
                      </pic:pic>
                    </a:graphicData>
                  </a:graphic>
                </wp:inline>
              </w:drawing>
            </w:r>
          </w:p>
          <w:p w14:paraId="4169B99A">
            <w:pPr>
              <w:spacing w:line="360" w:lineRule="auto"/>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drawing>
                <wp:inline distT="0" distB="0" distL="0" distR="0">
                  <wp:extent cx="2287270" cy="1718945"/>
                  <wp:effectExtent l="0" t="0" r="17780" b="14605"/>
                  <wp:docPr id="31198322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1983220" name="图片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2289208" cy="1720610"/>
                          </a:xfrm>
                          <a:prstGeom prst="rect">
                            <a:avLst/>
                          </a:prstGeom>
                          <a:noFill/>
                        </pic:spPr>
                      </pic:pic>
                    </a:graphicData>
                  </a:graphic>
                </wp:inline>
              </w:drawing>
            </w:r>
          </w:p>
          <w:p w14:paraId="7759EE67">
            <w:pPr>
              <w:spacing w:line="360" w:lineRule="auto"/>
              <w:jc w:val="center"/>
              <w:rPr>
                <w:rFonts w:ascii="宋体" w:hAnsi="宋体" w:eastAsia="宋体" w:cs="宋体"/>
                <w:color w:val="auto"/>
                <w:sz w:val="24"/>
                <w:szCs w:val="24"/>
                <w:highlight w:val="none"/>
              </w:rPr>
            </w:pPr>
          </w:p>
          <w:p w14:paraId="085270A2">
            <w:pPr>
              <w:spacing w:line="360" w:lineRule="auto"/>
              <w:jc w:val="center"/>
              <w:rPr>
                <w:rFonts w:ascii="宋体" w:hAnsi="宋体" w:eastAsia="宋体" w:cs="宋体"/>
                <w:color w:val="auto"/>
                <w:sz w:val="24"/>
                <w:szCs w:val="24"/>
                <w:highlight w:val="none"/>
              </w:rPr>
            </w:pPr>
          </w:p>
          <w:p w14:paraId="2069E66A">
            <w:pPr>
              <w:spacing w:line="360" w:lineRule="auto"/>
              <w:jc w:val="center"/>
              <w:rPr>
                <w:rFonts w:ascii="宋体" w:hAnsi="宋体" w:eastAsia="宋体" w:cs="宋体"/>
                <w:color w:val="auto"/>
                <w:sz w:val="24"/>
                <w:szCs w:val="24"/>
                <w:highlight w:val="none"/>
              </w:rPr>
            </w:pPr>
          </w:p>
          <w:p w14:paraId="4FD8CA25">
            <w:pPr>
              <w:spacing w:line="360" w:lineRule="auto"/>
              <w:jc w:val="center"/>
              <w:rPr>
                <w:rFonts w:ascii="宋体" w:hAnsi="宋体" w:eastAsia="宋体" w:cs="宋体"/>
                <w:color w:val="auto"/>
                <w:sz w:val="24"/>
                <w:szCs w:val="24"/>
                <w:highlight w:val="none"/>
              </w:rPr>
            </w:pPr>
          </w:p>
        </w:tc>
        <w:tc>
          <w:tcPr>
            <w:tcW w:w="850" w:type="dxa"/>
            <w:vAlign w:val="center"/>
          </w:tcPr>
          <w:p w14:paraId="1C73F6CE">
            <w:pPr>
              <w:jc w:val="center"/>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Cs w:val="21"/>
                <w:highlight w:val="none"/>
                <w:lang w:val="en-US" w:eastAsia="zh-CN"/>
              </w:rPr>
              <w:t>3270</w:t>
            </w:r>
            <w:r>
              <w:rPr>
                <w:rFonts w:hint="eastAsia" w:asciiTheme="minorEastAsia" w:hAnsiTheme="minorEastAsia" w:eastAsiaTheme="minorEastAsia" w:cstheme="minorEastAsia"/>
                <w:color w:val="auto"/>
                <w:szCs w:val="21"/>
                <w:highlight w:val="none"/>
              </w:rPr>
              <w:t>位</w:t>
            </w:r>
          </w:p>
        </w:tc>
      </w:tr>
      <w:tr w14:paraId="34640E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531" w:type="dxa"/>
            <w:vAlign w:val="center"/>
          </w:tcPr>
          <w:p w14:paraId="0819D283">
            <w:pPr>
              <w:spacing w:line="360" w:lineRule="auto"/>
              <w:jc w:val="center"/>
              <w:rPr>
                <w:rFonts w:hint="eastAsia" w:ascii="宋体" w:hAnsi="宋体" w:eastAsia="宋体" w:cs="宋体"/>
                <w:color w:val="auto"/>
                <w:sz w:val="24"/>
                <w:szCs w:val="24"/>
                <w:highlight w:val="none"/>
                <w:shd w:val="clear" w:color="auto" w:fill="FFFFFF"/>
                <w:lang w:eastAsia="zh-CN"/>
              </w:rPr>
            </w:pPr>
            <w:r>
              <w:rPr>
                <w:rFonts w:hint="eastAsia" w:ascii="宋体" w:hAnsi="宋体" w:cs="宋体"/>
                <w:color w:val="auto"/>
                <w:sz w:val="24"/>
                <w:szCs w:val="24"/>
                <w:highlight w:val="none"/>
                <w:shd w:val="clear" w:color="auto" w:fill="FFFFFF"/>
                <w:lang w:val="en-US" w:eastAsia="zh-CN"/>
              </w:rPr>
              <w:t>3</w:t>
            </w:r>
          </w:p>
        </w:tc>
        <w:tc>
          <w:tcPr>
            <w:tcW w:w="1277" w:type="dxa"/>
            <w:vAlign w:val="center"/>
          </w:tcPr>
          <w:p w14:paraId="1F45A28B">
            <w:pPr>
              <w:spacing w:line="360" w:lineRule="auto"/>
              <w:jc w:val="center"/>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rPr>
              <w:t>踏板</w:t>
            </w:r>
          </w:p>
        </w:tc>
        <w:tc>
          <w:tcPr>
            <w:tcW w:w="4603" w:type="dxa"/>
            <w:vAlign w:val="center"/>
          </w:tcPr>
          <w:p w14:paraId="73A0C674">
            <w:pPr>
              <w:spacing w:line="360" w:lineRule="auto"/>
              <w:rPr>
                <w:rFonts w:ascii="宋体" w:hAnsi="宋体" w:eastAsia="宋体" w:cs="宋体"/>
                <w:bCs/>
                <w:color w:val="auto"/>
                <w:sz w:val="24"/>
                <w:szCs w:val="24"/>
                <w:highlight w:val="none"/>
                <w:shd w:val="clear" w:color="auto" w:fill="FFFFFF"/>
                <w:lang w:eastAsia="zh-CN"/>
              </w:rPr>
            </w:pPr>
            <w:r>
              <w:rPr>
                <w:rFonts w:hint="eastAsia" w:ascii="宋体" w:hAnsi="宋体" w:eastAsia="宋体" w:cs="宋体"/>
                <w:bCs/>
                <w:color w:val="auto"/>
                <w:sz w:val="24"/>
                <w:szCs w:val="24"/>
                <w:highlight w:val="none"/>
                <w:shd w:val="clear" w:color="auto" w:fill="FFFFFF"/>
                <w:lang w:eastAsia="zh-CN"/>
              </w:rPr>
              <w:t>规格：</w:t>
            </w:r>
            <w:r>
              <w:rPr>
                <w:rFonts w:hint="eastAsia" w:ascii="宋体" w:hAnsi="宋体" w:cs="宋体"/>
                <w:bCs/>
                <w:color w:val="auto"/>
                <w:sz w:val="24"/>
                <w:szCs w:val="24"/>
                <w:highlight w:val="none"/>
                <w:shd w:val="clear" w:color="auto" w:fill="FFFFFF"/>
                <w:lang w:val="en-US" w:eastAsia="zh-CN"/>
              </w:rPr>
              <w:t>1100</w:t>
            </w:r>
            <w:r>
              <w:rPr>
                <w:rFonts w:hint="eastAsia" w:ascii="宋体" w:hAnsi="宋体" w:eastAsia="宋体" w:cs="宋体"/>
                <w:bCs/>
                <w:color w:val="auto"/>
                <w:sz w:val="24"/>
                <w:szCs w:val="24"/>
                <w:highlight w:val="none"/>
                <w:shd w:val="clear" w:color="auto" w:fill="FFFFFF"/>
                <w:lang w:eastAsia="zh-CN"/>
              </w:rPr>
              <w:t xml:space="preserve"> mm（宽）* 200 mm（高），</w:t>
            </w:r>
            <w:bookmarkStart w:id="47" w:name="OLE_LINK88"/>
            <w:bookmarkStart w:id="48" w:name="OLE_LINK89"/>
            <w:r>
              <w:rPr>
                <w:rFonts w:hint="eastAsia" w:ascii="宋体" w:hAnsi="宋体" w:eastAsia="宋体" w:cs="宋体"/>
                <w:bCs/>
                <w:color w:val="auto"/>
                <w:sz w:val="24"/>
                <w:szCs w:val="24"/>
                <w:highlight w:val="none"/>
                <w:shd w:val="clear" w:color="auto" w:fill="FFFFFF"/>
                <w:lang w:eastAsia="zh-CN"/>
              </w:rPr>
              <w:t>每间教室一组，</w:t>
            </w:r>
            <w:bookmarkEnd w:id="47"/>
            <w:bookmarkEnd w:id="48"/>
            <w:r>
              <w:rPr>
                <w:rFonts w:hint="eastAsia" w:ascii="宋体" w:hAnsi="宋体" w:eastAsia="宋体" w:cs="宋体"/>
                <w:bCs/>
                <w:color w:val="auto"/>
                <w:sz w:val="24"/>
                <w:szCs w:val="24"/>
                <w:highlight w:val="none"/>
                <w:shd w:val="clear" w:color="auto" w:fill="FFFFFF"/>
                <w:lang w:eastAsia="zh-CN"/>
              </w:rPr>
              <w:t>由2至3个踏板组合而成，总长度约5500 mm，实际长度根据教室实际宽度确定。</w:t>
            </w:r>
            <w:r>
              <w:rPr>
                <w:rFonts w:ascii="宋体" w:hAnsi="宋体" w:eastAsia="宋体" w:cs="宋体"/>
                <w:color w:val="auto"/>
                <w:sz w:val="24"/>
                <w:szCs w:val="24"/>
              </w:rPr>
              <w:t>若教室黑板后方设有立柱，需根据立柱外凸深度额外增设一组踏板。</w:t>
            </w:r>
            <w:r>
              <w:rPr>
                <w:rFonts w:hint="eastAsia" w:ascii="宋体" w:hAnsi="宋体" w:eastAsia="宋体" w:cs="宋体"/>
                <w:bCs/>
                <w:color w:val="auto"/>
                <w:sz w:val="24"/>
                <w:szCs w:val="24"/>
                <w:highlight w:val="none"/>
                <w:shd w:val="clear" w:color="auto" w:fill="FFFFFF"/>
                <w:lang w:eastAsia="zh-CN"/>
              </w:rPr>
              <w:t>每间教室的踏板须采用金属件连接固定，防止踏板移位后中间产生缝隙。</w:t>
            </w:r>
          </w:p>
          <w:p w14:paraId="5DF6F913">
            <w:pPr>
              <w:spacing w:line="360" w:lineRule="auto"/>
              <w:rPr>
                <w:rFonts w:ascii="宋体" w:hAnsi="宋体" w:eastAsia="宋体" w:cs="宋体"/>
                <w:bCs/>
                <w:color w:val="auto"/>
                <w:sz w:val="24"/>
                <w:szCs w:val="24"/>
                <w:highlight w:val="none"/>
                <w:shd w:val="clear" w:color="auto" w:fill="FFFFFF"/>
                <w:lang w:eastAsia="zh-CN"/>
              </w:rPr>
            </w:pPr>
            <w:r>
              <w:rPr>
                <w:rFonts w:hint="eastAsia" w:ascii="宋体" w:hAnsi="宋体" w:eastAsia="宋体" w:cs="宋体"/>
                <w:bCs/>
                <w:color w:val="auto"/>
                <w:sz w:val="24"/>
                <w:szCs w:val="24"/>
                <w:highlight w:val="none"/>
                <w:shd w:val="clear" w:color="auto" w:fill="FFFFFF"/>
                <w:lang w:eastAsia="zh-CN"/>
              </w:rPr>
              <w:t>1、材质要求：主材采用厚度</w:t>
            </w:r>
            <w:bookmarkStart w:id="49" w:name="OLE_LINK118"/>
            <w:bookmarkStart w:id="50" w:name="OLE_LINK117"/>
            <w:r>
              <w:rPr>
                <w:rFonts w:hint="eastAsia" w:ascii="宋体" w:hAnsi="宋体" w:eastAsia="宋体" w:cs="宋体"/>
                <w:color w:val="auto"/>
                <w:sz w:val="24"/>
                <w:szCs w:val="24"/>
                <w:highlight w:val="none"/>
                <w:lang w:eastAsia="zh-CN"/>
              </w:rPr>
              <w:t>≥</w:t>
            </w:r>
            <w:bookmarkEnd w:id="49"/>
            <w:bookmarkEnd w:id="50"/>
            <w:r>
              <w:rPr>
                <w:rFonts w:hint="eastAsia" w:ascii="宋体" w:hAnsi="宋体" w:eastAsia="宋体" w:cs="宋体"/>
                <w:bCs/>
                <w:color w:val="auto"/>
                <w:sz w:val="24"/>
                <w:szCs w:val="24"/>
                <w:highlight w:val="none"/>
                <w:shd w:val="clear" w:color="auto" w:fill="FFFFFF"/>
                <w:lang w:eastAsia="zh-CN"/>
              </w:rPr>
              <w:t>18mm橡胶木指接板，踏板下面每400mm加立板一块，主材含水率8%-13%。</w:t>
            </w:r>
          </w:p>
          <w:p w14:paraId="42CB0C5D">
            <w:pPr>
              <w:spacing w:line="360" w:lineRule="auto"/>
              <w:rPr>
                <w:rFonts w:ascii="宋体" w:hAnsi="宋体" w:eastAsia="宋体" w:cs="宋体"/>
                <w:bCs/>
                <w:color w:val="auto"/>
                <w:sz w:val="24"/>
                <w:szCs w:val="24"/>
                <w:highlight w:val="none"/>
                <w:shd w:val="clear" w:color="auto" w:fill="FFFFFF"/>
                <w:lang w:eastAsia="zh-CN"/>
              </w:rPr>
            </w:pPr>
            <w:r>
              <w:rPr>
                <w:rFonts w:hint="eastAsia" w:ascii="宋体" w:hAnsi="宋体" w:eastAsia="宋体" w:cs="宋体"/>
                <w:bCs/>
                <w:color w:val="auto"/>
                <w:sz w:val="24"/>
                <w:szCs w:val="24"/>
                <w:highlight w:val="none"/>
                <w:shd w:val="clear" w:color="auto" w:fill="FFFFFF"/>
                <w:lang w:eastAsia="zh-CN"/>
              </w:rPr>
              <w:t>2、油漆：家具配套环保油漆，底漆面漆符合GB18581-2020《木器涂料中有害物质限量》。油漆颜色统一，采用五底三面工艺。</w:t>
            </w:r>
          </w:p>
          <w:p w14:paraId="5A1FE530">
            <w:pPr>
              <w:spacing w:line="360" w:lineRule="auto"/>
              <w:rPr>
                <w:rFonts w:ascii="宋体" w:hAnsi="宋体" w:eastAsia="宋体" w:cs="宋体"/>
                <w:bCs/>
                <w:color w:val="auto"/>
                <w:sz w:val="24"/>
                <w:szCs w:val="24"/>
                <w:highlight w:val="none"/>
                <w:shd w:val="clear" w:color="auto" w:fill="FFFFFF"/>
                <w:lang w:eastAsia="zh-CN"/>
              </w:rPr>
            </w:pPr>
            <w:r>
              <w:rPr>
                <w:rFonts w:hint="eastAsia" w:ascii="宋体" w:hAnsi="宋体" w:eastAsia="宋体" w:cs="宋体"/>
                <w:bCs/>
                <w:color w:val="auto"/>
                <w:sz w:val="24"/>
                <w:szCs w:val="24"/>
                <w:highlight w:val="none"/>
                <w:shd w:val="clear" w:color="auto" w:fill="FFFFFF"/>
                <w:lang w:eastAsia="zh-CN"/>
              </w:rPr>
              <w:t>3、符合GB 18580-20</w:t>
            </w:r>
            <w:r>
              <w:rPr>
                <w:rFonts w:hint="eastAsia" w:ascii="宋体" w:hAnsi="宋体" w:cs="宋体"/>
                <w:bCs/>
                <w:color w:val="auto"/>
                <w:sz w:val="24"/>
                <w:szCs w:val="24"/>
                <w:highlight w:val="none"/>
                <w:shd w:val="clear" w:color="auto" w:fill="FFFFFF"/>
                <w:lang w:val="en-US" w:eastAsia="zh-CN"/>
              </w:rPr>
              <w:t>25</w:t>
            </w:r>
            <w:r>
              <w:rPr>
                <w:rFonts w:hint="eastAsia" w:ascii="宋体" w:hAnsi="宋体" w:eastAsia="宋体" w:cs="宋体"/>
                <w:bCs/>
                <w:color w:val="auto"/>
                <w:sz w:val="24"/>
                <w:szCs w:val="24"/>
                <w:highlight w:val="none"/>
                <w:shd w:val="clear" w:color="auto" w:fill="FFFFFF"/>
                <w:lang w:eastAsia="zh-CN"/>
              </w:rPr>
              <w:t>《室内装饰装修材料人造板及其制品中甲醛释放限量》、 GB/T 3324-2024 《木家具通用技术条件》</w:t>
            </w:r>
            <w:r>
              <w:rPr>
                <w:rFonts w:hint="eastAsia" w:ascii="宋体" w:hAnsi="宋体" w:cs="宋体"/>
                <w:color w:val="auto"/>
                <w:sz w:val="24"/>
                <w:szCs w:val="24"/>
                <w:highlight w:val="none"/>
                <w:lang w:eastAsia="zh-CN"/>
              </w:rPr>
              <w:t>、</w:t>
            </w:r>
            <w:r>
              <w:rPr>
                <w:rFonts w:hint="eastAsia" w:ascii="宋体" w:hAnsi="宋体" w:eastAsia="宋体" w:cs="宋体"/>
                <w:bCs w:val="0"/>
                <w:color w:val="auto"/>
                <w:sz w:val="24"/>
                <w:szCs w:val="24"/>
                <w:highlight w:val="none"/>
                <w:shd w:val="clear"/>
                <w:lang w:eastAsia="zh-CN"/>
              </w:rPr>
              <w:t>GB28008-2024《家具结构安全技术规范》</w:t>
            </w:r>
            <w:r>
              <w:rPr>
                <w:rFonts w:hint="eastAsia" w:ascii="宋体" w:hAnsi="宋体" w:eastAsia="宋体" w:cs="宋体"/>
                <w:bCs w:val="0"/>
                <w:color w:val="auto"/>
                <w:sz w:val="24"/>
                <w:szCs w:val="24"/>
                <w:highlight w:val="none"/>
                <w:shd w:val="clear"/>
                <w:lang w:val="en-US" w:eastAsia="zh-CN"/>
              </w:rPr>
              <w:t>、</w:t>
            </w:r>
            <w:r>
              <w:rPr>
                <w:rFonts w:hint="eastAsia" w:ascii="宋体" w:hAnsi="宋体" w:eastAsia="宋体" w:cs="宋体"/>
                <w:bCs w:val="0"/>
                <w:color w:val="auto"/>
                <w:sz w:val="24"/>
                <w:szCs w:val="24"/>
                <w:highlight w:val="none"/>
                <w:shd w:val="clear"/>
                <w:lang w:eastAsia="zh-CN"/>
              </w:rPr>
              <w:t>GB18584-2024《家具中有害物质限量》</w:t>
            </w:r>
            <w:r>
              <w:rPr>
                <w:rFonts w:hint="eastAsia" w:ascii="宋体" w:hAnsi="宋体" w:cs="宋体"/>
                <w:bCs w:val="0"/>
                <w:color w:val="auto"/>
                <w:sz w:val="24"/>
                <w:szCs w:val="24"/>
                <w:highlight w:val="none"/>
                <w:shd w:val="clear"/>
                <w:lang w:val="en-US" w:eastAsia="zh-CN"/>
              </w:rPr>
              <w:t>等</w:t>
            </w:r>
            <w:r>
              <w:rPr>
                <w:rFonts w:hint="eastAsia" w:ascii="宋体" w:hAnsi="宋体" w:cs="宋体"/>
                <w:bCs/>
                <w:color w:val="auto"/>
                <w:sz w:val="24"/>
                <w:szCs w:val="24"/>
                <w:highlight w:val="none"/>
                <w:shd w:val="clear" w:color="auto" w:fill="FFFFFF"/>
                <w:lang w:eastAsia="zh-CN"/>
              </w:rPr>
              <w:t>标准</w:t>
            </w:r>
            <w:r>
              <w:rPr>
                <w:rFonts w:hint="eastAsia" w:ascii="宋体" w:hAnsi="宋体" w:eastAsia="宋体" w:cs="宋体"/>
                <w:bCs/>
                <w:color w:val="auto"/>
                <w:sz w:val="24"/>
                <w:szCs w:val="24"/>
                <w:highlight w:val="none"/>
                <w:shd w:val="clear" w:color="auto" w:fill="FFFFFF"/>
                <w:lang w:eastAsia="zh-CN"/>
              </w:rPr>
              <w:t>。</w:t>
            </w:r>
          </w:p>
        </w:tc>
        <w:tc>
          <w:tcPr>
            <w:tcW w:w="3336" w:type="dxa"/>
            <w:vAlign w:val="center"/>
          </w:tcPr>
          <w:p w14:paraId="6F60DF5A">
            <w:pPr>
              <w:spacing w:line="360" w:lineRule="auto"/>
              <w:jc w:val="center"/>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drawing>
                <wp:inline distT="0" distB="0" distL="114300" distR="114300">
                  <wp:extent cx="1928495" cy="2571750"/>
                  <wp:effectExtent l="0" t="0" r="14605" b="0"/>
                  <wp:docPr id="115718266"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18266" name="图片 14"/>
                          <pic:cNvPicPr>
                            <a:picLocks noChangeAspect="1"/>
                          </pic:cNvPicPr>
                        </pic:nvPicPr>
                        <pic:blipFill>
                          <a:blip r:embed="rId7" cstate="print">
                            <a:extLst>
                              <a:ext uri="{28A0092B-C50C-407E-A947-70E740481C1C}">
                                <a14:useLocalDpi xmlns:a14="http://schemas.microsoft.com/office/drawing/2010/main" val="0"/>
                              </a:ext>
                            </a:extLst>
                          </a:blip>
                          <a:stretch>
                            <a:fillRect/>
                          </a:stretch>
                        </pic:blipFill>
                        <pic:spPr>
                          <a:xfrm>
                            <a:off x="0" y="0"/>
                            <a:ext cx="1935098" cy="2580131"/>
                          </a:xfrm>
                          <a:prstGeom prst="rect">
                            <a:avLst/>
                          </a:prstGeom>
                          <a:noFill/>
                          <a:ln>
                            <a:noFill/>
                          </a:ln>
                        </pic:spPr>
                      </pic:pic>
                    </a:graphicData>
                  </a:graphic>
                </wp:inline>
              </w:drawing>
            </w:r>
          </w:p>
        </w:tc>
        <w:tc>
          <w:tcPr>
            <w:tcW w:w="850" w:type="dxa"/>
            <w:vAlign w:val="center"/>
          </w:tcPr>
          <w:p w14:paraId="38AD68A3">
            <w:pPr>
              <w:jc w:val="center"/>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Cs w:val="21"/>
                <w:highlight w:val="none"/>
                <w:lang w:val="en-US" w:eastAsia="zh-CN"/>
              </w:rPr>
              <w:t>82</w:t>
            </w:r>
            <w:r>
              <w:rPr>
                <w:rFonts w:hint="eastAsia" w:asciiTheme="minorEastAsia" w:hAnsiTheme="minorEastAsia" w:eastAsiaTheme="minorEastAsia" w:cstheme="minorEastAsia"/>
                <w:color w:val="auto"/>
                <w:szCs w:val="21"/>
                <w:highlight w:val="none"/>
              </w:rPr>
              <w:t>组</w:t>
            </w:r>
          </w:p>
        </w:tc>
      </w:tr>
      <w:tr w14:paraId="22F6E6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4" w:hRule="atLeast"/>
          <w:jc w:val="center"/>
        </w:trPr>
        <w:tc>
          <w:tcPr>
            <w:tcW w:w="531" w:type="dxa"/>
            <w:vAlign w:val="center"/>
          </w:tcPr>
          <w:p w14:paraId="147833E3">
            <w:pPr>
              <w:spacing w:line="360" w:lineRule="auto"/>
              <w:jc w:val="center"/>
              <w:rPr>
                <w:rFonts w:hint="eastAsia" w:ascii="宋体" w:hAnsi="宋体" w:eastAsia="宋体" w:cs="宋体"/>
                <w:color w:val="auto"/>
                <w:sz w:val="24"/>
                <w:szCs w:val="24"/>
                <w:highlight w:val="none"/>
                <w:shd w:val="clear" w:color="auto" w:fill="FFFFFF"/>
                <w:lang w:eastAsia="zh-CN"/>
              </w:rPr>
            </w:pPr>
            <w:r>
              <w:rPr>
                <w:rFonts w:hint="eastAsia" w:ascii="宋体" w:hAnsi="宋体" w:cs="宋体"/>
                <w:color w:val="auto"/>
                <w:sz w:val="24"/>
                <w:szCs w:val="24"/>
                <w:highlight w:val="none"/>
                <w:shd w:val="clear" w:color="auto" w:fill="FFFFFF"/>
                <w:lang w:val="en-US" w:eastAsia="zh-CN"/>
              </w:rPr>
              <w:t>4</w:t>
            </w:r>
          </w:p>
        </w:tc>
        <w:tc>
          <w:tcPr>
            <w:tcW w:w="1277" w:type="dxa"/>
            <w:vAlign w:val="center"/>
          </w:tcPr>
          <w:p w14:paraId="431C7D31">
            <w:pPr>
              <w:spacing w:line="360" w:lineRule="auto"/>
              <w:jc w:val="center"/>
              <w:rPr>
                <w:rFonts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教师椅</w:t>
            </w:r>
          </w:p>
        </w:tc>
        <w:tc>
          <w:tcPr>
            <w:tcW w:w="4603" w:type="dxa"/>
            <w:vAlign w:val="center"/>
          </w:tcPr>
          <w:p w14:paraId="202D6388">
            <w:pPr>
              <w:spacing w:line="360" w:lineRule="auto"/>
              <w:rPr>
                <w:rFonts w:ascii="宋体" w:hAnsi="宋体" w:eastAsia="宋体" w:cs="宋体"/>
                <w:bCs/>
                <w:color w:val="auto"/>
                <w:sz w:val="24"/>
                <w:szCs w:val="24"/>
                <w:highlight w:val="none"/>
                <w:shd w:val="clear" w:color="auto" w:fill="FFFFFF"/>
                <w:lang w:eastAsia="zh-CN"/>
              </w:rPr>
            </w:pPr>
            <w:r>
              <w:rPr>
                <w:rFonts w:hint="eastAsia" w:ascii="宋体" w:hAnsi="宋体" w:eastAsia="宋体" w:cs="宋体"/>
                <w:bCs/>
                <w:color w:val="auto"/>
                <w:sz w:val="24"/>
                <w:szCs w:val="24"/>
                <w:highlight w:val="none"/>
                <w:shd w:val="clear" w:color="auto" w:fill="FFFFFF"/>
                <w:lang w:eastAsia="zh-CN"/>
              </w:rPr>
              <w:t>1、座椅可360度旋转，可升降。</w:t>
            </w:r>
          </w:p>
          <w:p w14:paraId="7B8F5C63">
            <w:pPr>
              <w:spacing w:line="360" w:lineRule="auto"/>
              <w:rPr>
                <w:rFonts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lang w:eastAsia="zh-CN"/>
              </w:rPr>
              <w:t>2、座包：环保皮软包，</w:t>
            </w:r>
            <w:r>
              <w:rPr>
                <w:rFonts w:hint="eastAsia" w:ascii="宋体" w:hAnsi="宋体" w:cs="宋体"/>
                <w:color w:val="auto"/>
                <w:sz w:val="24"/>
                <w:szCs w:val="24"/>
                <w:highlight w:val="none"/>
                <w:shd w:val="clear" w:color="auto" w:fill="FFFFFF"/>
                <w:lang w:val="en-US" w:eastAsia="zh-CN"/>
              </w:rPr>
              <w:t>基材厚度</w:t>
            </w:r>
            <w:r>
              <w:rPr>
                <w:rFonts w:hint="eastAsia" w:ascii="宋体" w:hAnsi="宋体" w:eastAsia="宋体" w:cs="宋体"/>
                <w:color w:val="auto"/>
                <w:sz w:val="24"/>
                <w:szCs w:val="24"/>
                <w:highlight w:val="none"/>
                <w:lang w:eastAsia="zh-CN"/>
              </w:rPr>
              <w:t>≥</w:t>
            </w:r>
            <w:r>
              <w:rPr>
                <w:rFonts w:hint="eastAsia" w:ascii="宋体" w:hAnsi="宋体" w:cs="宋体"/>
                <w:bCs/>
                <w:color w:val="auto"/>
                <w:sz w:val="24"/>
                <w:szCs w:val="24"/>
                <w:highlight w:val="none"/>
                <w:shd w:val="clear" w:color="auto" w:fill="FFFFFF"/>
                <w:lang w:val="en-US" w:eastAsia="zh-CN"/>
              </w:rPr>
              <w:t>1</w:t>
            </w:r>
            <w:r>
              <w:rPr>
                <w:rFonts w:hint="eastAsia" w:ascii="宋体" w:hAnsi="宋体" w:eastAsia="宋体" w:cs="宋体"/>
                <w:bCs/>
                <w:color w:val="auto"/>
                <w:sz w:val="24"/>
                <w:szCs w:val="24"/>
                <w:highlight w:val="none"/>
                <w:shd w:val="clear" w:color="auto" w:fill="FFFFFF"/>
                <w:lang w:eastAsia="zh-CN"/>
              </w:rPr>
              <w:t>.0mm</w:t>
            </w:r>
            <w:r>
              <w:rPr>
                <w:rFonts w:hint="eastAsia" w:ascii="宋体" w:hAnsi="宋体" w:cs="宋体"/>
                <w:color w:val="auto"/>
                <w:sz w:val="24"/>
                <w:szCs w:val="24"/>
                <w:highlight w:val="none"/>
                <w:shd w:val="clear" w:color="auto" w:fill="FFFFFF"/>
                <w:lang w:val="en-US" w:eastAsia="zh-CN"/>
              </w:rPr>
              <w:t>，</w:t>
            </w:r>
            <w:r>
              <w:rPr>
                <w:rFonts w:hint="eastAsia" w:ascii="宋体" w:hAnsi="宋体" w:eastAsia="宋体" w:cs="宋体"/>
                <w:color w:val="auto"/>
                <w:sz w:val="24"/>
                <w:szCs w:val="24"/>
                <w:highlight w:val="none"/>
                <w:shd w:val="clear" w:color="auto" w:fill="FFFFFF"/>
                <w:lang w:eastAsia="zh-CN"/>
              </w:rPr>
              <w:t>内填充4</w:t>
            </w:r>
            <w:r>
              <w:rPr>
                <w:rFonts w:hint="eastAsia" w:ascii="宋体" w:hAnsi="宋体" w:cs="宋体"/>
                <w:color w:val="auto"/>
                <w:sz w:val="24"/>
                <w:szCs w:val="24"/>
                <w:highlight w:val="none"/>
                <w:shd w:val="clear" w:color="auto" w:fill="FFFFFF"/>
                <w:lang w:val="en-US" w:eastAsia="zh-CN"/>
              </w:rPr>
              <w:t>5</w:t>
            </w:r>
            <w:r>
              <w:rPr>
                <w:rFonts w:hint="eastAsia" w:ascii="宋体" w:hAnsi="宋体" w:eastAsia="宋体" w:cs="宋体"/>
                <w:color w:val="auto"/>
                <w:sz w:val="24"/>
                <w:szCs w:val="24"/>
                <w:highlight w:val="none"/>
                <w:shd w:val="clear" w:color="auto" w:fill="FFFFFF"/>
                <w:lang w:eastAsia="zh-CN"/>
              </w:rPr>
              <w:t>#高密度回弹海绵，弹性好。</w:t>
            </w:r>
          </w:p>
          <w:p w14:paraId="6C018940">
            <w:pPr>
              <w:spacing w:line="360" w:lineRule="auto"/>
              <w:rPr>
                <w:rFonts w:ascii="宋体" w:hAnsi="宋体" w:eastAsia="宋体" w:cs="宋体"/>
                <w:bCs/>
                <w:color w:val="auto"/>
                <w:sz w:val="24"/>
                <w:szCs w:val="24"/>
                <w:highlight w:val="none"/>
                <w:shd w:val="clear" w:color="auto" w:fill="FFFFFF"/>
                <w:lang w:eastAsia="zh-CN"/>
              </w:rPr>
            </w:pPr>
            <w:r>
              <w:rPr>
                <w:rFonts w:hint="eastAsia" w:ascii="宋体" w:hAnsi="宋体" w:eastAsia="宋体" w:cs="宋体"/>
                <w:bCs/>
                <w:color w:val="auto"/>
                <w:sz w:val="24"/>
                <w:szCs w:val="24"/>
                <w:highlight w:val="none"/>
                <w:shd w:val="clear" w:color="auto" w:fill="FFFFFF"/>
                <w:lang w:eastAsia="zh-CN"/>
              </w:rPr>
              <w:t>3、底盘: 安全防爆底盘，底盘直径≥410m，厚度</w:t>
            </w:r>
            <w:r>
              <w:rPr>
                <w:rFonts w:hint="eastAsia" w:ascii="宋体" w:hAnsi="宋体" w:eastAsia="宋体" w:cs="宋体"/>
                <w:color w:val="auto"/>
                <w:sz w:val="24"/>
                <w:szCs w:val="24"/>
                <w:highlight w:val="none"/>
                <w:lang w:eastAsia="zh-CN"/>
              </w:rPr>
              <w:t>≥</w:t>
            </w:r>
            <w:r>
              <w:rPr>
                <w:rFonts w:hint="eastAsia" w:ascii="宋体" w:hAnsi="宋体" w:eastAsia="宋体" w:cs="宋体"/>
                <w:bCs/>
                <w:color w:val="auto"/>
                <w:sz w:val="24"/>
                <w:szCs w:val="24"/>
                <w:highlight w:val="none"/>
                <w:shd w:val="clear" w:color="auto" w:fill="FFFFFF"/>
                <w:lang w:eastAsia="zh-CN"/>
              </w:rPr>
              <w:t>2.0mm钢板冲压而成。</w:t>
            </w:r>
          </w:p>
          <w:p w14:paraId="1F5AC687">
            <w:pPr>
              <w:spacing w:line="360" w:lineRule="auto"/>
              <w:ind w:firstLine="11"/>
              <w:rPr>
                <w:rFonts w:ascii="宋体" w:hAnsi="宋体" w:eastAsia="宋体" w:cs="宋体"/>
                <w:bCs/>
                <w:color w:val="auto"/>
                <w:sz w:val="24"/>
                <w:szCs w:val="24"/>
                <w:highlight w:val="none"/>
                <w:shd w:val="clear" w:color="auto" w:fill="FFFFFF"/>
                <w:lang w:eastAsia="zh-CN"/>
              </w:rPr>
            </w:pPr>
            <w:r>
              <w:rPr>
                <w:rFonts w:hint="eastAsia" w:ascii="宋体" w:hAnsi="宋体" w:eastAsia="宋体" w:cs="宋体"/>
                <w:bCs/>
                <w:color w:val="auto"/>
                <w:sz w:val="24"/>
                <w:szCs w:val="24"/>
                <w:highlight w:val="none"/>
                <w:shd w:val="clear" w:color="auto" w:fill="FFFFFF"/>
                <w:lang w:eastAsia="zh-CN"/>
              </w:rPr>
              <w:t>4、气压棒:SGS认证气杆，升降行程</w:t>
            </w:r>
            <w:r>
              <w:rPr>
                <w:rFonts w:hint="eastAsia" w:ascii="宋体" w:hAnsi="宋体" w:eastAsia="宋体" w:cs="宋体"/>
                <w:color w:val="auto"/>
                <w:sz w:val="24"/>
                <w:szCs w:val="24"/>
                <w:highlight w:val="none"/>
                <w:lang w:eastAsia="zh-CN"/>
              </w:rPr>
              <w:t>≥</w:t>
            </w:r>
            <w:r>
              <w:rPr>
                <w:rFonts w:hint="eastAsia" w:ascii="宋体" w:hAnsi="宋体" w:eastAsia="宋体" w:cs="宋体"/>
                <w:bCs/>
                <w:color w:val="auto"/>
                <w:sz w:val="24"/>
                <w:szCs w:val="24"/>
                <w:highlight w:val="none"/>
                <w:shd w:val="clear" w:color="auto" w:fill="FFFFFF"/>
                <w:lang w:eastAsia="zh-CN"/>
              </w:rPr>
              <w:t>100mm，</w:t>
            </w:r>
            <w:r>
              <w:rPr>
                <w:rFonts w:hint="eastAsia" w:ascii="宋体" w:hAnsi="宋体" w:eastAsia="宋体" w:cs="宋体"/>
                <w:color w:val="auto"/>
                <w:sz w:val="24"/>
                <w:szCs w:val="24"/>
                <w:highlight w:val="none"/>
                <w:lang w:eastAsia="zh-CN"/>
              </w:rPr>
              <w:t>厚度</w:t>
            </w:r>
            <w:bookmarkStart w:id="51" w:name="OLE_LINK9"/>
            <w:bookmarkStart w:id="52" w:name="OLE_LINK14"/>
            <w:r>
              <w:rPr>
                <w:rFonts w:hint="eastAsia" w:ascii="宋体" w:hAnsi="宋体" w:eastAsia="宋体" w:cs="宋体"/>
                <w:color w:val="auto"/>
                <w:sz w:val="24"/>
                <w:szCs w:val="24"/>
                <w:highlight w:val="none"/>
                <w:lang w:eastAsia="zh-CN"/>
              </w:rPr>
              <w:t>≥</w:t>
            </w:r>
            <w:r>
              <w:rPr>
                <w:rFonts w:hint="eastAsia" w:ascii="宋体" w:hAnsi="宋体" w:eastAsia="宋体" w:cs="宋体"/>
                <w:bCs/>
                <w:color w:val="auto"/>
                <w:sz w:val="24"/>
                <w:szCs w:val="24"/>
                <w:highlight w:val="none"/>
                <w:shd w:val="clear" w:color="auto" w:fill="FFFFFF"/>
                <w:lang w:eastAsia="zh-CN"/>
              </w:rPr>
              <w:t>2.0mm</w:t>
            </w:r>
            <w:bookmarkEnd w:id="51"/>
            <w:bookmarkEnd w:id="52"/>
            <w:r>
              <w:rPr>
                <w:rFonts w:hint="eastAsia" w:ascii="宋体" w:hAnsi="宋体" w:eastAsia="宋体" w:cs="宋体"/>
                <w:bCs/>
                <w:color w:val="auto"/>
                <w:sz w:val="24"/>
                <w:szCs w:val="24"/>
                <w:highlight w:val="none"/>
                <w:shd w:val="clear" w:color="auto" w:fill="FFFFFF"/>
                <w:lang w:eastAsia="zh-CN"/>
              </w:rPr>
              <w:t>壁管。</w:t>
            </w:r>
          </w:p>
          <w:p w14:paraId="06E43D40">
            <w:pPr>
              <w:spacing w:line="360" w:lineRule="auto"/>
              <w:ind w:firstLine="11"/>
              <w:rPr>
                <w:rFonts w:hint="eastAsia" w:ascii="宋体" w:hAnsi="宋体" w:eastAsia="宋体" w:cs="宋体"/>
                <w:color w:val="auto"/>
                <w:sz w:val="24"/>
                <w:szCs w:val="24"/>
                <w:highlight w:val="none"/>
              </w:rPr>
            </w:pPr>
            <w:r>
              <w:rPr>
                <w:rFonts w:hint="eastAsia" w:ascii="宋体" w:hAnsi="宋体" w:eastAsia="宋体" w:cs="宋体"/>
                <w:bCs/>
                <w:color w:val="auto"/>
                <w:sz w:val="24"/>
                <w:szCs w:val="24"/>
                <w:highlight w:val="none"/>
                <w:shd w:val="clear" w:color="auto" w:fill="FFFFFF"/>
              </w:rPr>
              <w:t>5、有效承重</w:t>
            </w:r>
            <w:r>
              <w:rPr>
                <w:rFonts w:hint="eastAsia" w:ascii="宋体" w:hAnsi="宋体" w:eastAsia="宋体" w:cs="宋体"/>
                <w:color w:val="auto"/>
                <w:sz w:val="24"/>
                <w:szCs w:val="24"/>
                <w:highlight w:val="none"/>
              </w:rPr>
              <w:t>≥120公斤。</w:t>
            </w:r>
          </w:p>
          <w:p w14:paraId="211C7195">
            <w:pPr>
              <w:spacing w:line="360" w:lineRule="auto"/>
              <w:ind w:firstLine="11"/>
              <w:rPr>
                <w:rFonts w:hint="eastAsia"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6、</w:t>
            </w:r>
            <w:r>
              <w:rPr>
                <w:rFonts w:hint="eastAsia" w:ascii="宋体" w:hAnsi="宋体" w:eastAsia="宋体" w:cs="宋体"/>
                <w:bCs/>
                <w:color w:val="auto"/>
                <w:sz w:val="24"/>
                <w:szCs w:val="24"/>
                <w:highlight w:val="none"/>
                <w:shd w:val="clear" w:color="auto" w:fill="FFFFFF"/>
                <w:lang w:eastAsia="zh-CN"/>
              </w:rPr>
              <w:t>符合</w:t>
            </w:r>
            <w:r>
              <w:rPr>
                <w:rFonts w:hint="eastAsia" w:ascii="宋体" w:hAnsi="宋体" w:cs="宋体"/>
                <w:bCs/>
                <w:color w:val="auto"/>
                <w:sz w:val="24"/>
                <w:szCs w:val="24"/>
                <w:highlight w:val="none"/>
                <w:shd w:val="clear" w:color="auto" w:fill="FFFFFF"/>
                <w:lang w:val="en-US" w:eastAsia="zh-CN"/>
              </w:rPr>
              <w:t>Q</w:t>
            </w:r>
            <w:r>
              <w:rPr>
                <w:rFonts w:hint="eastAsia" w:ascii="宋体" w:hAnsi="宋体" w:eastAsia="宋体" w:cs="宋体"/>
                <w:bCs/>
                <w:color w:val="auto"/>
                <w:sz w:val="24"/>
                <w:szCs w:val="24"/>
                <w:highlight w:val="none"/>
                <w:shd w:val="clear" w:color="auto" w:fill="FFFFFF"/>
                <w:lang w:eastAsia="zh-CN"/>
              </w:rPr>
              <w:t>B/T</w:t>
            </w:r>
            <w:r>
              <w:rPr>
                <w:rFonts w:hint="eastAsia" w:ascii="宋体" w:hAnsi="宋体" w:cs="宋体"/>
                <w:bCs/>
                <w:color w:val="auto"/>
                <w:sz w:val="24"/>
                <w:szCs w:val="24"/>
                <w:highlight w:val="none"/>
                <w:shd w:val="clear" w:color="auto" w:fill="FFFFFF"/>
                <w:lang w:val="en-US" w:eastAsia="zh-CN"/>
              </w:rPr>
              <w:t xml:space="preserve"> 2280-2016</w:t>
            </w:r>
            <w:r>
              <w:rPr>
                <w:rFonts w:hint="eastAsia" w:ascii="宋体" w:hAnsi="宋体" w:eastAsia="宋体" w:cs="宋体"/>
                <w:bCs/>
                <w:color w:val="auto"/>
                <w:sz w:val="24"/>
                <w:szCs w:val="24"/>
                <w:highlight w:val="none"/>
                <w:shd w:val="clear" w:color="auto" w:fill="FFFFFF"/>
                <w:lang w:eastAsia="zh-CN"/>
              </w:rPr>
              <w:t>《</w:t>
            </w:r>
            <w:r>
              <w:rPr>
                <w:rFonts w:hint="eastAsia" w:ascii="宋体" w:hAnsi="宋体" w:cs="宋体"/>
                <w:bCs/>
                <w:color w:val="auto"/>
                <w:sz w:val="24"/>
                <w:szCs w:val="24"/>
                <w:highlight w:val="none"/>
                <w:shd w:val="clear" w:color="auto" w:fill="FFFFFF"/>
                <w:lang w:val="en-US" w:eastAsia="zh-CN"/>
              </w:rPr>
              <w:t>办公家具 办公椅</w:t>
            </w:r>
            <w:r>
              <w:rPr>
                <w:rFonts w:hint="eastAsia" w:ascii="宋体" w:hAnsi="宋体" w:eastAsia="宋体" w:cs="宋体"/>
                <w:bCs/>
                <w:color w:val="auto"/>
                <w:sz w:val="24"/>
                <w:szCs w:val="24"/>
                <w:highlight w:val="none"/>
                <w:shd w:val="clear" w:color="auto" w:fill="FFFFFF"/>
                <w:lang w:eastAsia="zh-CN"/>
              </w:rPr>
              <w:t>》标准。</w:t>
            </w:r>
          </w:p>
        </w:tc>
        <w:tc>
          <w:tcPr>
            <w:tcW w:w="3336" w:type="dxa"/>
            <w:vAlign w:val="center"/>
          </w:tcPr>
          <w:p w14:paraId="1C4B341E">
            <w:pPr>
              <w:spacing w:line="360" w:lineRule="auto"/>
              <w:jc w:val="center"/>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drawing>
                <wp:inline distT="0" distB="0" distL="114300" distR="114300">
                  <wp:extent cx="1533525" cy="1605915"/>
                  <wp:effectExtent l="0" t="0" r="9525" b="13335"/>
                  <wp:docPr id="13" name="图片 12" descr="微信图片_20230308185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2" descr="微信图片_20230308185153"/>
                          <pic:cNvPicPr>
                            <a:picLocks noChangeAspect="1"/>
                          </pic:cNvPicPr>
                        </pic:nvPicPr>
                        <pic:blipFill>
                          <a:blip r:embed="rId8" cstate="print"/>
                          <a:stretch>
                            <a:fillRect/>
                          </a:stretch>
                        </pic:blipFill>
                        <pic:spPr>
                          <a:xfrm>
                            <a:off x="0" y="0"/>
                            <a:ext cx="1537019" cy="1609913"/>
                          </a:xfrm>
                          <a:prstGeom prst="rect">
                            <a:avLst/>
                          </a:prstGeom>
                          <a:noFill/>
                          <a:ln>
                            <a:noFill/>
                          </a:ln>
                        </pic:spPr>
                      </pic:pic>
                    </a:graphicData>
                  </a:graphic>
                </wp:inline>
              </w:drawing>
            </w:r>
          </w:p>
        </w:tc>
        <w:tc>
          <w:tcPr>
            <w:tcW w:w="850" w:type="dxa"/>
            <w:vAlign w:val="center"/>
          </w:tcPr>
          <w:p w14:paraId="15300FE2">
            <w:pPr>
              <w:jc w:val="center"/>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Cs w:val="21"/>
                <w:highlight w:val="none"/>
                <w:lang w:val="en-US" w:eastAsia="zh-CN"/>
              </w:rPr>
              <w:t>82</w:t>
            </w:r>
            <w:r>
              <w:rPr>
                <w:rFonts w:hint="eastAsia" w:asciiTheme="minorEastAsia" w:hAnsiTheme="minorEastAsia" w:eastAsiaTheme="minorEastAsia" w:cstheme="minorEastAsia"/>
                <w:color w:val="auto"/>
                <w:szCs w:val="21"/>
                <w:highlight w:val="none"/>
              </w:rPr>
              <w:t>个</w:t>
            </w:r>
          </w:p>
        </w:tc>
      </w:tr>
      <w:tr w14:paraId="4A8798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531" w:type="dxa"/>
            <w:vAlign w:val="center"/>
          </w:tcPr>
          <w:p w14:paraId="58AE0B28">
            <w:pPr>
              <w:spacing w:line="360" w:lineRule="auto"/>
              <w:jc w:val="center"/>
              <w:rPr>
                <w:rFonts w:ascii="宋体" w:hAnsi="宋体" w:eastAsia="宋体" w:cs="宋体"/>
                <w:color w:val="auto"/>
                <w:sz w:val="24"/>
                <w:szCs w:val="24"/>
                <w:highlight w:val="none"/>
              </w:rPr>
            </w:pPr>
          </w:p>
          <w:p w14:paraId="6A723B6C">
            <w:pPr>
              <w:spacing w:line="360" w:lineRule="auto"/>
              <w:jc w:val="center"/>
              <w:rPr>
                <w:rFonts w:ascii="宋体" w:hAnsi="宋体" w:eastAsia="宋体" w:cs="宋体"/>
                <w:color w:val="auto"/>
                <w:sz w:val="24"/>
                <w:szCs w:val="24"/>
                <w:highlight w:val="none"/>
              </w:rPr>
            </w:pPr>
          </w:p>
          <w:p w14:paraId="38670728">
            <w:pPr>
              <w:spacing w:line="360" w:lineRule="auto"/>
              <w:jc w:val="center"/>
              <w:rPr>
                <w:rFonts w:ascii="宋体" w:hAnsi="宋体" w:eastAsia="宋体" w:cs="宋体"/>
                <w:color w:val="auto"/>
                <w:sz w:val="24"/>
                <w:szCs w:val="24"/>
                <w:highlight w:val="none"/>
              </w:rPr>
            </w:pPr>
          </w:p>
          <w:p w14:paraId="18BBD514">
            <w:pPr>
              <w:spacing w:line="360" w:lineRule="auto"/>
              <w:jc w:val="center"/>
              <w:rPr>
                <w:rFonts w:hint="eastAsia" w:ascii="宋体" w:hAnsi="宋体" w:eastAsia="宋体" w:cs="宋体"/>
                <w:color w:val="auto"/>
                <w:sz w:val="24"/>
                <w:szCs w:val="24"/>
                <w:highlight w:val="none"/>
                <w:shd w:val="clear" w:color="auto" w:fill="FFFFFF"/>
                <w:lang w:eastAsia="zh-CN"/>
              </w:rPr>
            </w:pPr>
            <w:r>
              <w:rPr>
                <w:rFonts w:hint="eastAsia" w:ascii="宋体" w:hAnsi="宋体" w:cs="宋体"/>
                <w:color w:val="auto"/>
                <w:sz w:val="24"/>
                <w:szCs w:val="24"/>
                <w:highlight w:val="none"/>
                <w:lang w:val="en-US" w:eastAsia="zh-CN"/>
              </w:rPr>
              <w:t>5</w:t>
            </w:r>
          </w:p>
        </w:tc>
        <w:tc>
          <w:tcPr>
            <w:tcW w:w="1277" w:type="dxa"/>
            <w:vAlign w:val="center"/>
          </w:tcPr>
          <w:p w14:paraId="3143B0EB">
            <w:pPr>
              <w:spacing w:line="360" w:lineRule="auto"/>
              <w:rPr>
                <w:rFonts w:ascii="宋体" w:hAnsi="宋体" w:eastAsia="宋体" w:cs="宋体"/>
                <w:color w:val="auto"/>
                <w:sz w:val="24"/>
                <w:szCs w:val="24"/>
                <w:highlight w:val="none"/>
                <w:shd w:val="clear" w:color="auto" w:fill="FFFFFF"/>
              </w:rPr>
            </w:pPr>
          </w:p>
          <w:p w14:paraId="1BD712F8">
            <w:pPr>
              <w:spacing w:line="360" w:lineRule="auto"/>
              <w:rPr>
                <w:rFonts w:ascii="宋体" w:hAnsi="宋体" w:eastAsia="宋体" w:cs="宋体"/>
                <w:color w:val="auto"/>
                <w:sz w:val="24"/>
                <w:szCs w:val="24"/>
                <w:highlight w:val="none"/>
                <w:shd w:val="clear" w:color="auto" w:fill="FFFFFF"/>
              </w:rPr>
            </w:pPr>
          </w:p>
          <w:p w14:paraId="29E82A86">
            <w:pPr>
              <w:spacing w:line="360" w:lineRule="auto"/>
              <w:rPr>
                <w:rFonts w:ascii="宋体" w:hAnsi="宋体" w:eastAsia="宋体" w:cs="宋体"/>
                <w:color w:val="auto"/>
                <w:sz w:val="24"/>
                <w:szCs w:val="24"/>
                <w:highlight w:val="none"/>
                <w:shd w:val="clear" w:color="auto" w:fill="FFFFFF"/>
              </w:rPr>
            </w:pPr>
          </w:p>
          <w:p w14:paraId="764A5454">
            <w:pPr>
              <w:spacing w:line="360" w:lineRule="auto"/>
              <w:jc w:val="center"/>
              <w:rPr>
                <w:rFonts w:ascii="宋体" w:hAnsi="宋体" w:eastAsia="宋体" w:cs="宋体"/>
                <w:bCs/>
                <w:color w:val="auto"/>
                <w:sz w:val="24"/>
                <w:szCs w:val="24"/>
                <w:highlight w:val="none"/>
              </w:rPr>
            </w:pPr>
            <w:r>
              <w:rPr>
                <w:rFonts w:hint="eastAsia" w:ascii="宋体" w:hAnsi="宋体" w:eastAsia="宋体" w:cs="宋体"/>
                <w:color w:val="auto"/>
                <w:sz w:val="24"/>
                <w:szCs w:val="24"/>
                <w:highlight w:val="none"/>
                <w:shd w:val="clear" w:color="auto" w:fill="FFFFFF"/>
              </w:rPr>
              <w:t>窗帘</w:t>
            </w:r>
          </w:p>
        </w:tc>
        <w:tc>
          <w:tcPr>
            <w:tcW w:w="4603" w:type="dxa"/>
            <w:vAlign w:val="center"/>
          </w:tcPr>
          <w:p w14:paraId="34443267">
            <w:pPr>
              <w:spacing w:line="360" w:lineRule="auto"/>
              <w:rPr>
                <w:rFonts w:ascii="宋体" w:hAnsi="宋体" w:eastAsia="宋体" w:cs="宋体"/>
                <w:bCs/>
                <w:color w:val="auto"/>
                <w:sz w:val="24"/>
                <w:szCs w:val="24"/>
                <w:highlight w:val="none"/>
                <w:shd w:val="clear" w:color="auto" w:fill="FFFFFF"/>
                <w:lang w:eastAsia="zh-CN"/>
              </w:rPr>
            </w:pPr>
            <w:r>
              <w:rPr>
                <w:rFonts w:hint="eastAsia" w:ascii="宋体" w:hAnsi="宋体" w:eastAsia="宋体" w:cs="宋体"/>
                <w:bCs/>
                <w:color w:val="auto"/>
                <w:sz w:val="24"/>
                <w:szCs w:val="24"/>
                <w:highlight w:val="none"/>
                <w:shd w:val="clear" w:color="auto" w:fill="FFFFFF"/>
                <w:lang w:eastAsia="zh-CN"/>
              </w:rPr>
              <w:t>尺寸按教室窗户实际规格定制。</w:t>
            </w:r>
          </w:p>
          <w:p w14:paraId="6858889E">
            <w:pPr>
              <w:spacing w:line="360" w:lineRule="auto"/>
              <w:rPr>
                <w:rFonts w:ascii="宋体" w:hAnsi="宋体" w:eastAsia="宋体" w:cs="宋体"/>
                <w:bCs/>
                <w:color w:val="auto"/>
                <w:sz w:val="24"/>
                <w:szCs w:val="24"/>
                <w:highlight w:val="none"/>
                <w:shd w:val="clear" w:color="auto" w:fill="FFFFFF"/>
                <w:lang w:eastAsia="zh-CN"/>
              </w:rPr>
            </w:pPr>
            <w:r>
              <w:rPr>
                <w:rFonts w:hint="eastAsia" w:ascii="宋体" w:hAnsi="宋体" w:eastAsia="宋体" w:cs="宋体"/>
                <w:bCs/>
                <w:color w:val="auto"/>
                <w:sz w:val="24"/>
                <w:szCs w:val="24"/>
                <w:highlight w:val="none"/>
                <w:shd w:val="clear" w:color="auto" w:fill="FFFFFF"/>
                <w:lang w:eastAsia="zh-CN"/>
              </w:rPr>
              <w:t>1、布料</w:t>
            </w:r>
          </w:p>
          <w:p w14:paraId="6A78F7F2">
            <w:pPr>
              <w:spacing w:line="360" w:lineRule="auto"/>
              <w:rPr>
                <w:rFonts w:ascii="宋体" w:hAnsi="宋体" w:eastAsia="宋体" w:cs="宋体"/>
                <w:bCs/>
                <w:color w:val="auto"/>
                <w:sz w:val="24"/>
                <w:szCs w:val="24"/>
                <w:highlight w:val="none"/>
                <w:shd w:val="clear" w:color="auto" w:fill="FFFFFF"/>
                <w:lang w:eastAsia="zh-CN"/>
              </w:rPr>
            </w:pPr>
            <w:r>
              <w:rPr>
                <w:rFonts w:hint="eastAsia" w:ascii="宋体" w:hAnsi="宋体" w:eastAsia="宋体" w:cs="宋体"/>
                <w:bCs/>
                <w:color w:val="auto"/>
                <w:sz w:val="24"/>
                <w:szCs w:val="24"/>
                <w:highlight w:val="none"/>
                <w:lang w:eastAsia="zh-CN"/>
              </w:rPr>
              <w:t>窗帘褶皱</w:t>
            </w:r>
            <w:r>
              <w:rPr>
                <w:rFonts w:hint="eastAsia" w:ascii="宋体" w:hAnsi="宋体" w:eastAsia="宋体" w:cs="宋体"/>
                <w:bCs/>
                <w:color w:val="auto"/>
                <w:sz w:val="24"/>
                <w:szCs w:val="24"/>
                <w:highlight w:val="none"/>
                <w:shd w:val="clear" w:color="auto" w:fill="FFFFFF"/>
                <w:lang w:eastAsia="zh-CN"/>
              </w:rPr>
              <w:t>≥</w:t>
            </w:r>
            <w:r>
              <w:rPr>
                <w:rFonts w:hint="eastAsia" w:ascii="宋体" w:hAnsi="宋体" w:eastAsia="宋体" w:cs="宋体"/>
                <w:bCs/>
                <w:color w:val="auto"/>
                <w:sz w:val="24"/>
                <w:szCs w:val="24"/>
                <w:highlight w:val="none"/>
                <w:lang w:eastAsia="zh-CN"/>
              </w:rPr>
              <w:t>1.8倍</w:t>
            </w:r>
            <w:r>
              <w:rPr>
                <w:rFonts w:hint="eastAsia" w:ascii="宋体" w:hAnsi="宋体" w:eastAsia="宋体" w:cs="宋体"/>
                <w:bCs/>
                <w:color w:val="auto"/>
                <w:sz w:val="24"/>
                <w:szCs w:val="24"/>
                <w:highlight w:val="none"/>
                <w:shd w:val="clear" w:color="auto" w:fill="FFFFFF"/>
                <w:lang w:eastAsia="zh-CN"/>
              </w:rPr>
              <w:t>。采用色织布面料，聚酯纤维含量100%。符合</w:t>
            </w:r>
            <w:r>
              <w:rPr>
                <w:rFonts w:hint="eastAsia" w:ascii="宋体" w:hAnsi="宋体" w:cs="宋体"/>
                <w:bCs/>
                <w:color w:val="auto"/>
                <w:sz w:val="24"/>
                <w:szCs w:val="24"/>
                <w:highlight w:val="none"/>
                <w:shd w:val="clear" w:color="auto" w:fill="FFFFFF"/>
                <w:lang w:val="en-US" w:eastAsia="zh-CN"/>
              </w:rPr>
              <w:t>GB 18401-2010</w:t>
            </w:r>
            <w:r>
              <w:rPr>
                <w:rFonts w:hint="eastAsia" w:ascii="宋体" w:hAnsi="宋体" w:eastAsia="宋体" w:cs="宋体"/>
                <w:bCs/>
                <w:color w:val="auto"/>
                <w:sz w:val="24"/>
                <w:szCs w:val="24"/>
                <w:highlight w:val="none"/>
                <w:shd w:val="clear" w:color="auto" w:fill="FFFFFF"/>
                <w:lang w:eastAsia="zh-CN"/>
              </w:rPr>
              <w:t>《国家纺织产品基本安全技术规范》，（1）甲醛含量≦50mg/kg；（2）单位面积质量</w:t>
            </w:r>
            <w:bookmarkStart w:id="53" w:name="OLE_LINK129"/>
            <w:bookmarkStart w:id="54" w:name="OLE_LINK133"/>
            <w:r>
              <w:rPr>
                <w:rFonts w:hint="eastAsia" w:ascii="宋体" w:hAnsi="宋体" w:eastAsia="宋体" w:cs="宋体"/>
                <w:bCs/>
                <w:color w:val="auto"/>
                <w:sz w:val="24"/>
                <w:szCs w:val="24"/>
                <w:highlight w:val="none"/>
                <w:shd w:val="clear" w:color="auto" w:fill="FFFFFF"/>
                <w:lang w:eastAsia="zh-CN"/>
              </w:rPr>
              <w:t>≥</w:t>
            </w:r>
            <w:bookmarkEnd w:id="53"/>
            <w:bookmarkEnd w:id="54"/>
            <w:r>
              <w:rPr>
                <w:rFonts w:hint="eastAsia" w:ascii="宋体" w:hAnsi="宋体" w:eastAsia="宋体" w:cs="宋体"/>
                <w:bCs/>
                <w:color w:val="auto"/>
                <w:sz w:val="24"/>
                <w:szCs w:val="24"/>
                <w:highlight w:val="none"/>
                <w:shd w:val="clear" w:color="auto" w:fill="FFFFFF"/>
                <w:lang w:eastAsia="zh-CN"/>
              </w:rPr>
              <w:t>450g/㎡；（3）遮光率≥90%。</w:t>
            </w:r>
          </w:p>
          <w:p w14:paraId="17FEAA56">
            <w:pPr>
              <w:spacing w:line="360" w:lineRule="auto"/>
              <w:rPr>
                <w:rFonts w:ascii="宋体" w:hAnsi="宋体" w:eastAsia="宋体" w:cs="宋体"/>
                <w:bCs/>
                <w:color w:val="auto"/>
                <w:sz w:val="24"/>
                <w:szCs w:val="24"/>
                <w:highlight w:val="none"/>
                <w:shd w:val="clear" w:color="auto" w:fill="FFFFFF"/>
                <w:lang w:eastAsia="zh-CN"/>
              </w:rPr>
            </w:pPr>
            <w:r>
              <w:rPr>
                <w:rFonts w:hint="eastAsia" w:ascii="宋体" w:hAnsi="宋体" w:eastAsia="宋体" w:cs="宋体"/>
                <w:bCs/>
                <w:color w:val="auto"/>
                <w:sz w:val="24"/>
                <w:szCs w:val="24"/>
                <w:highlight w:val="none"/>
                <w:shd w:val="clear" w:color="auto" w:fill="FFFFFF"/>
                <w:lang w:eastAsia="zh-CN"/>
              </w:rPr>
              <w:t>2、根据教室窗户实际情况选用</w:t>
            </w:r>
            <w:r>
              <w:rPr>
                <w:rFonts w:hint="eastAsia" w:ascii="宋体" w:hAnsi="宋体" w:eastAsia="宋体" w:cs="宋体"/>
                <w:color w:val="auto"/>
                <w:sz w:val="24"/>
                <w:szCs w:val="24"/>
                <w:highlight w:val="none"/>
                <w:shd w:val="clear" w:color="auto" w:fill="FFFFFF"/>
                <w:lang w:eastAsia="zh-CN"/>
              </w:rPr>
              <w:t>铝合金轨道</w:t>
            </w:r>
            <w:r>
              <w:rPr>
                <w:rFonts w:hint="eastAsia" w:ascii="宋体" w:hAnsi="宋体" w:eastAsia="宋体" w:cs="宋体"/>
                <w:bCs/>
                <w:color w:val="auto"/>
                <w:sz w:val="24"/>
                <w:szCs w:val="24"/>
                <w:highlight w:val="none"/>
                <w:shd w:val="clear" w:color="auto" w:fill="FFFFFF"/>
                <w:lang w:eastAsia="zh-CN"/>
              </w:rPr>
              <w:t>或罗马杆，壁厚≥1.6mm，拉感顺畅、结实耐用。铝合金材质符合GB/T6892-2023《一般工业用铝及铝合金挤压型材》</w:t>
            </w:r>
            <w:r>
              <w:rPr>
                <w:rFonts w:hint="eastAsia" w:ascii="宋体" w:hAnsi="宋体" w:cs="宋体"/>
                <w:bCs/>
                <w:color w:val="auto"/>
                <w:sz w:val="24"/>
                <w:szCs w:val="24"/>
                <w:highlight w:val="none"/>
                <w:shd w:val="clear" w:color="auto" w:fill="FFFFFF"/>
                <w:lang w:val="en-US" w:eastAsia="zh-CN"/>
              </w:rPr>
              <w:t>标准</w:t>
            </w:r>
            <w:r>
              <w:rPr>
                <w:rFonts w:hint="eastAsia" w:ascii="宋体" w:hAnsi="宋体" w:cs="宋体"/>
                <w:bCs/>
                <w:color w:val="auto"/>
                <w:sz w:val="24"/>
                <w:szCs w:val="24"/>
                <w:highlight w:val="none"/>
                <w:shd w:val="clear" w:color="auto" w:fill="FFFFFF"/>
                <w:lang w:eastAsia="zh-CN"/>
              </w:rPr>
              <w:t>。</w:t>
            </w:r>
          </w:p>
          <w:p w14:paraId="54CABCA1">
            <w:pPr>
              <w:spacing w:line="360" w:lineRule="auto"/>
              <w:rPr>
                <w:rFonts w:ascii="宋体" w:hAnsi="宋体" w:eastAsia="宋体" w:cs="宋体"/>
                <w:bCs/>
                <w:color w:val="auto"/>
                <w:sz w:val="24"/>
                <w:szCs w:val="24"/>
                <w:highlight w:val="none"/>
                <w:shd w:val="clear" w:color="auto" w:fill="FFFFFF"/>
                <w:lang w:eastAsia="zh-CN"/>
              </w:rPr>
            </w:pPr>
            <w:r>
              <w:rPr>
                <w:rFonts w:hint="eastAsia" w:ascii="宋体" w:hAnsi="宋体" w:eastAsia="宋体" w:cs="宋体"/>
                <w:bCs/>
                <w:color w:val="auto"/>
                <w:sz w:val="24"/>
                <w:szCs w:val="24"/>
                <w:highlight w:val="none"/>
                <w:shd w:val="clear" w:color="auto" w:fill="FFFFFF"/>
                <w:lang w:eastAsia="zh-CN"/>
              </w:rPr>
              <w:t>3、布钩采用304不锈钢，直径≥2.0mm。</w:t>
            </w:r>
          </w:p>
        </w:tc>
        <w:tc>
          <w:tcPr>
            <w:tcW w:w="3336" w:type="dxa"/>
            <w:vAlign w:val="center"/>
          </w:tcPr>
          <w:p w14:paraId="64BCB7FA">
            <w:pPr>
              <w:spacing w:line="360" w:lineRule="auto"/>
              <w:jc w:val="center"/>
              <w:rPr>
                <w:rFonts w:ascii="宋体" w:hAnsi="宋体" w:eastAsia="宋体" w:cs="宋体"/>
                <w:color w:val="auto"/>
                <w:sz w:val="24"/>
                <w:szCs w:val="24"/>
                <w:highlight w:val="none"/>
                <w:lang w:eastAsia="zh-CN"/>
              </w:rPr>
            </w:pPr>
          </w:p>
          <w:p w14:paraId="7186DAA7">
            <w:pPr>
              <w:spacing w:line="360" w:lineRule="auto"/>
              <w:jc w:val="center"/>
              <w:rPr>
                <w:rFonts w:ascii="宋体" w:hAnsi="宋体" w:eastAsia="宋体" w:cs="宋体"/>
                <w:color w:val="auto"/>
                <w:sz w:val="24"/>
                <w:szCs w:val="24"/>
                <w:highlight w:val="none"/>
                <w:lang w:eastAsia="zh-CN"/>
              </w:rPr>
            </w:pPr>
          </w:p>
          <w:p w14:paraId="2A8855C4">
            <w:pPr>
              <w:spacing w:line="360" w:lineRule="auto"/>
              <w:jc w:val="center"/>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drawing>
                <wp:inline distT="0" distB="0" distL="114300" distR="114300">
                  <wp:extent cx="1329690" cy="1216660"/>
                  <wp:effectExtent l="0" t="0" r="3810" b="2540"/>
                  <wp:docPr id="14" name="I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 10"/>
                          <pic:cNvPicPr>
                            <a:picLocks noChangeAspect="1"/>
                          </pic:cNvPicPr>
                        </pic:nvPicPr>
                        <pic:blipFill>
                          <a:blip r:embed="rId9" cstate="print"/>
                          <a:stretch>
                            <a:fillRect/>
                          </a:stretch>
                        </pic:blipFill>
                        <pic:spPr>
                          <a:xfrm>
                            <a:off x="0" y="0"/>
                            <a:ext cx="1329690" cy="1216660"/>
                          </a:xfrm>
                          <a:prstGeom prst="rect">
                            <a:avLst/>
                          </a:prstGeom>
                          <a:noFill/>
                          <a:ln>
                            <a:noFill/>
                          </a:ln>
                        </pic:spPr>
                      </pic:pic>
                    </a:graphicData>
                  </a:graphic>
                </wp:inline>
              </w:drawing>
            </w:r>
          </w:p>
          <w:p w14:paraId="394ECCFD">
            <w:pPr>
              <w:spacing w:line="360" w:lineRule="auto"/>
              <w:jc w:val="center"/>
              <w:rPr>
                <w:rFonts w:ascii="宋体" w:hAnsi="宋体" w:eastAsia="宋体" w:cs="宋体"/>
                <w:color w:val="auto"/>
                <w:sz w:val="24"/>
                <w:szCs w:val="24"/>
                <w:highlight w:val="none"/>
              </w:rPr>
            </w:pPr>
          </w:p>
        </w:tc>
        <w:tc>
          <w:tcPr>
            <w:tcW w:w="850" w:type="dxa"/>
            <w:vAlign w:val="center"/>
          </w:tcPr>
          <w:p w14:paraId="47438F36">
            <w:pPr>
              <w:jc w:val="center"/>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Cs w:val="21"/>
                <w:highlight w:val="none"/>
                <w:lang w:val="en-US" w:eastAsia="zh-CN"/>
              </w:rPr>
              <w:t>860</w:t>
            </w:r>
            <w:r>
              <w:rPr>
                <w:rFonts w:hint="eastAsia" w:asciiTheme="minorEastAsia" w:hAnsiTheme="minorEastAsia" w:eastAsiaTheme="minorEastAsia" w:cstheme="minorEastAsia"/>
                <w:color w:val="auto"/>
                <w:szCs w:val="21"/>
                <w:highlight w:val="none"/>
              </w:rPr>
              <w:t>米</w:t>
            </w:r>
          </w:p>
        </w:tc>
      </w:tr>
      <w:bookmarkEnd w:id="39"/>
    </w:tbl>
    <w:p w14:paraId="7456712E">
      <w:pPr>
        <w:widowControl w:val="0"/>
        <w:kinsoku/>
        <w:spacing w:line="242" w:lineRule="auto"/>
        <w:rPr>
          <w:color w:val="auto"/>
          <w:highlight w:val="none"/>
          <w:lang w:eastAsia="zh-CN"/>
        </w:rPr>
      </w:pPr>
    </w:p>
    <w:p w14:paraId="2FC5F9A8">
      <w:pPr>
        <w:spacing w:line="360" w:lineRule="auto"/>
        <w:rPr>
          <w:color w:val="auto"/>
          <w:highlight w:val="none"/>
          <w:lang w:eastAsia="zh-CN"/>
        </w:rPr>
      </w:pPr>
      <w:r>
        <w:rPr>
          <w:rFonts w:hint="eastAsia" w:ascii="宋体" w:hAnsi="宋体"/>
          <w:b/>
          <w:color w:val="auto"/>
          <w:sz w:val="24"/>
          <w:highlight w:val="none"/>
          <w:lang w:eastAsia="zh-CN"/>
        </w:rPr>
        <w:t>以上“参数规格”为实质性要求，必须完全满足或优于，否则响应无效。</w:t>
      </w:r>
    </w:p>
    <w:p w14:paraId="40DAE139">
      <w:pPr>
        <w:widowControl w:val="0"/>
        <w:kinsoku/>
        <w:spacing w:line="245" w:lineRule="auto"/>
        <w:rPr>
          <w:color w:val="auto"/>
          <w:highlight w:val="none"/>
          <w:lang w:eastAsia="zh-CN"/>
        </w:rPr>
      </w:pPr>
    </w:p>
    <w:p w14:paraId="22D06C24">
      <w:pPr>
        <w:widowControl w:val="0"/>
        <w:kinsoku/>
        <w:spacing w:line="245" w:lineRule="auto"/>
        <w:rPr>
          <w:color w:val="auto"/>
          <w:highlight w:val="none"/>
          <w:lang w:eastAsia="zh-CN"/>
        </w:rPr>
      </w:pPr>
    </w:p>
    <w:p w14:paraId="3F6F53B0">
      <w:pPr>
        <w:widowControl w:val="0"/>
        <w:kinsoku/>
        <w:spacing w:before="78" w:line="219" w:lineRule="auto"/>
        <w:rPr>
          <w:rFonts w:hint="eastAsia" w:ascii="宋体" w:hAnsi="宋体" w:eastAsia="宋体" w:cs="宋体"/>
          <w:color w:val="auto"/>
          <w:sz w:val="24"/>
          <w:szCs w:val="24"/>
          <w:highlight w:val="none"/>
          <w:lang w:eastAsia="zh-CN"/>
        </w:rPr>
      </w:pPr>
      <w:r>
        <w:rPr>
          <w:rFonts w:ascii="宋体" w:hAnsi="宋体" w:eastAsia="宋体" w:cs="宋体"/>
          <w:color w:val="auto"/>
          <w:spacing w:val="-6"/>
          <w:sz w:val="24"/>
          <w:szCs w:val="24"/>
          <w:highlight w:val="none"/>
          <w:lang w:eastAsia="zh-CN"/>
        </w:rPr>
        <w:t>（二）</w:t>
      </w:r>
      <w:r>
        <w:rPr>
          <w:rFonts w:ascii="宋体" w:hAnsi="宋体" w:eastAsia="宋体" w:cs="宋体"/>
          <w:color w:val="auto"/>
          <w:spacing w:val="32"/>
          <w:sz w:val="24"/>
          <w:szCs w:val="24"/>
          <w:highlight w:val="none"/>
          <w:lang w:eastAsia="zh-CN"/>
        </w:rPr>
        <w:t xml:space="preserve"> </w:t>
      </w:r>
      <w:r>
        <w:rPr>
          <w:rFonts w:ascii="宋体" w:hAnsi="宋体" w:eastAsia="宋体" w:cs="宋体"/>
          <w:color w:val="auto"/>
          <w:spacing w:val="-6"/>
          <w:sz w:val="24"/>
          <w:szCs w:val="24"/>
          <w:highlight w:val="none"/>
          <w:lang w:eastAsia="zh-CN"/>
        </w:rPr>
        <w:t>商务条件</w:t>
      </w:r>
    </w:p>
    <w:p w14:paraId="42A77CBA">
      <w:pPr>
        <w:widowControl w:val="0"/>
        <w:kinsoku/>
        <w:spacing w:line="249" w:lineRule="auto"/>
        <w:rPr>
          <w:color w:val="auto"/>
          <w:highlight w:val="none"/>
          <w:lang w:eastAsia="zh-CN"/>
        </w:rPr>
      </w:pPr>
    </w:p>
    <w:p w14:paraId="11BD6A96">
      <w:pPr>
        <w:numPr>
          <w:ilvl w:val="0"/>
          <w:numId w:val="1"/>
        </w:num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交货期：成交供应商应保证在2026年8月20日前完成全部货物的供货、安装、调试试运行和培训工作,符合国家标准、行业规范和合同等相关文件的要求。</w:t>
      </w:r>
    </w:p>
    <w:p w14:paraId="23CE17A6">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2、交货地点：南昌航空大学前湖校区（江西省南昌市丰和南大道 696号），供应商按本合同项目要求全部向采购人交清并将所有产品安全运送到采购人指定地点，不另收任何费用。</w:t>
      </w:r>
    </w:p>
    <w:p w14:paraId="2ED15D2A">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3、履约保证金：（1）履约保证金为合同总金额的5%，成交供应商接到领取成交通知书的通知后，在合同签订期(15个日历日)之内及时以银行转账、现金支付形式(南昌航空大学，工行南昌市青山湖支行，账号:1502209009026408036)，或保险、支票、汇票或者金融机构、担保机构出具的保函(含电子保函)等非现金形式向采购人提交履为保证金;逾期未交视为放弃中标。</w:t>
      </w:r>
    </w:p>
    <w:p w14:paraId="494D0A1A">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（2）</w:t>
      </w:r>
      <w:r>
        <w:rPr>
          <w:rFonts w:hint="eastAsia" w:ascii="宋体" w:hAnsi="宋体" w:eastAsia="宋体" w:cs="宋体"/>
          <w:color w:val="auto"/>
          <w:sz w:val="24"/>
          <w:szCs w:val="24"/>
          <w:highlight w:val="none"/>
          <w:lang w:eastAsia="zh-CN"/>
        </w:rPr>
        <w:t>上述履约保证金自签订本合同之日起到本合同项目最终验收合格之日止为履约保证金，自本合同项目完成并最终验收合格之后，采购人在30日内退还中标人，不计息(采购人如逾期退还履约保证金，除应当退还保证金本金外，还应当按中国人民银行同期存款基准利率支付超期资金占用费，但因中标人原因造成除外)</w:t>
      </w:r>
      <w:r>
        <w:rPr>
          <w:rFonts w:hint="eastAsia" w:ascii="宋体" w:hAnsi="宋体" w:cs="宋体"/>
          <w:color w:val="auto"/>
          <w:sz w:val="24"/>
          <w:szCs w:val="24"/>
          <w:highlight w:val="none"/>
          <w:lang w:eastAsia="zh-CN"/>
        </w:rPr>
        <w:t>。</w:t>
      </w:r>
    </w:p>
    <w:p w14:paraId="6E7D5678">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（3）</w:t>
      </w:r>
      <w:r>
        <w:rPr>
          <w:rFonts w:hint="eastAsia" w:ascii="宋体" w:hAnsi="宋体" w:eastAsia="宋体" w:cs="宋体"/>
          <w:color w:val="auto"/>
          <w:sz w:val="24"/>
          <w:szCs w:val="24"/>
          <w:highlight w:val="none"/>
          <w:lang w:eastAsia="zh-CN"/>
        </w:rPr>
        <w:t>履约保证金不子退还情形:签订合同后，如中标人不按双方签订的合同规定履约，则没收其全部履约保证金，履约保证金不足以赔偿损失的，按实际损失赔偿</w:t>
      </w:r>
      <w:r>
        <w:rPr>
          <w:rFonts w:hint="eastAsia" w:ascii="宋体" w:hAnsi="宋体" w:cs="宋体"/>
          <w:color w:val="auto"/>
          <w:sz w:val="24"/>
          <w:szCs w:val="24"/>
          <w:highlight w:val="none"/>
          <w:lang w:eastAsia="zh-CN"/>
        </w:rPr>
        <w:t>。</w:t>
      </w:r>
    </w:p>
    <w:p w14:paraId="1D6CDA4A">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4、付款方式：成交供应商将所有货物按时交货安装调试并初次验收合格后，成交供应商提供合法的增值税专用发票及发票抵扣联原件（服务与工程项目提供合法的增值税发票）、本合同原件和本项目政府采购验收单，采购人一次性向成交供应商付清合同款项的100%。（自收到成交供应商提供完整的付款材料之日起，采购人在10个工作日之内完成项目的付款）。</w:t>
      </w:r>
    </w:p>
    <w:p w14:paraId="559EA766">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5、质量保证和售后服务要求。</w:t>
      </w:r>
    </w:p>
    <w:p w14:paraId="113149CA">
      <w:pPr>
        <w:spacing w:line="360" w:lineRule="auto"/>
        <w:rPr>
          <w:rFonts w:ascii="宋体" w:hAnsi="宋体" w:cs="宋体"/>
          <w:color w:val="auto"/>
          <w:highlight w:val="none"/>
          <w:lang w:eastAsia="zh-CN"/>
        </w:rPr>
      </w:pPr>
      <w:r>
        <w:rPr>
          <w:rFonts w:hint="eastAsia" w:ascii="宋体" w:hAnsi="宋体" w:cs="宋体"/>
          <w:color w:val="auto"/>
          <w:sz w:val="24"/>
          <w:szCs w:val="24"/>
          <w:highlight w:val="none"/>
          <w:lang w:eastAsia="zh-CN"/>
        </w:rPr>
        <w:t>（1）质量保证期：自本项目最终验收合格之日起不少于</w:t>
      </w:r>
      <w:r>
        <w:rPr>
          <w:rFonts w:hint="eastAsia" w:ascii="宋体" w:hAnsi="宋体" w:cs="宋体"/>
          <w:color w:val="auto"/>
          <w:sz w:val="24"/>
          <w:szCs w:val="24"/>
          <w:highlight w:val="none"/>
          <w:lang w:val="en-US" w:eastAsia="zh-CN"/>
        </w:rPr>
        <w:t>5</w:t>
      </w:r>
      <w:r>
        <w:rPr>
          <w:rFonts w:hint="eastAsia" w:ascii="宋体" w:hAnsi="宋体" w:cs="宋体"/>
          <w:color w:val="auto"/>
          <w:sz w:val="24"/>
          <w:szCs w:val="24"/>
          <w:highlight w:val="none"/>
          <w:lang w:eastAsia="zh-CN"/>
        </w:rPr>
        <w:t>年的免费质量保证期</w:t>
      </w:r>
      <w:r>
        <w:rPr>
          <w:rFonts w:hint="eastAsia" w:ascii="宋体" w:hAnsi="宋体" w:cs="宋体"/>
          <w:b/>
          <w:bCs/>
          <w:color w:val="auto"/>
          <w:sz w:val="24"/>
          <w:szCs w:val="22"/>
          <w:highlight w:val="none"/>
          <w:lang w:eastAsia="zh-CN"/>
        </w:rPr>
        <w:t>。</w:t>
      </w:r>
    </w:p>
    <w:p w14:paraId="6151C723">
      <w:pPr>
        <w:spacing w:line="360" w:lineRule="auto"/>
        <w:rPr>
          <w:rFonts w:ascii="宋体" w:hAnsi="宋体" w:cs="宋体"/>
          <w:color w:val="auto"/>
          <w:sz w:val="24"/>
          <w:szCs w:val="24"/>
          <w:highlight w:val="none"/>
          <w:lang w:eastAsia="zh-CN"/>
        </w:rPr>
      </w:pPr>
      <w:r>
        <w:rPr>
          <w:rFonts w:hint="eastAsia" w:ascii="宋体" w:hAnsi="宋体" w:eastAsia="宋体" w:cs="宋体"/>
          <w:color w:val="auto"/>
          <w:sz w:val="24"/>
          <w:szCs w:val="24"/>
          <w:highlight w:val="none"/>
          <w:lang w:eastAsia="zh-CN"/>
        </w:rPr>
        <w:t>（2）免费质量保证期内，供应商提供“三包”服务，建立 7 ×24 小时响应机制，在采购人提出维修要求后，供应商的售后服务人员须在 24 小时之内到达故障现场，并对相关事项进行及时处理，由此产生的一切费用由供应商自行承担。</w:t>
      </w:r>
    </w:p>
    <w:p w14:paraId="2DCB56E2">
      <w:pPr>
        <w:spacing w:line="360" w:lineRule="auto"/>
        <w:rPr>
          <w:rFonts w:ascii="宋体" w:hAnsi="宋体" w:cs="宋体"/>
          <w:color w:val="auto"/>
          <w:sz w:val="24"/>
          <w:szCs w:val="24"/>
          <w:highlight w:val="none"/>
          <w:lang w:eastAsia="zh-CN"/>
        </w:rPr>
      </w:pPr>
      <w:r>
        <w:rPr>
          <w:rFonts w:hint="eastAsia" w:ascii="宋体" w:hAnsi="宋体" w:eastAsia="宋体" w:cs="宋体"/>
          <w:color w:val="auto"/>
          <w:sz w:val="24"/>
          <w:szCs w:val="24"/>
          <w:highlight w:val="none"/>
          <w:lang w:eastAsia="zh-CN"/>
        </w:rPr>
        <w:t>（3）免费质量保证期期满后，如采购人需要，可与供应商协商继续负责本项目的维修与维护工作，由此发生的相关材料和人工费用由采购人承担</w:t>
      </w:r>
      <w:r>
        <w:rPr>
          <w:rFonts w:hint="eastAsia" w:ascii="宋体" w:hAnsi="宋体" w:cs="宋体"/>
          <w:color w:val="auto"/>
          <w:sz w:val="24"/>
          <w:szCs w:val="24"/>
          <w:highlight w:val="none"/>
          <w:lang w:eastAsia="zh-CN"/>
        </w:rPr>
        <w:t>。</w:t>
      </w:r>
    </w:p>
    <w:p w14:paraId="2755578B">
      <w:pPr>
        <w:spacing w:line="360" w:lineRule="auto"/>
        <w:rPr>
          <w:rFonts w:hint="default" w:ascii="宋体" w:hAnsi="宋体" w:cs="宋体"/>
          <w:color w:val="auto"/>
          <w:sz w:val="24"/>
          <w:szCs w:val="24"/>
          <w:highlight w:val="none"/>
          <w:lang w:val="en-US" w:eastAsia="zh-CN"/>
        </w:rPr>
      </w:pPr>
      <w:r>
        <w:rPr>
          <w:rFonts w:hint="eastAsia" w:ascii="宋体" w:hAnsi="宋体" w:eastAsia="宋体" w:cs="宋体"/>
          <w:color w:val="auto"/>
          <w:sz w:val="24"/>
          <w:szCs w:val="24"/>
          <w:highlight w:val="none"/>
          <w:lang w:eastAsia="zh-CN"/>
        </w:rPr>
        <w:t>（4）供应商的其它售后服务承诺属于本合同的一部分，如果有不同约定的，以服务水平和层级更高的为准</w:t>
      </w:r>
      <w:r>
        <w:rPr>
          <w:rFonts w:hint="eastAsia" w:ascii="宋体" w:hAnsi="宋体" w:cs="宋体"/>
          <w:color w:val="auto"/>
          <w:sz w:val="24"/>
          <w:szCs w:val="24"/>
          <w:highlight w:val="none"/>
          <w:lang w:eastAsia="zh-CN"/>
        </w:rPr>
        <w:t>。</w:t>
      </w:r>
    </w:p>
    <w:p w14:paraId="2EEDDC54">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6、安装调试及货物验收</w:t>
      </w:r>
    </w:p>
    <w:p w14:paraId="7A5FDD4C">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（1）成交供应商应按合同约定按时交货并通知采购人对货物开箱时进行开箱验收。</w:t>
      </w:r>
    </w:p>
    <w:p w14:paraId="0837FB4C">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成交供应商应根据合同、招（投）标文件等相关资料的要求完成项目产品的安装、调试，同时成交供应商需对采购人用户单位人员进行技术和操作的免费培训（培训地点为采购人所在地）。仪器设备安装调试后，正常运行试用时间不少于30日方可进行初次验收。试运行结束后，成交供应商提交完整的初次验收材料，由采购人组织人员按合同、招（投）标文件等相关资料的约定对此项目进行初次验收，验收地点由采购人指定。（自收到成交供应商提交完整的初次验收材料之日起，采购人在20日之内完成项目的初次验收）</w:t>
      </w:r>
    </w:p>
    <w:p w14:paraId="108C5DA9">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成交供应商应根据合同、招（投）标文件等相关资料的要求在项目质量保修期内对其所供产品及服务提供优质的售后保障。项目质量保修期结束后，成交供应商通知采购人对此项目进行最终验收。售后服务无瑕疵的情况下，并提交完整的验收材料后，采购人在10日之内对此项目进行最终验收。</w:t>
      </w:r>
    </w:p>
    <w:p w14:paraId="5E2B8876">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7、验收依据：《产品检验通用技术要求》和相关的中国国家标准；</w:t>
      </w:r>
    </w:p>
    <w:p w14:paraId="7316C62C">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8、采购人有权邀请第三方人员或检测机构，对货物进行验收或检测。检测费用、验收小组评审费及其他相关费用由成交供应商独立承担。如货物未能通过检测验收，成交供应商应按照采购人的要求更换相应货物直至达标，并承担由此产生的一切费用和损失。</w:t>
      </w:r>
    </w:p>
    <w:p w14:paraId="20B7EC8F">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9、知识产权</w:t>
      </w:r>
    </w:p>
    <w:p w14:paraId="66E9D320">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成交供应商须保障采购人在使用该产品及所属服务或其任何一部分时不受到第三方关于侵犯专利权、商标权或工业设计权等知识产权的指控。如果任何第三方提出侵权指控与采购人无关，投标人须与第三方交涉并承担可能发生的责任与一切费用。如采购人因此而遭致损失的，成交供应商应赔偿该损失。</w:t>
      </w:r>
    </w:p>
    <w:p w14:paraId="20C06C1F">
      <w:pPr>
        <w:pStyle w:val="4"/>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10、履约风险及措施</w:t>
      </w:r>
    </w:p>
    <w:p w14:paraId="6EC96584">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（1）供应商</w:t>
      </w:r>
      <w:r>
        <w:rPr>
          <w:rFonts w:ascii="宋体" w:hAnsi="宋体" w:eastAsia="宋体" w:cs="宋体"/>
          <w:color w:val="auto"/>
          <w:sz w:val="24"/>
          <w:szCs w:val="24"/>
          <w:highlight w:val="none"/>
          <w:lang w:eastAsia="zh-CN"/>
        </w:rPr>
        <w:t>未能按照本合同约定交货的，则每逾期一天，按照合同总价的</w:t>
      </w:r>
      <w:r>
        <w:rPr>
          <w:rFonts w:hint="eastAsia" w:ascii="宋体" w:hAnsi="宋体" w:eastAsia="宋体" w:cs="宋体"/>
          <w:color w:val="auto"/>
          <w:sz w:val="24"/>
          <w:szCs w:val="24"/>
          <w:highlight w:val="none"/>
          <w:lang w:val="en-US" w:eastAsia="zh-CN"/>
        </w:rPr>
        <w:t>5</w:t>
      </w:r>
      <w:r>
        <w:rPr>
          <w:rFonts w:ascii="宋体" w:hAnsi="宋体" w:eastAsia="宋体" w:cs="宋体"/>
          <w:color w:val="auto"/>
          <w:sz w:val="24"/>
          <w:szCs w:val="24"/>
          <w:highlight w:val="none"/>
          <w:lang w:eastAsia="zh-CN"/>
        </w:rPr>
        <w:t>‰向</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支付违约金，最高延期赔偿金不超过本合同总价款的20%。</w:t>
      </w:r>
    </w:p>
    <w:p w14:paraId="73AC8401">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（2）供应商</w:t>
      </w:r>
      <w:r>
        <w:rPr>
          <w:rFonts w:ascii="宋体" w:hAnsi="宋体" w:eastAsia="宋体" w:cs="宋体"/>
          <w:color w:val="auto"/>
          <w:sz w:val="24"/>
          <w:szCs w:val="24"/>
          <w:highlight w:val="none"/>
          <w:lang w:eastAsia="zh-CN"/>
        </w:rPr>
        <w:t>提供的服务或产品未达到本合同约定的技术、质量及其他任何要求，且经验收不合格的或</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明确告知</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无法交付合同约定产品或提供合同约定的服务的，</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应当承担违约责任，并应按本合同总金额的30%向</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支付违约金。</w:t>
      </w:r>
    </w:p>
    <w:p w14:paraId="4B4AF369">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（3）供应商</w:t>
      </w:r>
      <w:r>
        <w:rPr>
          <w:rFonts w:ascii="宋体" w:hAnsi="宋体" w:eastAsia="宋体" w:cs="宋体"/>
          <w:color w:val="auto"/>
          <w:sz w:val="24"/>
          <w:szCs w:val="24"/>
          <w:highlight w:val="none"/>
          <w:lang w:eastAsia="zh-CN"/>
        </w:rPr>
        <w:t>未能按照本合同约定按期交货的，则逾期超过 1 个月，或虽未逾期但经两次申请仍然未能通过验收合格的，</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可单方通知</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解除合同，解除合同通知送达</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当日合同立即终止。</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解除合同通知发送至</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指定电子邮箱系统即视为已送达。</w:t>
      </w:r>
    </w:p>
    <w:p w14:paraId="7B9D9161">
      <w:pPr>
        <w:spacing w:line="360" w:lineRule="auto"/>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w:t>
      </w:r>
      <w:r>
        <w:rPr>
          <w:rFonts w:ascii="宋体" w:hAnsi="宋体" w:eastAsia="宋体" w:cs="宋体"/>
          <w:color w:val="auto"/>
          <w:sz w:val="24"/>
          <w:szCs w:val="24"/>
          <w:highlight w:val="none"/>
          <w:lang w:eastAsia="zh-CN"/>
        </w:rPr>
        <w:t>供应商提供的所有证明材料必须真实，有效。成交供应商与</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合同签订</w:t>
      </w:r>
      <w:r>
        <w:rPr>
          <w:rFonts w:hint="eastAsia" w:ascii="宋体" w:hAnsi="宋体" w:eastAsia="宋体" w:cs="宋体"/>
          <w:color w:val="auto"/>
          <w:sz w:val="24"/>
          <w:szCs w:val="24"/>
          <w:highlight w:val="none"/>
          <w:lang w:eastAsia="zh-CN"/>
        </w:rPr>
        <w:t>后</w:t>
      </w:r>
      <w:r>
        <w:rPr>
          <w:rFonts w:ascii="宋体" w:hAnsi="宋体" w:eastAsia="宋体" w:cs="宋体"/>
          <w:color w:val="auto"/>
          <w:sz w:val="24"/>
          <w:szCs w:val="24"/>
          <w:highlight w:val="none"/>
          <w:lang w:eastAsia="zh-CN"/>
        </w:rPr>
        <w:t>，成交供应商需按</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要求提供投标证明材料原件核查。</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有权核实</w:t>
      </w:r>
      <w:r>
        <w:rPr>
          <w:rFonts w:hint="eastAsia" w:ascii="宋体" w:hAnsi="宋体" w:eastAsia="宋体" w:cs="宋体"/>
          <w:color w:val="auto"/>
          <w:sz w:val="24"/>
          <w:szCs w:val="24"/>
          <w:highlight w:val="none"/>
          <w:lang w:eastAsia="zh-CN"/>
        </w:rPr>
        <w:t>响应</w:t>
      </w:r>
      <w:r>
        <w:rPr>
          <w:rFonts w:ascii="宋体" w:hAnsi="宋体" w:eastAsia="宋体" w:cs="宋体"/>
          <w:color w:val="auto"/>
          <w:sz w:val="24"/>
          <w:szCs w:val="24"/>
          <w:highlight w:val="none"/>
          <w:lang w:eastAsia="zh-CN"/>
        </w:rPr>
        <w:t>文件内容真实性。如证实成交供应商提供虚假材料，</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 xml:space="preserve">将上报至同级 财政监管部门，追究其法律责任。 </w:t>
      </w:r>
    </w:p>
    <w:p w14:paraId="1970C6F5">
      <w:pPr>
        <w:spacing w:line="360"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11、其他要求：本项目为交钥匙工程，安装场所内原有旧家具的拆除和清运、所有货物、材料、运输、转运、辅材、安装、施工、调试、施工垃圾清运、验收、保险、税金等一切费用均包含在投标报价总价中。</w:t>
      </w:r>
    </w:p>
    <w:p w14:paraId="496335FE">
      <w:pPr>
        <w:widowControl w:val="0"/>
        <w:kinsoku/>
        <w:spacing w:line="249" w:lineRule="auto"/>
        <w:rPr>
          <w:rFonts w:hint="eastAsia" w:ascii="宋体" w:hAnsi="宋体" w:eastAsia="宋体" w:cs="宋体"/>
          <w:color w:val="auto"/>
          <w:spacing w:val="9"/>
          <w:sz w:val="31"/>
          <w:szCs w:val="31"/>
          <w:highlight w:val="none"/>
          <w:lang w:eastAsia="zh-CN"/>
        </w:rPr>
      </w:pPr>
      <w:r>
        <w:rPr>
          <w:rFonts w:hint="eastAsia" w:ascii="宋体" w:hAnsi="宋体" w:cs="宋体"/>
          <w:b/>
          <w:bCs/>
          <w:color w:val="auto"/>
          <w:sz w:val="24"/>
          <w:szCs w:val="24"/>
          <w:highlight w:val="none"/>
          <w:lang w:eastAsia="zh-CN"/>
        </w:rPr>
        <w:t>注：以上商务要求均须完全满足，否则视为无效响应。</w:t>
      </w:r>
      <w:bookmarkStart w:id="55" w:name="bookmark82"/>
      <w:bookmarkEnd w:id="55"/>
      <w:bookmarkStart w:id="56" w:name="_GoBack"/>
      <w:bookmarkEnd w:id="56"/>
    </w:p>
    <w:p w14:paraId="7A432D2D"/>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78BDB5F"/>
    <w:multiLevelType w:val="singleLevel"/>
    <w:tmpl w:val="978BDB5F"/>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62427CB"/>
    <w:rsid w:val="275C5DD5"/>
    <w:rsid w:val="318930A6"/>
    <w:rsid w:val="3C1F03B8"/>
    <w:rsid w:val="5A2D0343"/>
    <w:rsid w:val="662427C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paragraph" w:customStyle="1" w:styleId="4">
    <w:name w:val="_Style 3"/>
    <w:qFormat/>
    <w:uiPriority w:val="1"/>
    <w:pPr>
      <w:widowControl w:val="0"/>
      <w:jc w:val="both"/>
    </w:pPr>
    <w:rPr>
      <w:rFonts w:ascii="Times New Roman" w:hAnsi="Times New Roman"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6.jpeg"/><Relationship Id="rId8" Type="http://schemas.openxmlformats.org/officeDocument/2006/relationships/image" Target="media/image5.jpeg"/><Relationship Id="rId7" Type="http://schemas.openxmlformats.org/officeDocument/2006/relationships/image" Target="media/image4.jpe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0</Words>
  <Characters>0</Characters>
  <Lines>0</Lines>
  <Paragraphs>0</Paragraphs>
  <TotalTime>0</TotalTime>
  <ScaleCrop>false</ScaleCrop>
  <LinksUpToDate>false</LinksUpToDate>
  <CharactersWithSpaces>0</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2026-07-02T07:57:00Z</dcterms:created>
  <dc:creator>LENOVO</dc:creator>
  <cp:lastModifiedBy>LENOVO</cp:lastModifiedBy>
  <dcterms:modified xsi:type="dcterms:W3CDTF">2026-07-02T07:57:38Z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545A7EE0107F4C02B57B805FBCF4D0BD_11</vt:lpwstr>
  </property>
</Properties>
</file>