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69A36D">
      <w:pPr>
        <w:keepNext/>
        <w:keepLines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288" w:lineRule="auto"/>
        <w:ind w:left="0" w:right="0"/>
        <w:jc w:val="center"/>
        <w:textAlignment w:val="baseline"/>
        <w:outlineLvl w:val="0"/>
        <w:rPr>
          <w:rFonts w:hint="eastAsia" w:ascii="宋体" w:hAnsi="宋体" w:eastAsia="宋体" w:cs="宋体"/>
          <w:b/>
          <w:bCs/>
          <w:snapToGrid w:val="0"/>
          <w:color w:val="000000"/>
          <w:kern w:val="44"/>
          <w:sz w:val="28"/>
          <w:szCs w:val="24"/>
          <w:highlight w:val="none"/>
          <w:lang w:val="en-US" w:eastAsia="zh-CN" w:bidi="ar-SA"/>
        </w:rPr>
      </w:pPr>
      <w:bookmarkStart w:id="0" w:name="_Toc20804"/>
      <w:bookmarkStart w:id="1" w:name="_Toc11717"/>
      <w:r>
        <w:rPr>
          <w:rFonts w:hint="eastAsia" w:ascii="宋体" w:hAnsi="宋体" w:eastAsia="宋体" w:cs="宋体"/>
          <w:b/>
          <w:bCs/>
          <w:snapToGrid w:val="0"/>
          <w:color w:val="000000"/>
          <w:kern w:val="44"/>
          <w:sz w:val="28"/>
          <w:szCs w:val="24"/>
          <w:highlight w:val="none"/>
          <w:lang w:val="en-US" w:eastAsia="zh-CN" w:bidi="ar-SA"/>
        </w:rPr>
        <w:t>第五章  采购需求</w:t>
      </w:r>
      <w:bookmarkEnd w:id="0"/>
      <w:bookmarkEnd w:id="1"/>
    </w:p>
    <w:p w14:paraId="45C75F4B">
      <w:pPr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jc w:val="left"/>
        <w:textAlignment w:val="baseline"/>
        <w:outlineLvl w:val="1"/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32"/>
          <w:highlight w:val="none"/>
          <w:lang w:val="en-US" w:eastAsia="en-US" w:bidi="ar-SA"/>
        </w:rPr>
      </w:pPr>
      <w:bookmarkStart w:id="2" w:name="bookmark81"/>
      <w:bookmarkEnd w:id="2"/>
      <w:bookmarkStart w:id="3" w:name="_Toc19740"/>
      <w:r>
        <w:rPr>
          <w:rFonts w:hint="eastAsia" w:ascii="宋体" w:hAnsi="宋体" w:eastAsia="宋体" w:cs="宋体"/>
          <w:b/>
          <w:bCs/>
          <w:snapToGrid w:val="0"/>
          <w:color w:val="000000"/>
          <w:sz w:val="28"/>
          <w:szCs w:val="32"/>
          <w:highlight w:val="none"/>
          <w:lang w:val="en-US" w:eastAsia="zh-CN" w:bidi="ar-SA"/>
        </w:rPr>
        <w:t>一、技术需求</w:t>
      </w:r>
      <w:bookmarkEnd w:id="3"/>
    </w:p>
    <w:tbl>
      <w:tblPr>
        <w:tblStyle w:val="2"/>
        <w:tblW w:w="1557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1006"/>
        <w:gridCol w:w="2520"/>
        <w:gridCol w:w="8952"/>
        <w:gridCol w:w="1011"/>
        <w:gridCol w:w="1129"/>
      </w:tblGrid>
      <w:tr w14:paraId="20CB8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6E3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0DD6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名称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EB7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参考图片</w:t>
            </w:r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3F27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技术参数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984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2130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数量</w:t>
            </w:r>
          </w:p>
        </w:tc>
      </w:tr>
      <w:tr w14:paraId="0CF74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96F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AA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电动遮阳帘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B7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bookmarkStart w:id="4" w:name="_GoBack"/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68580</wp:posOffset>
                  </wp:positionH>
                  <wp:positionV relativeFrom="paragraph">
                    <wp:posOffset>3175</wp:posOffset>
                  </wp:positionV>
                  <wp:extent cx="1362075" cy="1790700"/>
                  <wp:effectExtent l="0" t="0" r="9525" b="0"/>
                  <wp:wrapSquare wrapText="bothSides"/>
                  <wp:docPr id="7" name="图片 6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6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2075" cy="1790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4"/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EFA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规格：长36米*宽37米</w:t>
            </w:r>
          </w:p>
          <w:p w14:paraId="0556FEF1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面料：340克/平方高分子聚乙烯面料，遮阳率可达95%；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（提供带CMA的第三方检测机构出具的合格检测报告）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2、拖布杆：≥宽15*高25*厚度0.8mm铝合金，静电喷涂；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3、牵引杆：≥宽60高35厚度1.5mmm铝合金，静电喷涂；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4、导向钢丝绳：直径≥5mm，304不锈钢，牵引钢丝绳：直径≥2mm304不锈钢；</w:t>
            </w:r>
          </w:p>
          <w:p w14:paraId="7390D94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★为了保证产品质量和满足安全需要，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钢丝绳洛氏硬度、抗拉强度、规定塑性延伸强度、断后伸长率、中性盐雾实验、盐雾试验评级、冲击测试、密度测试符合国家标准。</w:t>
            </w:r>
          </w:p>
          <w:p w14:paraId="394ED18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（提供带CMA的第三方检测机构出具的合格检测报告。）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5、吊轮：≥宽14*长48*高33mm 304不锈钢；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6、五金件螺丝、防松螺母均采用304不锈钢。</w:t>
            </w:r>
          </w:p>
          <w:p w14:paraId="2CFC5FC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★为了保证产品质量和满足安全需要，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螺丝、防松螺母洛氏硬度抗拉强度、规定塑性延伸强度、断后伸长率、中性盐雾实验、盐雾试验评级、冲击测试、密度测试应符合国家标准。</w:t>
            </w:r>
          </w:p>
          <w:p w14:paraId="6960B3E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（提供带CMA的第三方检测机构出具的合格检测报告。）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69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平米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F05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1332</w:t>
            </w:r>
          </w:p>
        </w:tc>
      </w:tr>
      <w:tr w14:paraId="7ABA1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0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D54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5F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电机组件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75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7620</wp:posOffset>
                  </wp:positionH>
                  <wp:positionV relativeFrom="paragraph">
                    <wp:posOffset>3175</wp:posOffset>
                  </wp:positionV>
                  <wp:extent cx="1485900" cy="942975"/>
                  <wp:effectExtent l="0" t="0" r="0" b="9525"/>
                  <wp:wrapSquare wrapText="bothSides"/>
                  <wp:docPr id="9" name="图片 7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7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5900" cy="942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E3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电机：直流电机20N30转，防水，40分钟热保护；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电机防雨板：≥180*100*180mm，铝合金材质；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卷管：直径≥85mm铝合金；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卷线器：直径≥140mm铝合金；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钢丝绳拉紧器：M14-304不锈钢；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钢丝绳夹头：M6-304不锈钢；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滑轮组：5mm钢板粉末喷涂带换轮。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84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98B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</w:tr>
      <w:tr w14:paraId="30BC83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AB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9A4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控制系统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7A3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137160</wp:posOffset>
                  </wp:positionH>
                  <wp:positionV relativeFrom="paragraph">
                    <wp:posOffset>3175</wp:posOffset>
                  </wp:positionV>
                  <wp:extent cx="1228725" cy="838200"/>
                  <wp:effectExtent l="0" t="0" r="9525" b="0"/>
                  <wp:wrapSquare wrapText="bothSides"/>
                  <wp:docPr id="8" name="图片 8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872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F0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1.自动化机器人：1个、可自动化控制，风力达到4-8级自动收回，雨雪天气自动收回；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2.遥控器：1个、15频道液晶遥控，控制距离≥50米；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3.电路布置：从主配电箱拉线到各电机处；地面破除、恢复，钢管埋地；设置电机操作箱。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946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080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1056A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8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874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FD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固定钢架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4EF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114300</wp:posOffset>
                  </wp:positionH>
                  <wp:positionV relativeFrom="paragraph">
                    <wp:posOffset>3175</wp:posOffset>
                  </wp:positionV>
                  <wp:extent cx="1266825" cy="1409700"/>
                  <wp:effectExtent l="0" t="0" r="9525" b="0"/>
                  <wp:wrapSquare wrapText="bothSides"/>
                  <wp:docPr id="6" name="图片 9" descr="IMG_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9" descr="IMG_259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825" cy="140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1B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规格:立柱钢架1.镀锌管立柱≥长100*100*3.0*4500mm；2.镀锌管立柱横梁≥长100*100*3.0*36000mm；3.镀锌管靠墙钢架≥长100*100*3.0*36000mm；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材质：镀锌管，除锈等级不小于 Sa2.5。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工艺要求：焊接，防腐处理，白色油漆喷涂。</w:t>
            </w:r>
          </w:p>
          <w:p w14:paraId="06AB18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★为了保证产品质量和满足安全需要，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镀锌管立柱、盐雾试验测试、油漆的苯，甲苯、乙苯、二甲苯的排放标准符合国家标准要求。</w:t>
            </w:r>
          </w:p>
          <w:p w14:paraId="295AE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（提供带CMA的第三方检测机构出具的合格检测报告。）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145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吨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AED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3.4</w:t>
            </w:r>
          </w:p>
        </w:tc>
      </w:tr>
      <w:tr w14:paraId="08A284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9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C6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84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地面基础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92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-102870</wp:posOffset>
                  </wp:positionH>
                  <wp:positionV relativeFrom="paragraph">
                    <wp:posOffset>3175</wp:posOffset>
                  </wp:positionV>
                  <wp:extent cx="1495425" cy="1019175"/>
                  <wp:effectExtent l="0" t="0" r="9525" b="9525"/>
                  <wp:wrapSquare wrapText="bothSides"/>
                  <wp:docPr id="10" name="图片 10" descr="IMG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IMG_260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5425" cy="1019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C68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规格：1.基坑开挖、回填、余土外运；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    2.混凝土强度等级:C25；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    3.12 钢筋@200。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    4.1立方带钢筋笼带地脚螺栓及预埋板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97F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/>
              </w:rPr>
              <w:t>组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59C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</w:tr>
    </w:tbl>
    <w:p w14:paraId="4A5ED4B6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93292B"/>
    <w:multiLevelType w:val="singleLevel"/>
    <w:tmpl w:val="0D93292B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573943"/>
    <w:rsid w:val="4A573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2026-07-02T02:09:00Z</dcterms:created>
  <dc:creator>Administrator</dc:creator>
  <cp:lastModifiedBy>Administrator</cp:lastModifiedBy>
  <dcterms:modified xsi:type="dcterms:W3CDTF">2026-07-02T02:09:14Z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9436C938318F4CC396B6E28C43E24447_11</vt:lpwstr>
  </property>
  <property fmtid="{D5CDD505-2E9C-101B-9397-08002B2CF9AE}" pid="4" name="KSOTemplateDocerSaveRecord">
    <vt:lpwstr>eyJoZGlkIjoiN2YzYTZmMjU4ZjUwNGI3YTVmYmY0NjMwNmFhMDVhODMiLCJ1c2VySWQiOiIyMTExMDk4NjkifQ==</vt:lpwstr>
  </property>
</Properties>
</file>