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5CABA8">
      <w:pPr>
        <w:keepNext w:val="0"/>
        <w:keepLines w:val="0"/>
        <w:pageBreakBefore w:val="0"/>
        <w:widowControl/>
        <w:kinsoku w:val="0"/>
        <w:wordWrap/>
        <w:overflowPunct/>
        <w:topLinePunct w:val="0"/>
        <w:autoSpaceDE w:val="0"/>
        <w:autoSpaceDN w:val="0"/>
        <w:bidi w:val="0"/>
        <w:adjustRightInd w:val="0"/>
        <w:snapToGrid w:val="0"/>
        <w:spacing w:line="360" w:lineRule="auto"/>
        <w:ind w:firstLine="482" w:firstLineChars="200"/>
        <w:textAlignment w:val="baseline"/>
        <w:rPr>
          <w:rFonts w:hint="eastAsia" w:ascii="仿宋" w:hAnsi="仿宋" w:eastAsia="仿宋" w:cs="仿宋"/>
          <w:b/>
          <w:bCs/>
          <w:color w:val="auto"/>
          <w:sz w:val="24"/>
          <w:szCs w:val="24"/>
        </w:rPr>
      </w:pPr>
      <w:r>
        <w:rPr>
          <w:rFonts w:hint="eastAsia" w:ascii="仿宋" w:hAnsi="仿宋" w:eastAsia="仿宋" w:cs="仿宋"/>
          <w:b/>
          <w:bCs/>
          <w:color w:val="auto"/>
          <w:sz w:val="24"/>
          <w:szCs w:val="24"/>
        </w:rPr>
        <w:t>（一） 技术需求</w:t>
      </w:r>
    </w:p>
    <w:p w14:paraId="12CBBBF8">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1、采购货物清单</w:t>
      </w:r>
    </w:p>
    <w:tbl>
      <w:tblPr>
        <w:tblStyle w:val="2"/>
        <w:tblW w:w="5010"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595"/>
        <w:gridCol w:w="720"/>
        <w:gridCol w:w="7014"/>
      </w:tblGrid>
      <w:tr w14:paraId="76416C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357" w:type="pct"/>
            <w:noWrap w:val="0"/>
            <w:vAlign w:val="center"/>
          </w:tcPr>
          <w:p w14:paraId="4FB2868B">
            <w:pPr>
              <w:bidi w:val="0"/>
              <w:spacing w:line="360" w:lineRule="auto"/>
              <w:jc w:val="center"/>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序号</w:t>
            </w:r>
          </w:p>
        </w:tc>
        <w:tc>
          <w:tcPr>
            <w:tcW w:w="432" w:type="pct"/>
            <w:noWrap w:val="0"/>
            <w:vAlign w:val="center"/>
          </w:tcPr>
          <w:p w14:paraId="101FB55A">
            <w:pPr>
              <w:bidi w:val="0"/>
              <w:spacing w:line="360" w:lineRule="auto"/>
              <w:jc w:val="center"/>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货物名称</w:t>
            </w:r>
          </w:p>
        </w:tc>
        <w:tc>
          <w:tcPr>
            <w:tcW w:w="4209" w:type="pct"/>
            <w:noWrap w:val="0"/>
            <w:vAlign w:val="center"/>
          </w:tcPr>
          <w:p w14:paraId="5972FDFE">
            <w:pPr>
              <w:bidi w:val="0"/>
              <w:spacing w:line="360" w:lineRule="auto"/>
              <w:jc w:val="center"/>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主要参数要求</w:t>
            </w:r>
          </w:p>
        </w:tc>
      </w:tr>
      <w:tr w14:paraId="2BC737E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357" w:type="pct"/>
            <w:noWrap w:val="0"/>
            <w:vAlign w:val="center"/>
          </w:tcPr>
          <w:p w14:paraId="2B387F50">
            <w:pPr>
              <w:bidi w:val="0"/>
              <w:spacing w:line="360" w:lineRule="auto"/>
              <w:jc w:val="center"/>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1</w:t>
            </w:r>
          </w:p>
        </w:tc>
        <w:tc>
          <w:tcPr>
            <w:tcW w:w="432" w:type="pct"/>
            <w:noWrap w:val="0"/>
            <w:vAlign w:val="center"/>
          </w:tcPr>
          <w:p w14:paraId="3FCFC939">
            <w:pPr>
              <w:bidi w:val="0"/>
              <w:spacing w:line="360" w:lineRule="auto"/>
              <w:jc w:val="center"/>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纸质图书</w:t>
            </w:r>
          </w:p>
        </w:tc>
        <w:tc>
          <w:tcPr>
            <w:tcW w:w="4209" w:type="pct"/>
            <w:noWrap w:val="0"/>
            <w:vAlign w:val="top"/>
          </w:tcPr>
          <w:p w14:paraId="70E89DF7">
            <w:pPr>
              <w:bidi w:val="0"/>
              <w:spacing w:line="360" w:lineRule="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一、出版要求</w:t>
            </w:r>
          </w:p>
          <w:p w14:paraId="0D15C820">
            <w:pPr>
              <w:bidi w:val="0"/>
              <w:spacing w:line="360" w:lineRule="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1.必须是正规出版社出版或再版印刷的精品图书，图书内容必须为</w:t>
            </w:r>
            <w:r>
              <w:rPr>
                <w:rFonts w:hint="eastAsia" w:ascii="仿宋" w:hAnsi="仿宋" w:eastAsia="仿宋" w:cs="仿宋"/>
                <w:color w:val="auto"/>
                <w:sz w:val="24"/>
                <w:szCs w:val="24"/>
                <w:lang w:val="en-US" w:eastAsia="zh-CN"/>
              </w:rPr>
              <w:t>小学</w:t>
            </w:r>
            <w:r>
              <w:rPr>
                <w:rFonts w:hint="eastAsia" w:ascii="仿宋" w:hAnsi="仿宋" w:eastAsia="仿宋" w:cs="仿宋"/>
                <w:color w:val="auto"/>
                <w:sz w:val="24"/>
                <w:szCs w:val="24"/>
                <w:lang w:eastAsia="zh-CN"/>
              </w:rPr>
              <w:t>生适读；</w:t>
            </w:r>
          </w:p>
          <w:p w14:paraId="6385D0E1">
            <w:pPr>
              <w:bidi w:val="0"/>
              <w:spacing w:line="360" w:lineRule="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二、图书印刷质量及装订执行标准：</w:t>
            </w:r>
          </w:p>
          <w:p w14:paraId="29FB0508">
            <w:pPr>
              <w:bidi w:val="0"/>
              <w:spacing w:line="360" w:lineRule="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1.封面印刷</w:t>
            </w:r>
          </w:p>
          <w:p w14:paraId="1F1821C6">
            <w:pPr>
              <w:bidi w:val="0"/>
              <w:spacing w:line="360" w:lineRule="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套印准确，字、图、点、线印迹清楚，不花、不毛、不糊，实地版墨色均匀，无回胶印，背面不脏。</w:t>
            </w:r>
          </w:p>
          <w:p w14:paraId="7FE1A080">
            <w:pPr>
              <w:bidi w:val="0"/>
              <w:spacing w:line="360" w:lineRule="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2.插图印刷</w:t>
            </w:r>
          </w:p>
          <w:p w14:paraId="6427C6B5">
            <w:pPr>
              <w:bidi w:val="0"/>
              <w:spacing w:line="360" w:lineRule="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（1）套印准确，层次分明，轮廓实，电分制版无浮雕印；</w:t>
            </w:r>
          </w:p>
          <w:p w14:paraId="304C0464">
            <w:pPr>
              <w:bidi w:val="0"/>
              <w:spacing w:line="360" w:lineRule="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（2）网点清晰饱满，小点不秃，大点光洁不糊，质感好；</w:t>
            </w:r>
          </w:p>
          <w:p w14:paraId="4D10F817">
            <w:pPr>
              <w:bidi w:val="0"/>
              <w:spacing w:line="360" w:lineRule="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（3）墨色均匀厚实，色彩鲜有光泽，肤色正，接版准确，色调深浅一致。</w:t>
            </w:r>
          </w:p>
          <w:p w14:paraId="595FC94D">
            <w:pPr>
              <w:bidi w:val="0"/>
              <w:spacing w:line="360" w:lineRule="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3.正文印刷</w:t>
            </w:r>
          </w:p>
          <w:p w14:paraId="3A03CFA2">
            <w:pPr>
              <w:bidi w:val="0"/>
              <w:spacing w:line="360" w:lineRule="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（1）压力：压力适度，全书前后轻重一致；</w:t>
            </w:r>
          </w:p>
          <w:p w14:paraId="5CE753BD">
            <w:pPr>
              <w:bidi w:val="0"/>
              <w:spacing w:line="360" w:lineRule="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（2）墨色：全书前后墨色一致，浓淡适度；</w:t>
            </w:r>
          </w:p>
          <w:p w14:paraId="260A2C86">
            <w:pPr>
              <w:bidi w:val="0"/>
              <w:spacing w:line="360" w:lineRule="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（3）套印：版面端正，正反套印准确；</w:t>
            </w:r>
          </w:p>
          <w:p w14:paraId="37987C5B">
            <w:pPr>
              <w:bidi w:val="0"/>
              <w:spacing w:line="360" w:lineRule="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（4）文字：文字、标点清晰，笔锋挺秀，无缺笔断划，标题黑实不花，小字不糊不瞎；</w:t>
            </w:r>
          </w:p>
          <w:p w14:paraId="7F56AB27">
            <w:pPr>
              <w:bidi w:val="0"/>
              <w:spacing w:line="360" w:lineRule="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（5）其它：书面无脏污、破损，无钉花、野墨。</w:t>
            </w:r>
          </w:p>
          <w:p w14:paraId="6A96FC6D">
            <w:pPr>
              <w:bidi w:val="0"/>
              <w:spacing w:line="360" w:lineRule="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4.装订</w:t>
            </w:r>
          </w:p>
          <w:p w14:paraId="65C27C67">
            <w:pPr>
              <w:bidi w:val="0"/>
              <w:spacing w:line="360" w:lineRule="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（1）开本尺寸符合设计要求成品裁切方正，无明显刀花，无连接页、折角、破头；</w:t>
            </w:r>
          </w:p>
          <w:p w14:paraId="4C4A3723">
            <w:pPr>
              <w:bidi w:val="0"/>
              <w:spacing w:line="360" w:lineRule="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（2）书背平整，无空背、起泡、明显皱褶，书脊字居中，封面齐色，边框要色正（八字折等）；</w:t>
            </w:r>
          </w:p>
          <w:p w14:paraId="76C0BAD6">
            <w:pPr>
              <w:bidi w:val="0"/>
              <w:spacing w:line="360" w:lineRule="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（3）全书页码折正，书面平整，无皱折（八字折等）；</w:t>
            </w:r>
          </w:p>
          <w:p w14:paraId="1CA9F4AC">
            <w:pPr>
              <w:bidi w:val="0"/>
              <w:spacing w:line="360" w:lineRule="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（4）骑马钉、平钉的钉脚不翘，无断丝、凸肚，钉距匀称，坚实牢固易翻不脱页；</w:t>
            </w:r>
          </w:p>
          <w:p w14:paraId="4DD60EEB">
            <w:pPr>
              <w:bidi w:val="0"/>
              <w:spacing w:line="360" w:lineRule="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（5）其它：书页整洁，无脏污、破页、野胶。</w:t>
            </w:r>
          </w:p>
          <w:p w14:paraId="75D99AF2">
            <w:pPr>
              <w:bidi w:val="0"/>
              <w:spacing w:line="360" w:lineRule="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5.包装要求：图书包装必须符合国家相关标准要求，且须按采购人要求分类、按单套包装并成套供货。每包内附书目清单，包装外面贴好标识（包括学校、包号、册数、码洋等），包装应适应长远距离运输，防潮、防震、防锈和防野蛮装卸，以确保图书安全无损运抵采购人指定地点。</w:t>
            </w:r>
          </w:p>
          <w:p w14:paraId="66B97176">
            <w:pPr>
              <w:bidi w:val="0"/>
              <w:spacing w:line="360" w:lineRule="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6.执行标准</w:t>
            </w:r>
          </w:p>
          <w:p w14:paraId="4964C3DE">
            <w:pPr>
              <w:bidi w:val="0"/>
              <w:spacing w:line="360" w:lineRule="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（1）《中华人民共和国产品质量法》及新闻出版总署公布的《图书质量管理规定》标准。</w:t>
            </w:r>
          </w:p>
          <w:p w14:paraId="23C0FFDB">
            <w:pPr>
              <w:bidi w:val="0"/>
              <w:spacing w:line="360" w:lineRule="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（2）CY/T5-1999平版印刷品质量要求及检验方法。</w:t>
            </w:r>
          </w:p>
          <w:p w14:paraId="677223D1">
            <w:pPr>
              <w:bidi w:val="0"/>
              <w:spacing w:line="360" w:lineRule="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（3）CY/T27-1999装订质量要求及检验方法精装。</w:t>
            </w:r>
          </w:p>
          <w:p w14:paraId="314B8D31">
            <w:pPr>
              <w:bidi w:val="0"/>
              <w:spacing w:line="360" w:lineRule="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（4）CY/T28-1999装订质量要求及检验方法平装。</w:t>
            </w:r>
          </w:p>
          <w:p w14:paraId="648D94E7">
            <w:pPr>
              <w:bidi w:val="0"/>
              <w:spacing w:line="360" w:lineRule="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（5）CY/T29-1999装订质量要求及检验方法。</w:t>
            </w:r>
          </w:p>
          <w:p w14:paraId="39B39496">
            <w:pPr>
              <w:bidi w:val="0"/>
              <w:spacing w:line="360" w:lineRule="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三、其他要求</w:t>
            </w:r>
          </w:p>
          <w:p w14:paraId="10E58535">
            <w:pPr>
              <w:bidi w:val="0"/>
              <w:spacing w:line="360" w:lineRule="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1.响应的所有图书均为正版发行，出版手续齐全，无知识产权、版权纠纷；必须保证所供图书为正版图书，若是盗版书或因版权所引起的纠纷应由供应商负全部责任，并承担由此造成的一切后果及相应的经济和法律责任；投标时必须提交相关承诺书。</w:t>
            </w:r>
          </w:p>
          <w:p w14:paraId="027C1B52">
            <w:pPr>
              <w:bidi w:val="0"/>
              <w:spacing w:line="360" w:lineRule="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2.采购人将随机抽样对供货图书进行ISBN号的检测，一旦发现盗版图书，将立即终止采购合同并追加违约责任和损失赔偿。经验收后，发现图书质量不合格的图书，成交供应商须予以退换。</w:t>
            </w:r>
          </w:p>
        </w:tc>
      </w:tr>
    </w:tbl>
    <w:p w14:paraId="24104267">
      <w:pPr>
        <w:bidi w:val="0"/>
        <w:spacing w:line="360" w:lineRule="auto"/>
        <w:rPr>
          <w:rFonts w:hint="eastAsia" w:ascii="仿宋" w:hAnsi="仿宋" w:eastAsia="仿宋" w:cs="仿宋"/>
          <w:color w:val="auto"/>
          <w:sz w:val="24"/>
          <w:szCs w:val="24"/>
          <w:lang w:val="en-US" w:eastAsia="zh-CN"/>
        </w:rPr>
      </w:pPr>
    </w:p>
    <w:p w14:paraId="53D64353">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2、</w:t>
      </w:r>
      <w:r>
        <w:rPr>
          <w:rFonts w:hint="eastAsia" w:ascii="仿宋" w:hAnsi="仿宋" w:eastAsia="仿宋" w:cs="仿宋"/>
          <w:color w:val="auto"/>
          <w:sz w:val="24"/>
          <w:szCs w:val="24"/>
        </w:rPr>
        <w:t>技术要求</w:t>
      </w:r>
    </w:p>
    <w:p w14:paraId="479AB2C4">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2.</w:t>
      </w:r>
      <w:r>
        <w:rPr>
          <w:rFonts w:hint="eastAsia" w:ascii="仿宋" w:hAnsi="仿宋" w:eastAsia="仿宋" w:cs="仿宋"/>
          <w:color w:val="auto"/>
          <w:sz w:val="24"/>
          <w:szCs w:val="24"/>
        </w:rPr>
        <w:t>1</w:t>
      </w:r>
      <w:r>
        <w:rPr>
          <w:rFonts w:hint="eastAsia" w:ascii="仿宋" w:hAnsi="仿宋" w:eastAsia="仿宋" w:cs="仿宋"/>
          <w:color w:val="auto"/>
          <w:sz w:val="24"/>
          <w:szCs w:val="24"/>
          <w:lang w:val="en-US" w:eastAsia="zh-CN"/>
        </w:rPr>
        <w:t xml:space="preserve"> </w:t>
      </w:r>
      <w:r>
        <w:rPr>
          <w:rFonts w:hint="eastAsia" w:ascii="仿宋" w:hAnsi="仿宋" w:eastAsia="仿宋" w:cs="仿宋"/>
          <w:color w:val="auto"/>
          <w:sz w:val="24"/>
          <w:szCs w:val="24"/>
        </w:rPr>
        <w:t>书目数据要求：</w:t>
      </w:r>
    </w:p>
    <w:p w14:paraId="4871B877">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lang w:eastAsia="zh-CN"/>
        </w:rPr>
      </w:pPr>
      <w:r>
        <w:rPr>
          <w:rFonts w:hint="eastAsia" w:ascii="仿宋" w:hAnsi="仿宋" w:eastAsia="仿宋" w:cs="仿宋"/>
          <w:color w:val="auto"/>
          <w:sz w:val="24"/>
          <w:szCs w:val="24"/>
        </w:rPr>
        <w:t>1）所有配送文献，均须配备标准的CNMARC编目数据（以国家图书馆的CNMARC编目数据为主），分类以《中图法（第五版）》为准，标引能充分反映图书的学科性；编目严格按照《中国文献编目规则》、《中国机读目录格式使用手册》、《文献著录国家标准》等进行著录，著录级别达到详细级和完备级，并保证可在采购人的图书管理系统中无障碍地使用，如发现缺少应及时补发。</w:t>
      </w:r>
    </w:p>
    <w:p w14:paraId="3D2BD1B6">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2）按照采购人要求整理采访数据，并提供标准、规范的采访著录数据。其采访数据基本字段著录要求如下：书名、副书名、类别、ISBN号、定价、出版者、著者（或译者）、责任者1、责任者2、出版日期、内容提要、丛编、读者对象、版本、分类号、主题词。</w:t>
      </w:r>
    </w:p>
    <w:p w14:paraId="2EDFD500">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2.</w:t>
      </w:r>
      <w:r>
        <w:rPr>
          <w:rFonts w:hint="eastAsia" w:ascii="仿宋" w:hAnsi="仿宋" w:eastAsia="仿宋" w:cs="仿宋"/>
          <w:color w:val="auto"/>
          <w:sz w:val="24"/>
          <w:szCs w:val="24"/>
        </w:rPr>
        <w:t>2</w:t>
      </w:r>
      <w:r>
        <w:rPr>
          <w:rFonts w:hint="eastAsia" w:ascii="仿宋" w:hAnsi="仿宋" w:eastAsia="仿宋" w:cs="仿宋"/>
          <w:color w:val="auto"/>
          <w:sz w:val="24"/>
          <w:szCs w:val="24"/>
          <w:lang w:val="en-US" w:eastAsia="zh-CN"/>
        </w:rPr>
        <w:t xml:space="preserve"> </w:t>
      </w:r>
      <w:r>
        <w:rPr>
          <w:rFonts w:hint="eastAsia" w:ascii="仿宋" w:hAnsi="仿宋" w:eastAsia="仿宋" w:cs="仿宋"/>
          <w:color w:val="auto"/>
          <w:sz w:val="24"/>
          <w:szCs w:val="24"/>
        </w:rPr>
        <w:t>书目及加工要求：</w:t>
      </w:r>
    </w:p>
    <w:p w14:paraId="6D6ED34C">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lang w:eastAsia="zh-CN"/>
        </w:rPr>
      </w:pPr>
      <w:r>
        <w:rPr>
          <w:rFonts w:hint="eastAsia" w:ascii="仿宋" w:hAnsi="仿宋" w:eastAsia="仿宋" w:cs="仿宋"/>
          <w:color w:val="auto"/>
          <w:sz w:val="24"/>
          <w:szCs w:val="24"/>
        </w:rPr>
        <w:t>1）供应商须及时向采购人提供符合馆藏要求的中文图书订购信息，当采购人所需图书要求在供应商提供的图书信息之外时，供应商也必须无条件满足采购人的图书采购需求。</w:t>
      </w:r>
    </w:p>
    <w:p w14:paraId="2A88F0C4">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2）供应商须向采购人提供国内正规出版机构出版图书。</w:t>
      </w:r>
    </w:p>
    <w:p w14:paraId="7B013ED3">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3）所有订单由采购人自行组织确定，供应商必须按采购人确定的图书订单及时供货。</w:t>
      </w:r>
    </w:p>
    <w:p w14:paraId="69ECB6DD">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4）采购人为供应商提供近3年的数据（书名、ISBN、出版年字段）。</w:t>
      </w:r>
    </w:p>
    <w:p w14:paraId="68788010">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5）供应商依采购人提出的具体要求，免费配合采购人开展图书的初加工工作。初加工包括粘贴条形码、盖馆藏章、粘贴书标、书标覆膜，RFID电子标签的粘贴和注册等。项目执行期内，如因</w:t>
      </w:r>
      <w:r>
        <w:rPr>
          <w:rFonts w:hint="eastAsia" w:ascii="仿宋" w:hAnsi="仿宋" w:eastAsia="仿宋" w:cs="仿宋"/>
          <w:color w:val="auto"/>
          <w:sz w:val="24"/>
          <w:szCs w:val="24"/>
          <w:lang w:eastAsia="zh-CN"/>
        </w:rPr>
        <w:t>供应商</w:t>
      </w:r>
      <w:r>
        <w:rPr>
          <w:rFonts w:hint="eastAsia" w:ascii="仿宋" w:hAnsi="仿宋" w:eastAsia="仿宋" w:cs="仿宋"/>
          <w:color w:val="auto"/>
          <w:sz w:val="24"/>
          <w:szCs w:val="24"/>
        </w:rPr>
        <w:t>原因导致未能在采购人规定时间内配合采购人完成图书初加工工作或书目著录和馆藏分配等编目工作各累计达5次以上的，采购人可认定该供应商已不具备项目执行条件，采购人有权要求终止项目，由此造成的一切损失由供应商承担。同时，采购人有权采取相应的补救措施，由此给采购人造成的各项损失或增加的各项费用（如数据费、加工费）等均由违约的供应商承担。</w:t>
      </w:r>
    </w:p>
    <w:p w14:paraId="7AFC906A">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lang w:eastAsia="zh-CN"/>
        </w:rPr>
      </w:pPr>
      <w:r>
        <w:rPr>
          <w:rFonts w:hint="eastAsia" w:ascii="仿宋" w:hAnsi="仿宋" w:eastAsia="仿宋" w:cs="仿宋"/>
          <w:color w:val="auto"/>
          <w:sz w:val="24"/>
          <w:szCs w:val="24"/>
          <w:lang w:val="en-US" w:eastAsia="zh-CN"/>
        </w:rPr>
        <w:t>2.</w:t>
      </w:r>
      <w:r>
        <w:rPr>
          <w:rFonts w:hint="eastAsia" w:ascii="仿宋" w:hAnsi="仿宋" w:eastAsia="仿宋" w:cs="仿宋"/>
          <w:color w:val="auto"/>
          <w:sz w:val="24"/>
          <w:szCs w:val="24"/>
        </w:rPr>
        <w:t>3</w:t>
      </w:r>
      <w:r>
        <w:rPr>
          <w:rFonts w:hint="eastAsia" w:ascii="仿宋" w:hAnsi="仿宋" w:eastAsia="仿宋" w:cs="仿宋"/>
          <w:color w:val="auto"/>
          <w:sz w:val="24"/>
          <w:szCs w:val="24"/>
          <w:lang w:val="en-US" w:eastAsia="zh-CN"/>
        </w:rPr>
        <w:t xml:space="preserve"> </w:t>
      </w:r>
      <w:r>
        <w:rPr>
          <w:rFonts w:hint="eastAsia" w:ascii="仿宋" w:hAnsi="仿宋" w:eastAsia="仿宋" w:cs="仿宋"/>
          <w:color w:val="auto"/>
          <w:sz w:val="24"/>
          <w:szCs w:val="24"/>
        </w:rPr>
        <w:t>图书质量及送货要求：</w:t>
      </w:r>
    </w:p>
    <w:p w14:paraId="01FE14AC">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1）响应供应商须提供全新、原装，并符合质量标准的货物。供应商所提供的图书必须保证正版，否则，一经查实，将承担一切后果，另须向采购人支付该图书总码洋的20倍罚金。且采购人有权提前解除购书合同。</w:t>
      </w:r>
    </w:p>
    <w:p w14:paraId="5AC0FDB2">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lang w:eastAsia="zh-CN"/>
        </w:rPr>
      </w:pPr>
      <w:r>
        <w:rPr>
          <w:rFonts w:hint="eastAsia" w:ascii="仿宋" w:hAnsi="仿宋" w:eastAsia="仿宋" w:cs="仿宋"/>
          <w:color w:val="auto"/>
          <w:sz w:val="24"/>
          <w:szCs w:val="24"/>
        </w:rPr>
        <w:t>2）新书进馆应按批提供进书清单（注明种、册、价格及总金额），按采购人要求打包，贴上标签（注明批次、件数、包号等）。同种图书必须同批到馆，并放在同一包内，每包图书的种册数、金额必须与对应的清单相符，每包图书的封装顺序应与图书清单顺序一致，每批图书种册数、总价必须与汇总单相符；</w:t>
      </w:r>
    </w:p>
    <w:p w14:paraId="79ACD0B7">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lang w:eastAsia="zh-CN"/>
        </w:rPr>
      </w:pPr>
      <w:r>
        <w:rPr>
          <w:rFonts w:hint="eastAsia" w:ascii="仿宋" w:hAnsi="仿宋" w:eastAsia="仿宋" w:cs="仿宋"/>
          <w:color w:val="auto"/>
          <w:sz w:val="24"/>
          <w:szCs w:val="24"/>
        </w:rPr>
        <w:t>3）若中文图书订单单价在100元以上，复本订单数量均不超过5册，要求配货之前再次向采购人确认征订需求。配货之前需查找并剔除装帧为活页或散页的图书；</w:t>
      </w:r>
    </w:p>
    <w:p w14:paraId="5FB84A2B">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4）供应商发来的图书不得有缺页和污损等不符合馆藏要求的图书。</w:t>
      </w:r>
    </w:p>
    <w:p w14:paraId="76296DCC">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lang w:eastAsia="zh-CN"/>
        </w:rPr>
      </w:pPr>
      <w:r>
        <w:rPr>
          <w:rFonts w:hint="eastAsia" w:ascii="仿宋" w:hAnsi="仿宋" w:eastAsia="仿宋" w:cs="仿宋"/>
          <w:color w:val="auto"/>
          <w:sz w:val="24"/>
          <w:szCs w:val="24"/>
        </w:rPr>
        <w:t>5）供应商要依照订单发货。随书清单要求注明种、册、价格、订购号及总码洋。应保证到书清单的清晰、明了、有序，便于验收、查对。每包附一清单，每批附一总清单。</w:t>
      </w:r>
    </w:p>
    <w:p w14:paraId="29032F0B">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lang w:eastAsia="zh-CN"/>
        </w:rPr>
      </w:pPr>
      <w:r>
        <w:rPr>
          <w:rFonts w:hint="eastAsia" w:ascii="仿宋" w:hAnsi="仿宋" w:eastAsia="仿宋" w:cs="仿宋"/>
          <w:color w:val="auto"/>
          <w:sz w:val="24"/>
          <w:szCs w:val="24"/>
        </w:rPr>
        <w:t>6）采购人为供应商提供项目实施所需要基本条件（如水、电等）。采购人有权拒绝接受任何不合格的设备和服务，由此产生的费用及相关后果均由供应商自行承担。</w:t>
      </w:r>
    </w:p>
    <w:p w14:paraId="1DBB4FF9">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2.</w:t>
      </w:r>
      <w:r>
        <w:rPr>
          <w:rFonts w:hint="eastAsia" w:ascii="仿宋" w:hAnsi="仿宋" w:eastAsia="仿宋" w:cs="仿宋"/>
          <w:color w:val="auto"/>
          <w:sz w:val="24"/>
          <w:szCs w:val="24"/>
        </w:rPr>
        <w:t>4</w:t>
      </w:r>
      <w:r>
        <w:rPr>
          <w:rFonts w:hint="eastAsia" w:ascii="仿宋" w:hAnsi="仿宋" w:eastAsia="仿宋" w:cs="仿宋"/>
          <w:color w:val="auto"/>
          <w:sz w:val="24"/>
          <w:szCs w:val="24"/>
          <w:lang w:val="en-US" w:eastAsia="zh-CN"/>
        </w:rPr>
        <w:t xml:space="preserve"> </w:t>
      </w:r>
      <w:r>
        <w:rPr>
          <w:rFonts w:hint="eastAsia" w:ascii="仿宋" w:hAnsi="仿宋" w:eastAsia="仿宋" w:cs="仿宋"/>
          <w:color w:val="auto"/>
          <w:sz w:val="24"/>
          <w:szCs w:val="24"/>
        </w:rPr>
        <w:t>图书馆图书配备要求：</w:t>
      </w:r>
    </w:p>
    <w:p w14:paraId="3C53EB33">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(教育部政策标准：教基〔2018〕5号)</w:t>
      </w:r>
    </w:p>
    <w:p w14:paraId="478D6BB1">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仿宋" w:hAnsi="仿宋" w:eastAsia="仿宋" w:cs="仿宋"/>
          <w:b/>
          <w:bCs/>
          <w:color w:val="auto"/>
          <w:sz w:val="24"/>
          <w:szCs w:val="24"/>
        </w:rPr>
      </w:pPr>
      <w:r>
        <w:rPr>
          <w:rFonts w:hint="eastAsia" w:ascii="仿宋" w:hAnsi="仿宋" w:eastAsia="仿宋" w:cs="仿宋"/>
          <w:b/>
          <w:bCs/>
          <w:color w:val="auto"/>
          <w:sz w:val="24"/>
          <w:szCs w:val="24"/>
        </w:rPr>
        <w:t>中小学图书馆（室）藏书分类比例表</w:t>
      </w:r>
    </w:p>
    <w:tbl>
      <w:tblPr>
        <w:tblStyle w:val="2"/>
        <w:tblW w:w="4570" w:type="pct"/>
        <w:jc w:val="center"/>
        <w:tblLayout w:type="autofit"/>
        <w:tblCellMar>
          <w:top w:w="0" w:type="dxa"/>
          <w:left w:w="108" w:type="dxa"/>
          <w:bottom w:w="0" w:type="dxa"/>
          <w:right w:w="108" w:type="dxa"/>
        </w:tblCellMar>
      </w:tblPr>
      <w:tblGrid>
        <w:gridCol w:w="1735"/>
        <w:gridCol w:w="371"/>
        <w:gridCol w:w="3793"/>
        <w:gridCol w:w="913"/>
        <w:gridCol w:w="977"/>
      </w:tblGrid>
      <w:tr w14:paraId="5756F57B">
        <w:tblPrEx>
          <w:tblCellMar>
            <w:top w:w="0" w:type="dxa"/>
            <w:left w:w="108" w:type="dxa"/>
            <w:bottom w:w="0" w:type="dxa"/>
            <w:right w:w="108" w:type="dxa"/>
          </w:tblCellMar>
        </w:tblPrEx>
        <w:trPr>
          <w:trHeight w:val="454" w:hRule="atLeast"/>
          <w:jc w:val="center"/>
        </w:trPr>
        <w:tc>
          <w:tcPr>
            <w:tcW w:w="3786" w:type="pct"/>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83457DF">
            <w:pPr>
              <w:bidi w:val="0"/>
              <w:spacing w:line="240" w:lineRule="auto"/>
              <w:jc w:val="center"/>
              <w:rPr>
                <w:rFonts w:hint="eastAsia" w:ascii="仿宋" w:hAnsi="仿宋" w:eastAsia="仿宋" w:cs="仿宋"/>
                <w:color w:val="auto"/>
                <w:sz w:val="24"/>
                <w:szCs w:val="24"/>
              </w:rPr>
            </w:pPr>
            <w:r>
              <w:rPr>
                <w:rFonts w:hint="eastAsia" w:ascii="仿宋" w:hAnsi="仿宋" w:eastAsia="仿宋" w:cs="仿宋"/>
                <w:color w:val="auto"/>
                <w:sz w:val="24"/>
                <w:szCs w:val="24"/>
              </w:rPr>
              <w:t>部类</w:t>
            </w:r>
          </w:p>
        </w:tc>
        <w:tc>
          <w:tcPr>
            <w:tcW w:w="1213" w:type="pct"/>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197923F">
            <w:pPr>
              <w:bidi w:val="0"/>
              <w:spacing w:line="240" w:lineRule="auto"/>
              <w:jc w:val="center"/>
              <w:rPr>
                <w:rFonts w:hint="eastAsia" w:ascii="仿宋" w:hAnsi="仿宋" w:eastAsia="仿宋" w:cs="仿宋"/>
                <w:color w:val="auto"/>
                <w:sz w:val="24"/>
                <w:szCs w:val="24"/>
              </w:rPr>
            </w:pPr>
            <w:r>
              <w:rPr>
                <w:rFonts w:hint="eastAsia" w:ascii="仿宋" w:hAnsi="仿宋" w:eastAsia="仿宋" w:cs="仿宋"/>
                <w:color w:val="auto"/>
                <w:sz w:val="24"/>
                <w:szCs w:val="24"/>
              </w:rPr>
              <w:t>分类比例</w:t>
            </w:r>
          </w:p>
        </w:tc>
      </w:tr>
      <w:tr w14:paraId="19D153D1">
        <w:tblPrEx>
          <w:tblCellMar>
            <w:top w:w="0" w:type="dxa"/>
            <w:left w:w="108" w:type="dxa"/>
            <w:bottom w:w="0" w:type="dxa"/>
            <w:right w:w="108" w:type="dxa"/>
          </w:tblCellMar>
        </w:tblPrEx>
        <w:trPr>
          <w:trHeight w:val="454" w:hRule="atLeast"/>
          <w:jc w:val="center"/>
        </w:trPr>
        <w:tc>
          <w:tcPr>
            <w:tcW w:w="1114"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881CCDB">
            <w:pPr>
              <w:bidi w:val="0"/>
              <w:spacing w:line="240" w:lineRule="auto"/>
              <w:jc w:val="center"/>
              <w:rPr>
                <w:rFonts w:hint="eastAsia" w:ascii="仿宋" w:hAnsi="仿宋" w:eastAsia="仿宋" w:cs="仿宋"/>
                <w:color w:val="auto"/>
                <w:sz w:val="24"/>
                <w:szCs w:val="24"/>
              </w:rPr>
            </w:pPr>
            <w:r>
              <w:rPr>
                <w:rFonts w:hint="eastAsia" w:ascii="仿宋" w:hAnsi="仿宋" w:eastAsia="仿宋" w:cs="仿宋"/>
                <w:color w:val="auto"/>
                <w:sz w:val="24"/>
                <w:szCs w:val="24"/>
              </w:rPr>
              <w:t>五大部类</w:t>
            </w:r>
          </w:p>
        </w:tc>
        <w:tc>
          <w:tcPr>
            <w:tcW w:w="2672" w:type="pct"/>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2933054">
            <w:pPr>
              <w:bidi w:val="0"/>
              <w:spacing w:line="240" w:lineRule="auto"/>
              <w:jc w:val="both"/>
              <w:rPr>
                <w:rFonts w:hint="eastAsia" w:ascii="仿宋" w:hAnsi="仿宋" w:eastAsia="仿宋" w:cs="仿宋"/>
                <w:color w:val="auto"/>
                <w:sz w:val="24"/>
                <w:szCs w:val="24"/>
              </w:rPr>
            </w:pPr>
            <w:r>
              <w:rPr>
                <w:rFonts w:hint="eastAsia" w:ascii="仿宋" w:hAnsi="仿宋" w:eastAsia="仿宋" w:cs="仿宋"/>
                <w:color w:val="auto"/>
                <w:sz w:val="24"/>
                <w:szCs w:val="24"/>
              </w:rPr>
              <w:t>22个基本部类</w:t>
            </w:r>
          </w:p>
        </w:tc>
        <w:tc>
          <w:tcPr>
            <w:tcW w:w="586"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0F34C72">
            <w:pPr>
              <w:bidi w:val="0"/>
              <w:spacing w:line="240" w:lineRule="auto"/>
              <w:jc w:val="center"/>
              <w:rPr>
                <w:rFonts w:hint="eastAsia" w:ascii="仿宋" w:hAnsi="仿宋" w:eastAsia="仿宋" w:cs="仿宋"/>
                <w:color w:val="auto"/>
                <w:sz w:val="24"/>
                <w:szCs w:val="24"/>
              </w:rPr>
            </w:pPr>
            <w:r>
              <w:rPr>
                <w:rFonts w:hint="eastAsia" w:ascii="仿宋" w:hAnsi="仿宋" w:eastAsia="仿宋" w:cs="仿宋"/>
                <w:color w:val="auto"/>
                <w:sz w:val="24"/>
                <w:szCs w:val="24"/>
              </w:rPr>
              <w:t>小学</w:t>
            </w:r>
          </w:p>
        </w:tc>
        <w:tc>
          <w:tcPr>
            <w:tcW w:w="626"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1514666">
            <w:pPr>
              <w:bidi w:val="0"/>
              <w:spacing w:line="240" w:lineRule="auto"/>
              <w:jc w:val="center"/>
              <w:rPr>
                <w:rFonts w:hint="eastAsia" w:ascii="仿宋" w:hAnsi="仿宋" w:eastAsia="仿宋" w:cs="仿宋"/>
                <w:color w:val="auto"/>
                <w:sz w:val="24"/>
                <w:szCs w:val="24"/>
              </w:rPr>
            </w:pPr>
            <w:r>
              <w:rPr>
                <w:rFonts w:hint="eastAsia" w:ascii="仿宋" w:hAnsi="仿宋" w:eastAsia="仿宋" w:cs="仿宋"/>
                <w:color w:val="auto"/>
                <w:sz w:val="24"/>
                <w:szCs w:val="24"/>
              </w:rPr>
              <w:t>中学</w:t>
            </w:r>
          </w:p>
        </w:tc>
      </w:tr>
      <w:tr w14:paraId="37EEA166">
        <w:tblPrEx>
          <w:tblCellMar>
            <w:top w:w="0" w:type="dxa"/>
            <w:left w:w="108" w:type="dxa"/>
            <w:bottom w:w="0" w:type="dxa"/>
            <w:right w:w="108" w:type="dxa"/>
          </w:tblCellMar>
        </w:tblPrEx>
        <w:trPr>
          <w:trHeight w:val="454" w:hRule="atLeast"/>
          <w:jc w:val="center"/>
        </w:trPr>
        <w:tc>
          <w:tcPr>
            <w:tcW w:w="1114"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7BFAFFB">
            <w:pPr>
              <w:bidi w:val="0"/>
              <w:spacing w:line="240" w:lineRule="auto"/>
              <w:jc w:val="center"/>
              <w:rPr>
                <w:rFonts w:hint="eastAsia" w:ascii="仿宋" w:hAnsi="仿宋" w:eastAsia="仿宋" w:cs="仿宋"/>
                <w:color w:val="auto"/>
                <w:sz w:val="24"/>
                <w:szCs w:val="24"/>
              </w:rPr>
            </w:pPr>
            <w:r>
              <w:rPr>
                <w:rFonts w:hint="eastAsia" w:ascii="仿宋" w:hAnsi="仿宋" w:eastAsia="仿宋" w:cs="仿宋"/>
                <w:color w:val="auto"/>
                <w:sz w:val="24"/>
                <w:szCs w:val="24"/>
              </w:rPr>
              <w:t>第一大类</w:t>
            </w:r>
          </w:p>
        </w:tc>
        <w:tc>
          <w:tcPr>
            <w:tcW w:w="2672" w:type="pct"/>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E10F977">
            <w:pPr>
              <w:bidi w:val="0"/>
              <w:spacing w:line="240" w:lineRule="auto"/>
              <w:jc w:val="both"/>
              <w:rPr>
                <w:rFonts w:hint="eastAsia" w:ascii="仿宋" w:hAnsi="仿宋" w:eastAsia="仿宋" w:cs="仿宋"/>
                <w:color w:val="auto"/>
                <w:sz w:val="24"/>
                <w:szCs w:val="24"/>
              </w:rPr>
            </w:pPr>
            <w:r>
              <w:rPr>
                <w:rFonts w:hint="eastAsia" w:ascii="仿宋" w:hAnsi="仿宋" w:eastAsia="仿宋" w:cs="仿宋"/>
                <w:color w:val="auto"/>
                <w:sz w:val="24"/>
                <w:szCs w:val="24"/>
              </w:rPr>
              <w:t>A马克思主义、列宁主义、毛泽东思想、邓小平理论</w:t>
            </w:r>
          </w:p>
        </w:tc>
        <w:tc>
          <w:tcPr>
            <w:tcW w:w="586"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DA3CED8">
            <w:pPr>
              <w:bidi w:val="0"/>
              <w:spacing w:line="240" w:lineRule="auto"/>
              <w:jc w:val="center"/>
              <w:rPr>
                <w:rFonts w:hint="eastAsia" w:ascii="仿宋" w:hAnsi="仿宋" w:eastAsia="仿宋" w:cs="仿宋"/>
                <w:color w:val="auto"/>
                <w:sz w:val="24"/>
                <w:szCs w:val="24"/>
              </w:rPr>
            </w:pPr>
            <w:r>
              <w:rPr>
                <w:rFonts w:hint="eastAsia" w:ascii="仿宋" w:hAnsi="仿宋" w:eastAsia="仿宋" w:cs="仿宋"/>
                <w:color w:val="auto"/>
                <w:sz w:val="24"/>
                <w:szCs w:val="24"/>
              </w:rPr>
              <w:t>1.50%</w:t>
            </w:r>
          </w:p>
        </w:tc>
        <w:tc>
          <w:tcPr>
            <w:tcW w:w="626"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3A8DA61">
            <w:pPr>
              <w:bidi w:val="0"/>
              <w:spacing w:line="240" w:lineRule="auto"/>
              <w:jc w:val="center"/>
              <w:rPr>
                <w:rFonts w:hint="eastAsia" w:ascii="仿宋" w:hAnsi="仿宋" w:eastAsia="仿宋" w:cs="仿宋"/>
                <w:color w:val="auto"/>
                <w:sz w:val="24"/>
                <w:szCs w:val="24"/>
              </w:rPr>
            </w:pPr>
            <w:r>
              <w:rPr>
                <w:rFonts w:hint="eastAsia" w:ascii="仿宋" w:hAnsi="仿宋" w:eastAsia="仿宋" w:cs="仿宋"/>
                <w:color w:val="auto"/>
                <w:sz w:val="24"/>
                <w:szCs w:val="24"/>
              </w:rPr>
              <w:t>2%</w:t>
            </w:r>
          </w:p>
        </w:tc>
      </w:tr>
      <w:tr w14:paraId="36440BDF">
        <w:tblPrEx>
          <w:tblCellMar>
            <w:top w:w="0" w:type="dxa"/>
            <w:left w:w="108" w:type="dxa"/>
            <w:bottom w:w="0" w:type="dxa"/>
            <w:right w:w="108" w:type="dxa"/>
          </w:tblCellMar>
        </w:tblPrEx>
        <w:trPr>
          <w:trHeight w:val="454" w:hRule="atLeast"/>
          <w:jc w:val="center"/>
        </w:trPr>
        <w:tc>
          <w:tcPr>
            <w:tcW w:w="1114"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C8EABD4">
            <w:pPr>
              <w:bidi w:val="0"/>
              <w:spacing w:line="240" w:lineRule="auto"/>
              <w:jc w:val="center"/>
              <w:rPr>
                <w:rFonts w:hint="eastAsia" w:ascii="仿宋" w:hAnsi="仿宋" w:eastAsia="仿宋" w:cs="仿宋"/>
                <w:color w:val="auto"/>
                <w:sz w:val="24"/>
                <w:szCs w:val="24"/>
              </w:rPr>
            </w:pPr>
            <w:r>
              <w:rPr>
                <w:rFonts w:hint="eastAsia" w:ascii="仿宋" w:hAnsi="仿宋" w:eastAsia="仿宋" w:cs="仿宋"/>
                <w:color w:val="auto"/>
                <w:sz w:val="24"/>
                <w:szCs w:val="24"/>
              </w:rPr>
              <w:t>第二大类</w:t>
            </w:r>
          </w:p>
        </w:tc>
        <w:tc>
          <w:tcPr>
            <w:tcW w:w="2672" w:type="pct"/>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1FE4166">
            <w:pPr>
              <w:bidi w:val="0"/>
              <w:spacing w:line="240" w:lineRule="auto"/>
              <w:jc w:val="both"/>
              <w:rPr>
                <w:rFonts w:hint="eastAsia" w:ascii="仿宋" w:hAnsi="仿宋" w:eastAsia="仿宋" w:cs="仿宋"/>
                <w:color w:val="auto"/>
                <w:sz w:val="24"/>
                <w:szCs w:val="24"/>
              </w:rPr>
            </w:pPr>
            <w:r>
              <w:rPr>
                <w:rFonts w:hint="eastAsia" w:ascii="仿宋" w:hAnsi="仿宋" w:eastAsia="仿宋" w:cs="仿宋"/>
                <w:color w:val="auto"/>
                <w:sz w:val="24"/>
                <w:szCs w:val="24"/>
              </w:rPr>
              <w:t>B哲学、宗教</w:t>
            </w:r>
          </w:p>
        </w:tc>
        <w:tc>
          <w:tcPr>
            <w:tcW w:w="586"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2E3B083">
            <w:pPr>
              <w:bidi w:val="0"/>
              <w:spacing w:line="240" w:lineRule="auto"/>
              <w:jc w:val="center"/>
              <w:rPr>
                <w:rFonts w:hint="eastAsia" w:ascii="仿宋" w:hAnsi="仿宋" w:eastAsia="仿宋" w:cs="仿宋"/>
                <w:color w:val="auto"/>
                <w:sz w:val="24"/>
                <w:szCs w:val="24"/>
              </w:rPr>
            </w:pPr>
            <w:r>
              <w:rPr>
                <w:rFonts w:hint="eastAsia" w:ascii="仿宋" w:hAnsi="仿宋" w:eastAsia="仿宋" w:cs="仿宋"/>
                <w:color w:val="auto"/>
                <w:sz w:val="24"/>
                <w:szCs w:val="24"/>
              </w:rPr>
              <w:t>1.50%</w:t>
            </w:r>
          </w:p>
        </w:tc>
        <w:tc>
          <w:tcPr>
            <w:tcW w:w="626"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7DF63D0">
            <w:pPr>
              <w:bidi w:val="0"/>
              <w:spacing w:line="240" w:lineRule="auto"/>
              <w:jc w:val="center"/>
              <w:rPr>
                <w:rFonts w:hint="eastAsia" w:ascii="仿宋" w:hAnsi="仿宋" w:eastAsia="仿宋" w:cs="仿宋"/>
                <w:color w:val="auto"/>
                <w:sz w:val="24"/>
                <w:szCs w:val="24"/>
              </w:rPr>
            </w:pPr>
            <w:r>
              <w:rPr>
                <w:rFonts w:hint="eastAsia" w:ascii="仿宋" w:hAnsi="仿宋" w:eastAsia="仿宋" w:cs="仿宋"/>
                <w:color w:val="auto"/>
                <w:sz w:val="24"/>
                <w:szCs w:val="24"/>
              </w:rPr>
              <w:t>2%</w:t>
            </w:r>
          </w:p>
        </w:tc>
      </w:tr>
      <w:tr w14:paraId="5F260CA7">
        <w:tblPrEx>
          <w:tblCellMar>
            <w:top w:w="0" w:type="dxa"/>
            <w:left w:w="108" w:type="dxa"/>
            <w:bottom w:w="0" w:type="dxa"/>
            <w:right w:w="108" w:type="dxa"/>
          </w:tblCellMar>
        </w:tblPrEx>
        <w:trPr>
          <w:trHeight w:val="454" w:hRule="atLeast"/>
          <w:jc w:val="center"/>
        </w:trPr>
        <w:tc>
          <w:tcPr>
            <w:tcW w:w="1114" w:type="pct"/>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14EB7F4">
            <w:pPr>
              <w:bidi w:val="0"/>
              <w:spacing w:line="240" w:lineRule="auto"/>
              <w:jc w:val="center"/>
              <w:rPr>
                <w:rFonts w:hint="eastAsia" w:ascii="仿宋" w:hAnsi="仿宋" w:eastAsia="仿宋" w:cs="仿宋"/>
                <w:color w:val="auto"/>
                <w:sz w:val="24"/>
                <w:szCs w:val="24"/>
              </w:rPr>
            </w:pPr>
            <w:r>
              <w:rPr>
                <w:rFonts w:hint="eastAsia" w:ascii="仿宋" w:hAnsi="仿宋" w:eastAsia="仿宋" w:cs="仿宋"/>
                <w:color w:val="auto"/>
                <w:sz w:val="24"/>
                <w:szCs w:val="24"/>
              </w:rPr>
              <w:t>第三大类</w:t>
            </w:r>
          </w:p>
        </w:tc>
        <w:tc>
          <w:tcPr>
            <w:tcW w:w="2672" w:type="pct"/>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3D3CFB0">
            <w:pPr>
              <w:bidi w:val="0"/>
              <w:spacing w:line="240" w:lineRule="auto"/>
              <w:jc w:val="both"/>
              <w:rPr>
                <w:rFonts w:hint="eastAsia" w:ascii="仿宋" w:hAnsi="仿宋" w:eastAsia="仿宋" w:cs="仿宋"/>
                <w:color w:val="auto"/>
                <w:sz w:val="24"/>
                <w:szCs w:val="24"/>
              </w:rPr>
            </w:pPr>
            <w:r>
              <w:rPr>
                <w:rFonts w:hint="eastAsia" w:ascii="仿宋" w:hAnsi="仿宋" w:eastAsia="仿宋" w:cs="仿宋"/>
                <w:color w:val="auto"/>
                <w:sz w:val="24"/>
                <w:szCs w:val="24"/>
              </w:rPr>
              <w:t>C社会科学总论</w:t>
            </w:r>
          </w:p>
        </w:tc>
        <w:tc>
          <w:tcPr>
            <w:tcW w:w="586" w:type="pct"/>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57667BA">
            <w:pPr>
              <w:bidi w:val="0"/>
              <w:spacing w:line="240" w:lineRule="auto"/>
              <w:jc w:val="center"/>
              <w:rPr>
                <w:rFonts w:hint="eastAsia" w:ascii="仿宋" w:hAnsi="仿宋" w:eastAsia="仿宋" w:cs="仿宋"/>
                <w:color w:val="auto"/>
                <w:sz w:val="24"/>
                <w:szCs w:val="24"/>
              </w:rPr>
            </w:pPr>
            <w:r>
              <w:rPr>
                <w:rFonts w:hint="eastAsia" w:ascii="仿宋" w:hAnsi="仿宋" w:eastAsia="仿宋" w:cs="仿宋"/>
                <w:color w:val="auto"/>
                <w:sz w:val="24"/>
                <w:szCs w:val="24"/>
              </w:rPr>
              <w:t>64%</w:t>
            </w:r>
          </w:p>
        </w:tc>
        <w:tc>
          <w:tcPr>
            <w:tcW w:w="626" w:type="pct"/>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0BAEAA9">
            <w:pPr>
              <w:bidi w:val="0"/>
              <w:spacing w:line="240" w:lineRule="auto"/>
              <w:jc w:val="center"/>
              <w:rPr>
                <w:rFonts w:hint="eastAsia" w:ascii="仿宋" w:hAnsi="仿宋" w:eastAsia="仿宋" w:cs="仿宋"/>
                <w:color w:val="auto"/>
                <w:sz w:val="24"/>
                <w:szCs w:val="24"/>
              </w:rPr>
            </w:pPr>
            <w:r>
              <w:rPr>
                <w:rFonts w:hint="eastAsia" w:ascii="仿宋" w:hAnsi="仿宋" w:eastAsia="仿宋" w:cs="仿宋"/>
                <w:color w:val="auto"/>
                <w:sz w:val="24"/>
                <w:szCs w:val="24"/>
              </w:rPr>
              <w:t>54%</w:t>
            </w:r>
          </w:p>
        </w:tc>
      </w:tr>
      <w:tr w14:paraId="7FDD0029">
        <w:tblPrEx>
          <w:tblCellMar>
            <w:top w:w="0" w:type="dxa"/>
            <w:left w:w="108" w:type="dxa"/>
            <w:bottom w:w="0" w:type="dxa"/>
            <w:right w:w="108" w:type="dxa"/>
          </w:tblCellMar>
        </w:tblPrEx>
        <w:trPr>
          <w:trHeight w:val="454" w:hRule="atLeast"/>
          <w:jc w:val="center"/>
        </w:trPr>
        <w:tc>
          <w:tcPr>
            <w:tcW w:w="1114"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7EBC82B">
            <w:pPr>
              <w:bidi w:val="0"/>
              <w:spacing w:line="240" w:lineRule="auto"/>
              <w:jc w:val="center"/>
              <w:rPr>
                <w:rFonts w:hint="eastAsia" w:ascii="仿宋" w:hAnsi="仿宋" w:eastAsia="仿宋" w:cs="仿宋"/>
                <w:color w:val="auto"/>
                <w:sz w:val="24"/>
                <w:szCs w:val="24"/>
              </w:rPr>
            </w:pPr>
          </w:p>
        </w:tc>
        <w:tc>
          <w:tcPr>
            <w:tcW w:w="2672" w:type="pct"/>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2829514">
            <w:pPr>
              <w:bidi w:val="0"/>
              <w:spacing w:line="240" w:lineRule="auto"/>
              <w:jc w:val="both"/>
              <w:rPr>
                <w:rFonts w:hint="eastAsia" w:ascii="仿宋" w:hAnsi="仿宋" w:eastAsia="仿宋" w:cs="仿宋"/>
                <w:color w:val="auto"/>
                <w:sz w:val="24"/>
                <w:szCs w:val="24"/>
              </w:rPr>
            </w:pPr>
            <w:r>
              <w:rPr>
                <w:rFonts w:hint="eastAsia" w:ascii="仿宋" w:hAnsi="仿宋" w:eastAsia="仿宋" w:cs="仿宋"/>
                <w:color w:val="auto"/>
                <w:sz w:val="24"/>
                <w:szCs w:val="24"/>
              </w:rPr>
              <w:t>D政治法律</w:t>
            </w:r>
          </w:p>
        </w:tc>
        <w:tc>
          <w:tcPr>
            <w:tcW w:w="586"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D71F4B3">
            <w:pPr>
              <w:bidi w:val="0"/>
              <w:spacing w:line="240" w:lineRule="auto"/>
              <w:jc w:val="center"/>
              <w:rPr>
                <w:rFonts w:hint="eastAsia" w:ascii="仿宋" w:hAnsi="仿宋" w:eastAsia="仿宋" w:cs="仿宋"/>
                <w:color w:val="auto"/>
                <w:sz w:val="24"/>
                <w:szCs w:val="24"/>
              </w:rPr>
            </w:pPr>
          </w:p>
        </w:tc>
        <w:tc>
          <w:tcPr>
            <w:tcW w:w="626"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30285DB">
            <w:pPr>
              <w:bidi w:val="0"/>
              <w:spacing w:line="240" w:lineRule="auto"/>
              <w:jc w:val="center"/>
              <w:rPr>
                <w:rFonts w:hint="eastAsia" w:ascii="仿宋" w:hAnsi="仿宋" w:eastAsia="仿宋" w:cs="仿宋"/>
                <w:color w:val="auto"/>
                <w:sz w:val="24"/>
                <w:szCs w:val="24"/>
              </w:rPr>
            </w:pPr>
          </w:p>
        </w:tc>
      </w:tr>
      <w:tr w14:paraId="0DD53A84">
        <w:tblPrEx>
          <w:tblCellMar>
            <w:top w:w="0" w:type="dxa"/>
            <w:left w:w="108" w:type="dxa"/>
            <w:bottom w:w="0" w:type="dxa"/>
            <w:right w:w="108" w:type="dxa"/>
          </w:tblCellMar>
        </w:tblPrEx>
        <w:trPr>
          <w:trHeight w:val="454" w:hRule="atLeast"/>
          <w:jc w:val="center"/>
        </w:trPr>
        <w:tc>
          <w:tcPr>
            <w:tcW w:w="1114"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5FF8856">
            <w:pPr>
              <w:bidi w:val="0"/>
              <w:spacing w:line="240" w:lineRule="auto"/>
              <w:jc w:val="center"/>
              <w:rPr>
                <w:rFonts w:hint="eastAsia" w:ascii="仿宋" w:hAnsi="仿宋" w:eastAsia="仿宋" w:cs="仿宋"/>
                <w:color w:val="auto"/>
                <w:sz w:val="24"/>
                <w:szCs w:val="24"/>
              </w:rPr>
            </w:pPr>
          </w:p>
        </w:tc>
        <w:tc>
          <w:tcPr>
            <w:tcW w:w="2672" w:type="pct"/>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EC7B065">
            <w:pPr>
              <w:bidi w:val="0"/>
              <w:spacing w:line="240" w:lineRule="auto"/>
              <w:jc w:val="both"/>
              <w:rPr>
                <w:rFonts w:hint="eastAsia" w:ascii="仿宋" w:hAnsi="仿宋" w:eastAsia="仿宋" w:cs="仿宋"/>
                <w:color w:val="auto"/>
                <w:sz w:val="24"/>
                <w:szCs w:val="24"/>
              </w:rPr>
            </w:pPr>
            <w:r>
              <w:rPr>
                <w:rFonts w:hint="eastAsia" w:ascii="仿宋" w:hAnsi="仿宋" w:eastAsia="仿宋" w:cs="仿宋"/>
                <w:color w:val="auto"/>
                <w:sz w:val="24"/>
                <w:szCs w:val="24"/>
              </w:rPr>
              <w:t>E军事</w:t>
            </w:r>
          </w:p>
        </w:tc>
        <w:tc>
          <w:tcPr>
            <w:tcW w:w="586"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AFC95F2">
            <w:pPr>
              <w:bidi w:val="0"/>
              <w:spacing w:line="240" w:lineRule="auto"/>
              <w:jc w:val="center"/>
              <w:rPr>
                <w:rFonts w:hint="eastAsia" w:ascii="仿宋" w:hAnsi="仿宋" w:eastAsia="仿宋" w:cs="仿宋"/>
                <w:color w:val="auto"/>
                <w:sz w:val="24"/>
                <w:szCs w:val="24"/>
              </w:rPr>
            </w:pPr>
          </w:p>
        </w:tc>
        <w:tc>
          <w:tcPr>
            <w:tcW w:w="626"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422A2F3">
            <w:pPr>
              <w:bidi w:val="0"/>
              <w:spacing w:line="240" w:lineRule="auto"/>
              <w:jc w:val="center"/>
              <w:rPr>
                <w:rFonts w:hint="eastAsia" w:ascii="仿宋" w:hAnsi="仿宋" w:eastAsia="仿宋" w:cs="仿宋"/>
                <w:color w:val="auto"/>
                <w:sz w:val="24"/>
                <w:szCs w:val="24"/>
              </w:rPr>
            </w:pPr>
          </w:p>
        </w:tc>
      </w:tr>
      <w:tr w14:paraId="082BEAC0">
        <w:tblPrEx>
          <w:tblCellMar>
            <w:top w:w="0" w:type="dxa"/>
            <w:left w:w="108" w:type="dxa"/>
            <w:bottom w:w="0" w:type="dxa"/>
            <w:right w:w="108" w:type="dxa"/>
          </w:tblCellMar>
        </w:tblPrEx>
        <w:trPr>
          <w:trHeight w:val="454" w:hRule="atLeast"/>
          <w:jc w:val="center"/>
        </w:trPr>
        <w:tc>
          <w:tcPr>
            <w:tcW w:w="1114"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24C378E">
            <w:pPr>
              <w:bidi w:val="0"/>
              <w:spacing w:line="240" w:lineRule="auto"/>
              <w:jc w:val="center"/>
              <w:rPr>
                <w:rFonts w:hint="eastAsia" w:ascii="仿宋" w:hAnsi="仿宋" w:eastAsia="仿宋" w:cs="仿宋"/>
                <w:color w:val="auto"/>
                <w:sz w:val="24"/>
                <w:szCs w:val="24"/>
              </w:rPr>
            </w:pPr>
          </w:p>
        </w:tc>
        <w:tc>
          <w:tcPr>
            <w:tcW w:w="2672" w:type="pct"/>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1F05967">
            <w:pPr>
              <w:bidi w:val="0"/>
              <w:spacing w:line="240" w:lineRule="auto"/>
              <w:jc w:val="both"/>
              <w:rPr>
                <w:rFonts w:hint="eastAsia" w:ascii="仿宋" w:hAnsi="仿宋" w:eastAsia="仿宋" w:cs="仿宋"/>
                <w:color w:val="auto"/>
                <w:sz w:val="24"/>
                <w:szCs w:val="24"/>
              </w:rPr>
            </w:pPr>
            <w:r>
              <w:rPr>
                <w:rFonts w:hint="eastAsia" w:ascii="仿宋" w:hAnsi="仿宋" w:eastAsia="仿宋" w:cs="仿宋"/>
                <w:color w:val="auto"/>
                <w:sz w:val="24"/>
                <w:szCs w:val="24"/>
              </w:rPr>
              <w:t>F经济</w:t>
            </w:r>
          </w:p>
        </w:tc>
        <w:tc>
          <w:tcPr>
            <w:tcW w:w="586"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CB6AF77">
            <w:pPr>
              <w:bidi w:val="0"/>
              <w:spacing w:line="240" w:lineRule="auto"/>
              <w:jc w:val="center"/>
              <w:rPr>
                <w:rFonts w:hint="eastAsia" w:ascii="仿宋" w:hAnsi="仿宋" w:eastAsia="仿宋" w:cs="仿宋"/>
                <w:color w:val="auto"/>
                <w:sz w:val="24"/>
                <w:szCs w:val="24"/>
              </w:rPr>
            </w:pPr>
          </w:p>
        </w:tc>
        <w:tc>
          <w:tcPr>
            <w:tcW w:w="626"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FB155EB">
            <w:pPr>
              <w:bidi w:val="0"/>
              <w:spacing w:line="240" w:lineRule="auto"/>
              <w:jc w:val="center"/>
              <w:rPr>
                <w:rFonts w:hint="eastAsia" w:ascii="仿宋" w:hAnsi="仿宋" w:eastAsia="仿宋" w:cs="仿宋"/>
                <w:color w:val="auto"/>
                <w:sz w:val="24"/>
                <w:szCs w:val="24"/>
              </w:rPr>
            </w:pPr>
          </w:p>
        </w:tc>
      </w:tr>
      <w:tr w14:paraId="423815F0">
        <w:tblPrEx>
          <w:tblCellMar>
            <w:top w:w="0" w:type="dxa"/>
            <w:left w:w="108" w:type="dxa"/>
            <w:bottom w:w="0" w:type="dxa"/>
            <w:right w:w="108" w:type="dxa"/>
          </w:tblCellMar>
        </w:tblPrEx>
        <w:trPr>
          <w:trHeight w:val="454" w:hRule="atLeast"/>
          <w:jc w:val="center"/>
        </w:trPr>
        <w:tc>
          <w:tcPr>
            <w:tcW w:w="1114"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265E796">
            <w:pPr>
              <w:bidi w:val="0"/>
              <w:spacing w:line="240" w:lineRule="auto"/>
              <w:jc w:val="center"/>
              <w:rPr>
                <w:rFonts w:hint="eastAsia" w:ascii="仿宋" w:hAnsi="仿宋" w:eastAsia="仿宋" w:cs="仿宋"/>
                <w:color w:val="auto"/>
                <w:sz w:val="24"/>
                <w:szCs w:val="24"/>
              </w:rPr>
            </w:pPr>
          </w:p>
        </w:tc>
        <w:tc>
          <w:tcPr>
            <w:tcW w:w="238" w:type="pct"/>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ECF5416">
            <w:pPr>
              <w:bidi w:val="0"/>
              <w:spacing w:line="240" w:lineRule="auto"/>
              <w:jc w:val="both"/>
              <w:rPr>
                <w:rFonts w:hint="eastAsia" w:ascii="仿宋" w:hAnsi="仿宋" w:eastAsia="仿宋" w:cs="仿宋"/>
                <w:color w:val="auto"/>
                <w:sz w:val="24"/>
                <w:szCs w:val="24"/>
              </w:rPr>
            </w:pPr>
            <w:r>
              <w:rPr>
                <w:rFonts w:hint="eastAsia" w:ascii="仿宋" w:hAnsi="仿宋" w:eastAsia="仿宋" w:cs="仿宋"/>
                <w:color w:val="auto"/>
                <w:sz w:val="24"/>
                <w:szCs w:val="24"/>
              </w:rPr>
              <w:t>G</w:t>
            </w:r>
          </w:p>
        </w:tc>
        <w:tc>
          <w:tcPr>
            <w:tcW w:w="2434"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EAB1766">
            <w:pPr>
              <w:bidi w:val="0"/>
              <w:spacing w:line="240" w:lineRule="auto"/>
              <w:jc w:val="both"/>
              <w:rPr>
                <w:rFonts w:hint="eastAsia" w:ascii="仿宋" w:hAnsi="仿宋" w:eastAsia="仿宋" w:cs="仿宋"/>
                <w:color w:val="auto"/>
                <w:sz w:val="24"/>
                <w:szCs w:val="24"/>
              </w:rPr>
            </w:pPr>
            <w:r>
              <w:rPr>
                <w:rFonts w:hint="eastAsia" w:ascii="仿宋" w:hAnsi="仿宋" w:eastAsia="仿宋" w:cs="仿宋"/>
                <w:color w:val="auto"/>
                <w:sz w:val="24"/>
                <w:szCs w:val="24"/>
              </w:rPr>
              <w:t>文化、科学</w:t>
            </w:r>
          </w:p>
        </w:tc>
        <w:tc>
          <w:tcPr>
            <w:tcW w:w="586"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7354ECC">
            <w:pPr>
              <w:bidi w:val="0"/>
              <w:spacing w:line="240" w:lineRule="auto"/>
              <w:jc w:val="center"/>
              <w:rPr>
                <w:rFonts w:hint="eastAsia" w:ascii="仿宋" w:hAnsi="仿宋" w:eastAsia="仿宋" w:cs="仿宋"/>
                <w:color w:val="auto"/>
                <w:sz w:val="24"/>
                <w:szCs w:val="24"/>
              </w:rPr>
            </w:pPr>
          </w:p>
        </w:tc>
        <w:tc>
          <w:tcPr>
            <w:tcW w:w="626"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80E8072">
            <w:pPr>
              <w:bidi w:val="0"/>
              <w:spacing w:line="240" w:lineRule="auto"/>
              <w:jc w:val="center"/>
              <w:rPr>
                <w:rFonts w:hint="eastAsia" w:ascii="仿宋" w:hAnsi="仿宋" w:eastAsia="仿宋" w:cs="仿宋"/>
                <w:color w:val="auto"/>
                <w:sz w:val="24"/>
                <w:szCs w:val="24"/>
              </w:rPr>
            </w:pPr>
          </w:p>
        </w:tc>
      </w:tr>
      <w:tr w14:paraId="698FC7BB">
        <w:tblPrEx>
          <w:tblCellMar>
            <w:top w:w="0" w:type="dxa"/>
            <w:left w:w="108" w:type="dxa"/>
            <w:bottom w:w="0" w:type="dxa"/>
            <w:right w:w="108" w:type="dxa"/>
          </w:tblCellMar>
        </w:tblPrEx>
        <w:trPr>
          <w:trHeight w:val="454" w:hRule="atLeast"/>
          <w:jc w:val="center"/>
        </w:trPr>
        <w:tc>
          <w:tcPr>
            <w:tcW w:w="1114"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9170EBE">
            <w:pPr>
              <w:bidi w:val="0"/>
              <w:spacing w:line="240" w:lineRule="auto"/>
              <w:jc w:val="center"/>
              <w:rPr>
                <w:rFonts w:hint="eastAsia" w:ascii="仿宋" w:hAnsi="仿宋" w:eastAsia="仿宋" w:cs="仿宋"/>
                <w:color w:val="auto"/>
                <w:sz w:val="24"/>
                <w:szCs w:val="24"/>
              </w:rPr>
            </w:pPr>
          </w:p>
        </w:tc>
        <w:tc>
          <w:tcPr>
            <w:tcW w:w="238"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370E441">
            <w:pPr>
              <w:bidi w:val="0"/>
              <w:spacing w:line="240" w:lineRule="auto"/>
              <w:jc w:val="both"/>
              <w:rPr>
                <w:rFonts w:hint="eastAsia" w:ascii="仿宋" w:hAnsi="仿宋" w:eastAsia="仿宋" w:cs="仿宋"/>
                <w:color w:val="auto"/>
                <w:sz w:val="24"/>
                <w:szCs w:val="24"/>
              </w:rPr>
            </w:pPr>
          </w:p>
        </w:tc>
        <w:tc>
          <w:tcPr>
            <w:tcW w:w="2434"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14F0A20">
            <w:pPr>
              <w:bidi w:val="0"/>
              <w:spacing w:line="240" w:lineRule="auto"/>
              <w:jc w:val="both"/>
              <w:rPr>
                <w:rFonts w:hint="eastAsia" w:ascii="仿宋" w:hAnsi="仿宋" w:eastAsia="仿宋" w:cs="仿宋"/>
                <w:color w:val="auto"/>
                <w:sz w:val="24"/>
                <w:szCs w:val="24"/>
              </w:rPr>
            </w:pPr>
            <w:r>
              <w:rPr>
                <w:rFonts w:hint="eastAsia" w:ascii="仿宋" w:hAnsi="仿宋" w:eastAsia="仿宋" w:cs="仿宋"/>
                <w:color w:val="auto"/>
                <w:sz w:val="24"/>
                <w:szCs w:val="24"/>
              </w:rPr>
              <w:t>教育</w:t>
            </w:r>
          </w:p>
        </w:tc>
        <w:tc>
          <w:tcPr>
            <w:tcW w:w="586"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B921329">
            <w:pPr>
              <w:bidi w:val="0"/>
              <w:spacing w:line="240" w:lineRule="auto"/>
              <w:jc w:val="center"/>
              <w:rPr>
                <w:rFonts w:hint="eastAsia" w:ascii="仿宋" w:hAnsi="仿宋" w:eastAsia="仿宋" w:cs="仿宋"/>
                <w:color w:val="auto"/>
                <w:sz w:val="24"/>
                <w:szCs w:val="24"/>
              </w:rPr>
            </w:pPr>
          </w:p>
        </w:tc>
        <w:tc>
          <w:tcPr>
            <w:tcW w:w="626"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3045FD4">
            <w:pPr>
              <w:bidi w:val="0"/>
              <w:spacing w:line="240" w:lineRule="auto"/>
              <w:jc w:val="center"/>
              <w:rPr>
                <w:rFonts w:hint="eastAsia" w:ascii="仿宋" w:hAnsi="仿宋" w:eastAsia="仿宋" w:cs="仿宋"/>
                <w:color w:val="auto"/>
                <w:sz w:val="24"/>
                <w:szCs w:val="24"/>
              </w:rPr>
            </w:pPr>
          </w:p>
        </w:tc>
      </w:tr>
      <w:tr w14:paraId="13941CE0">
        <w:tblPrEx>
          <w:tblCellMar>
            <w:top w:w="0" w:type="dxa"/>
            <w:left w:w="108" w:type="dxa"/>
            <w:bottom w:w="0" w:type="dxa"/>
            <w:right w:w="108" w:type="dxa"/>
          </w:tblCellMar>
        </w:tblPrEx>
        <w:trPr>
          <w:trHeight w:val="454" w:hRule="atLeast"/>
          <w:jc w:val="center"/>
        </w:trPr>
        <w:tc>
          <w:tcPr>
            <w:tcW w:w="1114"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55A0509">
            <w:pPr>
              <w:bidi w:val="0"/>
              <w:spacing w:line="240" w:lineRule="auto"/>
              <w:jc w:val="center"/>
              <w:rPr>
                <w:rFonts w:hint="eastAsia" w:ascii="仿宋" w:hAnsi="仿宋" w:eastAsia="仿宋" w:cs="仿宋"/>
                <w:color w:val="auto"/>
                <w:sz w:val="24"/>
                <w:szCs w:val="24"/>
              </w:rPr>
            </w:pPr>
          </w:p>
        </w:tc>
        <w:tc>
          <w:tcPr>
            <w:tcW w:w="238"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75752E3">
            <w:pPr>
              <w:bidi w:val="0"/>
              <w:spacing w:line="240" w:lineRule="auto"/>
              <w:jc w:val="both"/>
              <w:rPr>
                <w:rFonts w:hint="eastAsia" w:ascii="仿宋" w:hAnsi="仿宋" w:eastAsia="仿宋" w:cs="仿宋"/>
                <w:color w:val="auto"/>
                <w:sz w:val="24"/>
                <w:szCs w:val="24"/>
              </w:rPr>
            </w:pPr>
          </w:p>
        </w:tc>
        <w:tc>
          <w:tcPr>
            <w:tcW w:w="2434"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5E1DD84">
            <w:pPr>
              <w:bidi w:val="0"/>
              <w:spacing w:line="240" w:lineRule="auto"/>
              <w:jc w:val="both"/>
              <w:rPr>
                <w:rFonts w:hint="eastAsia" w:ascii="仿宋" w:hAnsi="仿宋" w:eastAsia="仿宋" w:cs="仿宋"/>
                <w:color w:val="auto"/>
                <w:sz w:val="24"/>
                <w:szCs w:val="24"/>
              </w:rPr>
            </w:pPr>
            <w:r>
              <w:rPr>
                <w:rFonts w:hint="eastAsia" w:ascii="仿宋" w:hAnsi="仿宋" w:eastAsia="仿宋" w:cs="仿宋"/>
                <w:color w:val="auto"/>
                <w:sz w:val="24"/>
                <w:szCs w:val="24"/>
              </w:rPr>
              <w:t>体育</w:t>
            </w:r>
          </w:p>
        </w:tc>
        <w:tc>
          <w:tcPr>
            <w:tcW w:w="586"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71829DA">
            <w:pPr>
              <w:bidi w:val="0"/>
              <w:spacing w:line="240" w:lineRule="auto"/>
              <w:jc w:val="center"/>
              <w:rPr>
                <w:rFonts w:hint="eastAsia" w:ascii="仿宋" w:hAnsi="仿宋" w:eastAsia="仿宋" w:cs="仿宋"/>
                <w:color w:val="auto"/>
                <w:sz w:val="24"/>
                <w:szCs w:val="24"/>
              </w:rPr>
            </w:pPr>
          </w:p>
        </w:tc>
        <w:tc>
          <w:tcPr>
            <w:tcW w:w="626"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E25CDA7">
            <w:pPr>
              <w:bidi w:val="0"/>
              <w:spacing w:line="240" w:lineRule="auto"/>
              <w:jc w:val="center"/>
              <w:rPr>
                <w:rFonts w:hint="eastAsia" w:ascii="仿宋" w:hAnsi="仿宋" w:eastAsia="仿宋" w:cs="仿宋"/>
                <w:color w:val="auto"/>
                <w:sz w:val="24"/>
                <w:szCs w:val="24"/>
              </w:rPr>
            </w:pPr>
          </w:p>
        </w:tc>
      </w:tr>
      <w:tr w14:paraId="144D60DE">
        <w:tblPrEx>
          <w:tblCellMar>
            <w:top w:w="0" w:type="dxa"/>
            <w:left w:w="108" w:type="dxa"/>
            <w:bottom w:w="0" w:type="dxa"/>
            <w:right w:w="108" w:type="dxa"/>
          </w:tblCellMar>
        </w:tblPrEx>
        <w:trPr>
          <w:trHeight w:val="454" w:hRule="atLeast"/>
          <w:jc w:val="center"/>
        </w:trPr>
        <w:tc>
          <w:tcPr>
            <w:tcW w:w="1114"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3723A1A">
            <w:pPr>
              <w:bidi w:val="0"/>
              <w:spacing w:line="240" w:lineRule="auto"/>
              <w:jc w:val="center"/>
              <w:rPr>
                <w:rFonts w:hint="eastAsia" w:ascii="仿宋" w:hAnsi="仿宋" w:eastAsia="仿宋" w:cs="仿宋"/>
                <w:color w:val="auto"/>
                <w:sz w:val="24"/>
                <w:szCs w:val="24"/>
              </w:rPr>
            </w:pPr>
          </w:p>
        </w:tc>
        <w:tc>
          <w:tcPr>
            <w:tcW w:w="2672" w:type="pct"/>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D63CD6F">
            <w:pPr>
              <w:bidi w:val="0"/>
              <w:spacing w:line="240" w:lineRule="auto"/>
              <w:jc w:val="both"/>
              <w:rPr>
                <w:rFonts w:hint="eastAsia" w:ascii="仿宋" w:hAnsi="仿宋" w:eastAsia="仿宋" w:cs="仿宋"/>
                <w:color w:val="auto"/>
                <w:sz w:val="24"/>
                <w:szCs w:val="24"/>
              </w:rPr>
            </w:pPr>
            <w:r>
              <w:rPr>
                <w:rFonts w:hint="eastAsia" w:ascii="仿宋" w:hAnsi="仿宋" w:eastAsia="仿宋" w:cs="仿宋"/>
                <w:color w:val="auto"/>
                <w:sz w:val="24"/>
                <w:szCs w:val="24"/>
              </w:rPr>
              <w:t>H语言、文字</w:t>
            </w:r>
          </w:p>
        </w:tc>
        <w:tc>
          <w:tcPr>
            <w:tcW w:w="586"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4388105">
            <w:pPr>
              <w:bidi w:val="0"/>
              <w:spacing w:line="240" w:lineRule="auto"/>
              <w:jc w:val="center"/>
              <w:rPr>
                <w:rFonts w:hint="eastAsia" w:ascii="仿宋" w:hAnsi="仿宋" w:eastAsia="仿宋" w:cs="仿宋"/>
                <w:color w:val="auto"/>
                <w:sz w:val="24"/>
                <w:szCs w:val="24"/>
              </w:rPr>
            </w:pPr>
          </w:p>
        </w:tc>
        <w:tc>
          <w:tcPr>
            <w:tcW w:w="626"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13756BA">
            <w:pPr>
              <w:bidi w:val="0"/>
              <w:spacing w:line="240" w:lineRule="auto"/>
              <w:jc w:val="center"/>
              <w:rPr>
                <w:rFonts w:hint="eastAsia" w:ascii="仿宋" w:hAnsi="仿宋" w:eastAsia="仿宋" w:cs="仿宋"/>
                <w:color w:val="auto"/>
                <w:sz w:val="24"/>
                <w:szCs w:val="24"/>
              </w:rPr>
            </w:pPr>
          </w:p>
        </w:tc>
      </w:tr>
      <w:tr w14:paraId="27042EE0">
        <w:tblPrEx>
          <w:tblCellMar>
            <w:top w:w="0" w:type="dxa"/>
            <w:left w:w="108" w:type="dxa"/>
            <w:bottom w:w="0" w:type="dxa"/>
            <w:right w:w="108" w:type="dxa"/>
          </w:tblCellMar>
        </w:tblPrEx>
        <w:trPr>
          <w:trHeight w:val="454" w:hRule="atLeast"/>
          <w:jc w:val="center"/>
        </w:trPr>
        <w:tc>
          <w:tcPr>
            <w:tcW w:w="1114"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EC966D4">
            <w:pPr>
              <w:bidi w:val="0"/>
              <w:spacing w:line="240" w:lineRule="auto"/>
              <w:jc w:val="center"/>
              <w:rPr>
                <w:rFonts w:hint="eastAsia" w:ascii="仿宋" w:hAnsi="仿宋" w:eastAsia="仿宋" w:cs="仿宋"/>
                <w:color w:val="auto"/>
                <w:sz w:val="24"/>
                <w:szCs w:val="24"/>
              </w:rPr>
            </w:pPr>
          </w:p>
        </w:tc>
        <w:tc>
          <w:tcPr>
            <w:tcW w:w="2672" w:type="pct"/>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9BAE094">
            <w:pPr>
              <w:bidi w:val="0"/>
              <w:spacing w:line="240" w:lineRule="auto"/>
              <w:jc w:val="both"/>
              <w:rPr>
                <w:rFonts w:hint="eastAsia" w:ascii="仿宋" w:hAnsi="仿宋" w:eastAsia="仿宋" w:cs="仿宋"/>
                <w:color w:val="auto"/>
                <w:sz w:val="24"/>
                <w:szCs w:val="24"/>
              </w:rPr>
            </w:pPr>
            <w:r>
              <w:rPr>
                <w:rFonts w:hint="eastAsia" w:ascii="仿宋" w:hAnsi="仿宋" w:eastAsia="仿宋" w:cs="仿宋"/>
                <w:color w:val="auto"/>
                <w:sz w:val="24"/>
                <w:szCs w:val="24"/>
              </w:rPr>
              <w:t>I文学</w:t>
            </w:r>
          </w:p>
        </w:tc>
        <w:tc>
          <w:tcPr>
            <w:tcW w:w="586"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08AF5D5">
            <w:pPr>
              <w:bidi w:val="0"/>
              <w:spacing w:line="240" w:lineRule="auto"/>
              <w:jc w:val="center"/>
              <w:rPr>
                <w:rFonts w:hint="eastAsia" w:ascii="仿宋" w:hAnsi="仿宋" w:eastAsia="仿宋" w:cs="仿宋"/>
                <w:color w:val="auto"/>
                <w:sz w:val="24"/>
                <w:szCs w:val="24"/>
              </w:rPr>
            </w:pPr>
          </w:p>
        </w:tc>
        <w:tc>
          <w:tcPr>
            <w:tcW w:w="626"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96D55B1">
            <w:pPr>
              <w:bidi w:val="0"/>
              <w:spacing w:line="240" w:lineRule="auto"/>
              <w:jc w:val="center"/>
              <w:rPr>
                <w:rFonts w:hint="eastAsia" w:ascii="仿宋" w:hAnsi="仿宋" w:eastAsia="仿宋" w:cs="仿宋"/>
                <w:color w:val="auto"/>
                <w:sz w:val="24"/>
                <w:szCs w:val="24"/>
              </w:rPr>
            </w:pPr>
          </w:p>
        </w:tc>
      </w:tr>
      <w:tr w14:paraId="50CF4828">
        <w:tblPrEx>
          <w:tblCellMar>
            <w:top w:w="0" w:type="dxa"/>
            <w:left w:w="108" w:type="dxa"/>
            <w:bottom w:w="0" w:type="dxa"/>
            <w:right w:w="108" w:type="dxa"/>
          </w:tblCellMar>
        </w:tblPrEx>
        <w:trPr>
          <w:trHeight w:val="454" w:hRule="atLeast"/>
          <w:jc w:val="center"/>
        </w:trPr>
        <w:tc>
          <w:tcPr>
            <w:tcW w:w="1114"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F39411F">
            <w:pPr>
              <w:bidi w:val="0"/>
              <w:spacing w:line="240" w:lineRule="auto"/>
              <w:jc w:val="center"/>
              <w:rPr>
                <w:rFonts w:hint="eastAsia" w:ascii="仿宋" w:hAnsi="仿宋" w:eastAsia="仿宋" w:cs="仿宋"/>
                <w:color w:val="auto"/>
                <w:sz w:val="24"/>
                <w:szCs w:val="24"/>
              </w:rPr>
            </w:pPr>
          </w:p>
        </w:tc>
        <w:tc>
          <w:tcPr>
            <w:tcW w:w="2672" w:type="pct"/>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9003819">
            <w:pPr>
              <w:bidi w:val="0"/>
              <w:spacing w:line="240" w:lineRule="auto"/>
              <w:jc w:val="both"/>
              <w:rPr>
                <w:rFonts w:hint="eastAsia" w:ascii="仿宋" w:hAnsi="仿宋" w:eastAsia="仿宋" w:cs="仿宋"/>
                <w:color w:val="auto"/>
                <w:sz w:val="24"/>
                <w:szCs w:val="24"/>
              </w:rPr>
            </w:pPr>
            <w:r>
              <w:rPr>
                <w:rFonts w:hint="eastAsia" w:ascii="仿宋" w:hAnsi="仿宋" w:eastAsia="仿宋" w:cs="仿宋"/>
                <w:color w:val="auto"/>
                <w:sz w:val="24"/>
                <w:szCs w:val="24"/>
              </w:rPr>
              <w:t>J艺术</w:t>
            </w:r>
          </w:p>
        </w:tc>
        <w:tc>
          <w:tcPr>
            <w:tcW w:w="586"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5AED980">
            <w:pPr>
              <w:bidi w:val="0"/>
              <w:spacing w:line="240" w:lineRule="auto"/>
              <w:jc w:val="center"/>
              <w:rPr>
                <w:rFonts w:hint="eastAsia" w:ascii="仿宋" w:hAnsi="仿宋" w:eastAsia="仿宋" w:cs="仿宋"/>
                <w:color w:val="auto"/>
                <w:sz w:val="24"/>
                <w:szCs w:val="24"/>
              </w:rPr>
            </w:pPr>
          </w:p>
        </w:tc>
        <w:tc>
          <w:tcPr>
            <w:tcW w:w="626"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836E154">
            <w:pPr>
              <w:bidi w:val="0"/>
              <w:spacing w:line="240" w:lineRule="auto"/>
              <w:jc w:val="center"/>
              <w:rPr>
                <w:rFonts w:hint="eastAsia" w:ascii="仿宋" w:hAnsi="仿宋" w:eastAsia="仿宋" w:cs="仿宋"/>
                <w:color w:val="auto"/>
                <w:sz w:val="24"/>
                <w:szCs w:val="24"/>
              </w:rPr>
            </w:pPr>
          </w:p>
        </w:tc>
      </w:tr>
      <w:tr w14:paraId="6D4F9863">
        <w:tblPrEx>
          <w:tblCellMar>
            <w:top w:w="0" w:type="dxa"/>
            <w:left w:w="108" w:type="dxa"/>
            <w:bottom w:w="0" w:type="dxa"/>
            <w:right w:w="108" w:type="dxa"/>
          </w:tblCellMar>
        </w:tblPrEx>
        <w:trPr>
          <w:trHeight w:val="454" w:hRule="atLeast"/>
          <w:jc w:val="center"/>
        </w:trPr>
        <w:tc>
          <w:tcPr>
            <w:tcW w:w="1114"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13AFAB4">
            <w:pPr>
              <w:bidi w:val="0"/>
              <w:spacing w:line="240" w:lineRule="auto"/>
              <w:jc w:val="center"/>
              <w:rPr>
                <w:rFonts w:hint="eastAsia" w:ascii="仿宋" w:hAnsi="仿宋" w:eastAsia="仿宋" w:cs="仿宋"/>
                <w:color w:val="auto"/>
                <w:sz w:val="24"/>
                <w:szCs w:val="24"/>
              </w:rPr>
            </w:pPr>
          </w:p>
        </w:tc>
        <w:tc>
          <w:tcPr>
            <w:tcW w:w="2672" w:type="pct"/>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B160565">
            <w:pPr>
              <w:bidi w:val="0"/>
              <w:spacing w:line="240" w:lineRule="auto"/>
              <w:jc w:val="both"/>
              <w:rPr>
                <w:rFonts w:hint="eastAsia" w:ascii="仿宋" w:hAnsi="仿宋" w:eastAsia="仿宋" w:cs="仿宋"/>
                <w:color w:val="auto"/>
                <w:sz w:val="24"/>
                <w:szCs w:val="24"/>
              </w:rPr>
            </w:pPr>
            <w:r>
              <w:rPr>
                <w:rFonts w:hint="eastAsia" w:ascii="仿宋" w:hAnsi="仿宋" w:eastAsia="仿宋" w:cs="仿宋"/>
                <w:color w:val="auto"/>
                <w:sz w:val="24"/>
                <w:szCs w:val="24"/>
              </w:rPr>
              <w:t>K历史、地理</w:t>
            </w:r>
          </w:p>
        </w:tc>
        <w:tc>
          <w:tcPr>
            <w:tcW w:w="586"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4D49778">
            <w:pPr>
              <w:bidi w:val="0"/>
              <w:spacing w:line="240" w:lineRule="auto"/>
              <w:jc w:val="center"/>
              <w:rPr>
                <w:rFonts w:hint="eastAsia" w:ascii="仿宋" w:hAnsi="仿宋" w:eastAsia="仿宋" w:cs="仿宋"/>
                <w:color w:val="auto"/>
                <w:sz w:val="24"/>
                <w:szCs w:val="24"/>
              </w:rPr>
            </w:pPr>
          </w:p>
        </w:tc>
        <w:tc>
          <w:tcPr>
            <w:tcW w:w="626"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435F36F">
            <w:pPr>
              <w:bidi w:val="0"/>
              <w:spacing w:line="240" w:lineRule="auto"/>
              <w:jc w:val="center"/>
              <w:rPr>
                <w:rFonts w:hint="eastAsia" w:ascii="仿宋" w:hAnsi="仿宋" w:eastAsia="仿宋" w:cs="仿宋"/>
                <w:color w:val="auto"/>
                <w:sz w:val="24"/>
                <w:szCs w:val="24"/>
              </w:rPr>
            </w:pPr>
          </w:p>
        </w:tc>
      </w:tr>
      <w:tr w14:paraId="2D882175">
        <w:tblPrEx>
          <w:tblCellMar>
            <w:top w:w="0" w:type="dxa"/>
            <w:left w:w="108" w:type="dxa"/>
            <w:bottom w:w="0" w:type="dxa"/>
            <w:right w:w="108" w:type="dxa"/>
          </w:tblCellMar>
        </w:tblPrEx>
        <w:trPr>
          <w:trHeight w:val="454" w:hRule="atLeast"/>
          <w:jc w:val="center"/>
        </w:trPr>
        <w:tc>
          <w:tcPr>
            <w:tcW w:w="1114" w:type="pct"/>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CC486E4">
            <w:pPr>
              <w:bidi w:val="0"/>
              <w:spacing w:line="240" w:lineRule="auto"/>
              <w:jc w:val="center"/>
              <w:rPr>
                <w:rFonts w:hint="eastAsia" w:ascii="仿宋" w:hAnsi="仿宋" w:eastAsia="仿宋" w:cs="仿宋"/>
                <w:color w:val="auto"/>
                <w:sz w:val="24"/>
                <w:szCs w:val="24"/>
              </w:rPr>
            </w:pPr>
            <w:r>
              <w:rPr>
                <w:rFonts w:hint="eastAsia" w:ascii="仿宋" w:hAnsi="仿宋" w:eastAsia="仿宋" w:cs="仿宋"/>
                <w:color w:val="auto"/>
                <w:sz w:val="24"/>
                <w:szCs w:val="24"/>
              </w:rPr>
              <w:t>第四大类</w:t>
            </w:r>
          </w:p>
        </w:tc>
        <w:tc>
          <w:tcPr>
            <w:tcW w:w="2672" w:type="pct"/>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50B7E07">
            <w:pPr>
              <w:bidi w:val="0"/>
              <w:spacing w:line="240" w:lineRule="auto"/>
              <w:jc w:val="both"/>
              <w:rPr>
                <w:rFonts w:hint="eastAsia" w:ascii="仿宋" w:hAnsi="仿宋" w:eastAsia="仿宋" w:cs="仿宋"/>
                <w:color w:val="auto"/>
                <w:sz w:val="24"/>
                <w:szCs w:val="24"/>
              </w:rPr>
            </w:pPr>
            <w:r>
              <w:rPr>
                <w:rFonts w:hint="eastAsia" w:ascii="仿宋" w:hAnsi="仿宋" w:eastAsia="仿宋" w:cs="仿宋"/>
                <w:color w:val="auto"/>
                <w:sz w:val="24"/>
                <w:szCs w:val="24"/>
              </w:rPr>
              <w:t>N自然科学总论</w:t>
            </w:r>
          </w:p>
        </w:tc>
        <w:tc>
          <w:tcPr>
            <w:tcW w:w="586" w:type="pct"/>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0966600">
            <w:pPr>
              <w:bidi w:val="0"/>
              <w:spacing w:line="240" w:lineRule="auto"/>
              <w:jc w:val="center"/>
              <w:rPr>
                <w:rFonts w:hint="eastAsia" w:ascii="仿宋" w:hAnsi="仿宋" w:eastAsia="仿宋" w:cs="仿宋"/>
                <w:color w:val="auto"/>
                <w:sz w:val="24"/>
                <w:szCs w:val="24"/>
              </w:rPr>
            </w:pPr>
            <w:r>
              <w:rPr>
                <w:rFonts w:hint="eastAsia" w:ascii="仿宋" w:hAnsi="仿宋" w:eastAsia="仿宋" w:cs="仿宋"/>
                <w:color w:val="auto"/>
                <w:sz w:val="24"/>
                <w:szCs w:val="24"/>
              </w:rPr>
              <w:t>28%</w:t>
            </w:r>
          </w:p>
        </w:tc>
        <w:tc>
          <w:tcPr>
            <w:tcW w:w="626" w:type="pct"/>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F2DDA07">
            <w:pPr>
              <w:bidi w:val="0"/>
              <w:spacing w:line="240" w:lineRule="auto"/>
              <w:jc w:val="center"/>
              <w:rPr>
                <w:rFonts w:hint="eastAsia" w:ascii="仿宋" w:hAnsi="仿宋" w:eastAsia="仿宋" w:cs="仿宋"/>
                <w:color w:val="auto"/>
                <w:sz w:val="24"/>
                <w:szCs w:val="24"/>
              </w:rPr>
            </w:pPr>
            <w:r>
              <w:rPr>
                <w:rFonts w:hint="eastAsia" w:ascii="仿宋" w:hAnsi="仿宋" w:eastAsia="仿宋" w:cs="仿宋"/>
                <w:color w:val="auto"/>
                <w:sz w:val="24"/>
                <w:szCs w:val="24"/>
              </w:rPr>
              <w:t>38%</w:t>
            </w:r>
          </w:p>
        </w:tc>
      </w:tr>
      <w:tr w14:paraId="66AC154E">
        <w:tblPrEx>
          <w:tblCellMar>
            <w:top w:w="0" w:type="dxa"/>
            <w:left w:w="108" w:type="dxa"/>
            <w:bottom w:w="0" w:type="dxa"/>
            <w:right w:w="108" w:type="dxa"/>
          </w:tblCellMar>
        </w:tblPrEx>
        <w:trPr>
          <w:trHeight w:val="454" w:hRule="atLeast"/>
          <w:jc w:val="center"/>
        </w:trPr>
        <w:tc>
          <w:tcPr>
            <w:tcW w:w="1114"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2EBD47B">
            <w:pPr>
              <w:bidi w:val="0"/>
              <w:spacing w:line="240" w:lineRule="auto"/>
              <w:jc w:val="center"/>
              <w:rPr>
                <w:rFonts w:hint="eastAsia" w:ascii="仿宋" w:hAnsi="仿宋" w:eastAsia="仿宋" w:cs="仿宋"/>
                <w:color w:val="auto"/>
                <w:sz w:val="24"/>
                <w:szCs w:val="24"/>
              </w:rPr>
            </w:pPr>
          </w:p>
        </w:tc>
        <w:tc>
          <w:tcPr>
            <w:tcW w:w="2672" w:type="pct"/>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E2B9329">
            <w:pPr>
              <w:bidi w:val="0"/>
              <w:spacing w:line="240" w:lineRule="auto"/>
              <w:jc w:val="both"/>
              <w:rPr>
                <w:rFonts w:hint="eastAsia" w:ascii="仿宋" w:hAnsi="仿宋" w:eastAsia="仿宋" w:cs="仿宋"/>
                <w:color w:val="auto"/>
                <w:sz w:val="24"/>
                <w:szCs w:val="24"/>
              </w:rPr>
            </w:pPr>
            <w:r>
              <w:rPr>
                <w:rFonts w:hint="eastAsia" w:ascii="仿宋" w:hAnsi="仿宋" w:eastAsia="仿宋" w:cs="仿宋"/>
                <w:color w:val="auto"/>
                <w:sz w:val="24"/>
                <w:szCs w:val="24"/>
              </w:rPr>
              <w:t>O数理科学和化学</w:t>
            </w:r>
          </w:p>
        </w:tc>
        <w:tc>
          <w:tcPr>
            <w:tcW w:w="586"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4634AF6">
            <w:pPr>
              <w:bidi w:val="0"/>
              <w:spacing w:line="240" w:lineRule="auto"/>
              <w:jc w:val="center"/>
              <w:rPr>
                <w:rFonts w:hint="eastAsia" w:ascii="仿宋" w:hAnsi="仿宋" w:eastAsia="仿宋" w:cs="仿宋"/>
                <w:color w:val="auto"/>
                <w:sz w:val="24"/>
                <w:szCs w:val="24"/>
              </w:rPr>
            </w:pPr>
          </w:p>
        </w:tc>
        <w:tc>
          <w:tcPr>
            <w:tcW w:w="626"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A650EDE">
            <w:pPr>
              <w:bidi w:val="0"/>
              <w:spacing w:line="240" w:lineRule="auto"/>
              <w:jc w:val="center"/>
              <w:rPr>
                <w:rFonts w:hint="eastAsia" w:ascii="仿宋" w:hAnsi="仿宋" w:eastAsia="仿宋" w:cs="仿宋"/>
                <w:color w:val="auto"/>
                <w:sz w:val="24"/>
                <w:szCs w:val="24"/>
              </w:rPr>
            </w:pPr>
          </w:p>
        </w:tc>
      </w:tr>
      <w:tr w14:paraId="488F2F35">
        <w:tblPrEx>
          <w:tblCellMar>
            <w:top w:w="0" w:type="dxa"/>
            <w:left w:w="108" w:type="dxa"/>
            <w:bottom w:w="0" w:type="dxa"/>
            <w:right w:w="108" w:type="dxa"/>
          </w:tblCellMar>
        </w:tblPrEx>
        <w:trPr>
          <w:trHeight w:val="454" w:hRule="atLeast"/>
          <w:jc w:val="center"/>
        </w:trPr>
        <w:tc>
          <w:tcPr>
            <w:tcW w:w="1114"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B59E770">
            <w:pPr>
              <w:bidi w:val="0"/>
              <w:spacing w:line="240" w:lineRule="auto"/>
              <w:jc w:val="center"/>
              <w:rPr>
                <w:rFonts w:hint="eastAsia" w:ascii="仿宋" w:hAnsi="仿宋" w:eastAsia="仿宋" w:cs="仿宋"/>
                <w:color w:val="auto"/>
                <w:sz w:val="24"/>
                <w:szCs w:val="24"/>
              </w:rPr>
            </w:pPr>
          </w:p>
        </w:tc>
        <w:tc>
          <w:tcPr>
            <w:tcW w:w="2672" w:type="pct"/>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87A671D">
            <w:pPr>
              <w:bidi w:val="0"/>
              <w:spacing w:line="240" w:lineRule="auto"/>
              <w:jc w:val="both"/>
              <w:rPr>
                <w:rFonts w:hint="eastAsia" w:ascii="仿宋" w:hAnsi="仿宋" w:eastAsia="仿宋" w:cs="仿宋"/>
                <w:color w:val="auto"/>
                <w:sz w:val="24"/>
                <w:szCs w:val="24"/>
              </w:rPr>
            </w:pPr>
            <w:r>
              <w:rPr>
                <w:rFonts w:hint="eastAsia" w:ascii="仿宋" w:hAnsi="仿宋" w:eastAsia="仿宋" w:cs="仿宋"/>
                <w:color w:val="auto"/>
                <w:sz w:val="24"/>
                <w:szCs w:val="24"/>
              </w:rPr>
              <w:t>P天文学、地球科学</w:t>
            </w:r>
          </w:p>
        </w:tc>
        <w:tc>
          <w:tcPr>
            <w:tcW w:w="586"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FF3EF64">
            <w:pPr>
              <w:bidi w:val="0"/>
              <w:spacing w:line="240" w:lineRule="auto"/>
              <w:jc w:val="center"/>
              <w:rPr>
                <w:rFonts w:hint="eastAsia" w:ascii="仿宋" w:hAnsi="仿宋" w:eastAsia="仿宋" w:cs="仿宋"/>
                <w:color w:val="auto"/>
                <w:sz w:val="24"/>
                <w:szCs w:val="24"/>
              </w:rPr>
            </w:pPr>
          </w:p>
        </w:tc>
        <w:tc>
          <w:tcPr>
            <w:tcW w:w="626"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C7BE771">
            <w:pPr>
              <w:bidi w:val="0"/>
              <w:spacing w:line="240" w:lineRule="auto"/>
              <w:jc w:val="center"/>
              <w:rPr>
                <w:rFonts w:hint="eastAsia" w:ascii="仿宋" w:hAnsi="仿宋" w:eastAsia="仿宋" w:cs="仿宋"/>
                <w:color w:val="auto"/>
                <w:sz w:val="24"/>
                <w:szCs w:val="24"/>
              </w:rPr>
            </w:pPr>
          </w:p>
        </w:tc>
      </w:tr>
      <w:tr w14:paraId="67DC405E">
        <w:tblPrEx>
          <w:tblCellMar>
            <w:top w:w="0" w:type="dxa"/>
            <w:left w:w="108" w:type="dxa"/>
            <w:bottom w:w="0" w:type="dxa"/>
            <w:right w:w="108" w:type="dxa"/>
          </w:tblCellMar>
        </w:tblPrEx>
        <w:trPr>
          <w:trHeight w:val="454" w:hRule="atLeast"/>
          <w:jc w:val="center"/>
        </w:trPr>
        <w:tc>
          <w:tcPr>
            <w:tcW w:w="1114"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7354D4D">
            <w:pPr>
              <w:bidi w:val="0"/>
              <w:spacing w:line="240" w:lineRule="auto"/>
              <w:jc w:val="center"/>
              <w:rPr>
                <w:rFonts w:hint="eastAsia" w:ascii="仿宋" w:hAnsi="仿宋" w:eastAsia="仿宋" w:cs="仿宋"/>
                <w:color w:val="auto"/>
                <w:sz w:val="24"/>
                <w:szCs w:val="24"/>
              </w:rPr>
            </w:pPr>
          </w:p>
        </w:tc>
        <w:tc>
          <w:tcPr>
            <w:tcW w:w="2672" w:type="pct"/>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1724D86">
            <w:pPr>
              <w:bidi w:val="0"/>
              <w:spacing w:line="240" w:lineRule="auto"/>
              <w:jc w:val="both"/>
              <w:rPr>
                <w:rFonts w:hint="eastAsia" w:ascii="仿宋" w:hAnsi="仿宋" w:eastAsia="仿宋" w:cs="仿宋"/>
                <w:color w:val="auto"/>
                <w:sz w:val="24"/>
                <w:szCs w:val="24"/>
              </w:rPr>
            </w:pPr>
            <w:r>
              <w:rPr>
                <w:rFonts w:hint="eastAsia" w:ascii="仿宋" w:hAnsi="仿宋" w:eastAsia="仿宋" w:cs="仿宋"/>
                <w:color w:val="auto"/>
                <w:sz w:val="24"/>
                <w:szCs w:val="24"/>
              </w:rPr>
              <w:t>Q生物科学</w:t>
            </w:r>
          </w:p>
        </w:tc>
        <w:tc>
          <w:tcPr>
            <w:tcW w:w="586"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8693286">
            <w:pPr>
              <w:bidi w:val="0"/>
              <w:spacing w:line="240" w:lineRule="auto"/>
              <w:jc w:val="center"/>
              <w:rPr>
                <w:rFonts w:hint="eastAsia" w:ascii="仿宋" w:hAnsi="仿宋" w:eastAsia="仿宋" w:cs="仿宋"/>
                <w:color w:val="auto"/>
                <w:sz w:val="24"/>
                <w:szCs w:val="24"/>
              </w:rPr>
            </w:pPr>
          </w:p>
        </w:tc>
        <w:tc>
          <w:tcPr>
            <w:tcW w:w="626"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16EBD02">
            <w:pPr>
              <w:bidi w:val="0"/>
              <w:spacing w:line="240" w:lineRule="auto"/>
              <w:jc w:val="center"/>
              <w:rPr>
                <w:rFonts w:hint="eastAsia" w:ascii="仿宋" w:hAnsi="仿宋" w:eastAsia="仿宋" w:cs="仿宋"/>
                <w:color w:val="auto"/>
                <w:sz w:val="24"/>
                <w:szCs w:val="24"/>
              </w:rPr>
            </w:pPr>
          </w:p>
        </w:tc>
      </w:tr>
      <w:tr w14:paraId="7FCDC773">
        <w:tblPrEx>
          <w:tblCellMar>
            <w:top w:w="0" w:type="dxa"/>
            <w:left w:w="108" w:type="dxa"/>
            <w:bottom w:w="0" w:type="dxa"/>
            <w:right w:w="108" w:type="dxa"/>
          </w:tblCellMar>
        </w:tblPrEx>
        <w:trPr>
          <w:trHeight w:val="454" w:hRule="atLeast"/>
          <w:jc w:val="center"/>
        </w:trPr>
        <w:tc>
          <w:tcPr>
            <w:tcW w:w="1114"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23365AA">
            <w:pPr>
              <w:bidi w:val="0"/>
              <w:spacing w:line="240" w:lineRule="auto"/>
              <w:jc w:val="center"/>
              <w:rPr>
                <w:rFonts w:hint="eastAsia" w:ascii="仿宋" w:hAnsi="仿宋" w:eastAsia="仿宋" w:cs="仿宋"/>
                <w:color w:val="auto"/>
                <w:sz w:val="24"/>
                <w:szCs w:val="24"/>
              </w:rPr>
            </w:pPr>
          </w:p>
        </w:tc>
        <w:tc>
          <w:tcPr>
            <w:tcW w:w="2672" w:type="pct"/>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175D89D">
            <w:pPr>
              <w:bidi w:val="0"/>
              <w:spacing w:line="240" w:lineRule="auto"/>
              <w:jc w:val="both"/>
              <w:rPr>
                <w:rFonts w:hint="eastAsia" w:ascii="仿宋" w:hAnsi="仿宋" w:eastAsia="仿宋" w:cs="仿宋"/>
                <w:color w:val="auto"/>
                <w:sz w:val="24"/>
                <w:szCs w:val="24"/>
              </w:rPr>
            </w:pPr>
            <w:r>
              <w:rPr>
                <w:rFonts w:hint="eastAsia" w:ascii="仿宋" w:hAnsi="仿宋" w:eastAsia="仿宋" w:cs="仿宋"/>
                <w:color w:val="auto"/>
                <w:sz w:val="24"/>
                <w:szCs w:val="24"/>
              </w:rPr>
              <w:t>R医药、卫生</w:t>
            </w:r>
          </w:p>
        </w:tc>
        <w:tc>
          <w:tcPr>
            <w:tcW w:w="586"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C4290EC">
            <w:pPr>
              <w:bidi w:val="0"/>
              <w:spacing w:line="240" w:lineRule="auto"/>
              <w:jc w:val="center"/>
              <w:rPr>
                <w:rFonts w:hint="eastAsia" w:ascii="仿宋" w:hAnsi="仿宋" w:eastAsia="仿宋" w:cs="仿宋"/>
                <w:color w:val="auto"/>
                <w:sz w:val="24"/>
                <w:szCs w:val="24"/>
              </w:rPr>
            </w:pPr>
          </w:p>
        </w:tc>
        <w:tc>
          <w:tcPr>
            <w:tcW w:w="626"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985CB7D">
            <w:pPr>
              <w:bidi w:val="0"/>
              <w:spacing w:line="240" w:lineRule="auto"/>
              <w:jc w:val="center"/>
              <w:rPr>
                <w:rFonts w:hint="eastAsia" w:ascii="仿宋" w:hAnsi="仿宋" w:eastAsia="仿宋" w:cs="仿宋"/>
                <w:color w:val="auto"/>
                <w:sz w:val="24"/>
                <w:szCs w:val="24"/>
              </w:rPr>
            </w:pPr>
          </w:p>
        </w:tc>
      </w:tr>
      <w:tr w14:paraId="693E18FD">
        <w:tblPrEx>
          <w:tblCellMar>
            <w:top w:w="0" w:type="dxa"/>
            <w:left w:w="108" w:type="dxa"/>
            <w:bottom w:w="0" w:type="dxa"/>
            <w:right w:w="108" w:type="dxa"/>
          </w:tblCellMar>
        </w:tblPrEx>
        <w:trPr>
          <w:trHeight w:val="454" w:hRule="atLeast"/>
          <w:jc w:val="center"/>
        </w:trPr>
        <w:tc>
          <w:tcPr>
            <w:tcW w:w="1114"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D307C26">
            <w:pPr>
              <w:bidi w:val="0"/>
              <w:spacing w:line="240" w:lineRule="auto"/>
              <w:jc w:val="center"/>
              <w:rPr>
                <w:rFonts w:hint="eastAsia" w:ascii="仿宋" w:hAnsi="仿宋" w:eastAsia="仿宋" w:cs="仿宋"/>
                <w:color w:val="auto"/>
                <w:sz w:val="24"/>
                <w:szCs w:val="24"/>
              </w:rPr>
            </w:pPr>
          </w:p>
        </w:tc>
        <w:tc>
          <w:tcPr>
            <w:tcW w:w="2672" w:type="pct"/>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470A2E1">
            <w:pPr>
              <w:bidi w:val="0"/>
              <w:spacing w:line="240" w:lineRule="auto"/>
              <w:jc w:val="both"/>
              <w:rPr>
                <w:rFonts w:hint="eastAsia" w:ascii="仿宋" w:hAnsi="仿宋" w:eastAsia="仿宋" w:cs="仿宋"/>
                <w:color w:val="auto"/>
                <w:sz w:val="24"/>
                <w:szCs w:val="24"/>
              </w:rPr>
            </w:pPr>
            <w:r>
              <w:rPr>
                <w:rFonts w:hint="eastAsia" w:ascii="仿宋" w:hAnsi="仿宋" w:eastAsia="仿宋" w:cs="仿宋"/>
                <w:color w:val="auto"/>
                <w:sz w:val="24"/>
                <w:szCs w:val="24"/>
              </w:rPr>
              <w:t>S农业科学</w:t>
            </w:r>
          </w:p>
        </w:tc>
        <w:tc>
          <w:tcPr>
            <w:tcW w:w="586"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3CF324D">
            <w:pPr>
              <w:bidi w:val="0"/>
              <w:spacing w:line="240" w:lineRule="auto"/>
              <w:jc w:val="center"/>
              <w:rPr>
                <w:rFonts w:hint="eastAsia" w:ascii="仿宋" w:hAnsi="仿宋" w:eastAsia="仿宋" w:cs="仿宋"/>
                <w:color w:val="auto"/>
                <w:sz w:val="24"/>
                <w:szCs w:val="24"/>
              </w:rPr>
            </w:pPr>
          </w:p>
        </w:tc>
        <w:tc>
          <w:tcPr>
            <w:tcW w:w="626"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761E84E">
            <w:pPr>
              <w:bidi w:val="0"/>
              <w:spacing w:line="240" w:lineRule="auto"/>
              <w:jc w:val="center"/>
              <w:rPr>
                <w:rFonts w:hint="eastAsia" w:ascii="仿宋" w:hAnsi="仿宋" w:eastAsia="仿宋" w:cs="仿宋"/>
                <w:color w:val="auto"/>
                <w:sz w:val="24"/>
                <w:szCs w:val="24"/>
              </w:rPr>
            </w:pPr>
          </w:p>
        </w:tc>
      </w:tr>
      <w:tr w14:paraId="0AFB0C05">
        <w:tblPrEx>
          <w:tblCellMar>
            <w:top w:w="0" w:type="dxa"/>
            <w:left w:w="108" w:type="dxa"/>
            <w:bottom w:w="0" w:type="dxa"/>
            <w:right w:w="108" w:type="dxa"/>
          </w:tblCellMar>
        </w:tblPrEx>
        <w:trPr>
          <w:trHeight w:val="454" w:hRule="atLeast"/>
          <w:jc w:val="center"/>
        </w:trPr>
        <w:tc>
          <w:tcPr>
            <w:tcW w:w="1114"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251EAF4">
            <w:pPr>
              <w:bidi w:val="0"/>
              <w:spacing w:line="240" w:lineRule="auto"/>
              <w:jc w:val="center"/>
              <w:rPr>
                <w:rFonts w:hint="eastAsia" w:ascii="仿宋" w:hAnsi="仿宋" w:eastAsia="仿宋" w:cs="仿宋"/>
                <w:color w:val="auto"/>
                <w:sz w:val="24"/>
                <w:szCs w:val="24"/>
              </w:rPr>
            </w:pPr>
          </w:p>
        </w:tc>
        <w:tc>
          <w:tcPr>
            <w:tcW w:w="2672" w:type="pct"/>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6EA0E51">
            <w:pPr>
              <w:bidi w:val="0"/>
              <w:spacing w:line="240" w:lineRule="auto"/>
              <w:jc w:val="both"/>
              <w:rPr>
                <w:rFonts w:hint="eastAsia" w:ascii="仿宋" w:hAnsi="仿宋" w:eastAsia="仿宋" w:cs="仿宋"/>
                <w:color w:val="auto"/>
                <w:sz w:val="24"/>
                <w:szCs w:val="24"/>
              </w:rPr>
            </w:pPr>
            <w:r>
              <w:rPr>
                <w:rFonts w:hint="eastAsia" w:ascii="仿宋" w:hAnsi="仿宋" w:eastAsia="仿宋" w:cs="仿宋"/>
                <w:color w:val="auto"/>
                <w:sz w:val="24"/>
                <w:szCs w:val="24"/>
              </w:rPr>
              <w:t>T工业技术</w:t>
            </w:r>
          </w:p>
        </w:tc>
        <w:tc>
          <w:tcPr>
            <w:tcW w:w="586"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F5EDC68">
            <w:pPr>
              <w:bidi w:val="0"/>
              <w:spacing w:line="240" w:lineRule="auto"/>
              <w:jc w:val="center"/>
              <w:rPr>
                <w:rFonts w:hint="eastAsia" w:ascii="仿宋" w:hAnsi="仿宋" w:eastAsia="仿宋" w:cs="仿宋"/>
                <w:color w:val="auto"/>
                <w:sz w:val="24"/>
                <w:szCs w:val="24"/>
              </w:rPr>
            </w:pPr>
          </w:p>
        </w:tc>
        <w:tc>
          <w:tcPr>
            <w:tcW w:w="626"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A2AA777">
            <w:pPr>
              <w:bidi w:val="0"/>
              <w:spacing w:line="240" w:lineRule="auto"/>
              <w:jc w:val="center"/>
              <w:rPr>
                <w:rFonts w:hint="eastAsia" w:ascii="仿宋" w:hAnsi="仿宋" w:eastAsia="仿宋" w:cs="仿宋"/>
                <w:color w:val="auto"/>
                <w:sz w:val="24"/>
                <w:szCs w:val="24"/>
              </w:rPr>
            </w:pPr>
          </w:p>
        </w:tc>
      </w:tr>
      <w:tr w14:paraId="73F04824">
        <w:tblPrEx>
          <w:tblCellMar>
            <w:top w:w="0" w:type="dxa"/>
            <w:left w:w="108" w:type="dxa"/>
            <w:bottom w:w="0" w:type="dxa"/>
            <w:right w:w="108" w:type="dxa"/>
          </w:tblCellMar>
        </w:tblPrEx>
        <w:trPr>
          <w:trHeight w:val="454" w:hRule="atLeast"/>
          <w:jc w:val="center"/>
        </w:trPr>
        <w:tc>
          <w:tcPr>
            <w:tcW w:w="1114"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3DAA3C3">
            <w:pPr>
              <w:bidi w:val="0"/>
              <w:spacing w:line="240" w:lineRule="auto"/>
              <w:jc w:val="center"/>
              <w:rPr>
                <w:rFonts w:hint="eastAsia" w:ascii="仿宋" w:hAnsi="仿宋" w:eastAsia="仿宋" w:cs="仿宋"/>
                <w:color w:val="auto"/>
                <w:sz w:val="24"/>
                <w:szCs w:val="24"/>
              </w:rPr>
            </w:pPr>
          </w:p>
        </w:tc>
        <w:tc>
          <w:tcPr>
            <w:tcW w:w="2672" w:type="pct"/>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857199C">
            <w:pPr>
              <w:bidi w:val="0"/>
              <w:spacing w:line="240" w:lineRule="auto"/>
              <w:jc w:val="both"/>
              <w:rPr>
                <w:rFonts w:hint="eastAsia" w:ascii="仿宋" w:hAnsi="仿宋" w:eastAsia="仿宋" w:cs="仿宋"/>
                <w:color w:val="auto"/>
                <w:sz w:val="24"/>
                <w:szCs w:val="24"/>
              </w:rPr>
            </w:pPr>
            <w:r>
              <w:rPr>
                <w:rFonts w:hint="eastAsia" w:ascii="仿宋" w:hAnsi="仿宋" w:eastAsia="仿宋" w:cs="仿宋"/>
                <w:color w:val="auto"/>
                <w:sz w:val="24"/>
                <w:szCs w:val="24"/>
              </w:rPr>
              <w:t>U交通运输</w:t>
            </w:r>
          </w:p>
        </w:tc>
        <w:tc>
          <w:tcPr>
            <w:tcW w:w="586"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3D735B9">
            <w:pPr>
              <w:bidi w:val="0"/>
              <w:spacing w:line="240" w:lineRule="auto"/>
              <w:jc w:val="center"/>
              <w:rPr>
                <w:rFonts w:hint="eastAsia" w:ascii="仿宋" w:hAnsi="仿宋" w:eastAsia="仿宋" w:cs="仿宋"/>
                <w:color w:val="auto"/>
                <w:sz w:val="24"/>
                <w:szCs w:val="24"/>
              </w:rPr>
            </w:pPr>
          </w:p>
        </w:tc>
        <w:tc>
          <w:tcPr>
            <w:tcW w:w="626"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ED97F47">
            <w:pPr>
              <w:bidi w:val="0"/>
              <w:spacing w:line="240" w:lineRule="auto"/>
              <w:jc w:val="center"/>
              <w:rPr>
                <w:rFonts w:hint="eastAsia" w:ascii="仿宋" w:hAnsi="仿宋" w:eastAsia="仿宋" w:cs="仿宋"/>
                <w:color w:val="auto"/>
                <w:sz w:val="24"/>
                <w:szCs w:val="24"/>
              </w:rPr>
            </w:pPr>
          </w:p>
        </w:tc>
      </w:tr>
      <w:tr w14:paraId="6C6F49AB">
        <w:tblPrEx>
          <w:tblCellMar>
            <w:top w:w="0" w:type="dxa"/>
            <w:left w:w="108" w:type="dxa"/>
            <w:bottom w:w="0" w:type="dxa"/>
            <w:right w:w="108" w:type="dxa"/>
          </w:tblCellMar>
        </w:tblPrEx>
        <w:trPr>
          <w:trHeight w:val="454" w:hRule="atLeast"/>
          <w:jc w:val="center"/>
        </w:trPr>
        <w:tc>
          <w:tcPr>
            <w:tcW w:w="1114"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C132C1A">
            <w:pPr>
              <w:bidi w:val="0"/>
              <w:spacing w:line="240" w:lineRule="auto"/>
              <w:jc w:val="center"/>
              <w:rPr>
                <w:rFonts w:hint="eastAsia" w:ascii="仿宋" w:hAnsi="仿宋" w:eastAsia="仿宋" w:cs="仿宋"/>
                <w:color w:val="auto"/>
                <w:sz w:val="24"/>
                <w:szCs w:val="24"/>
              </w:rPr>
            </w:pPr>
          </w:p>
        </w:tc>
        <w:tc>
          <w:tcPr>
            <w:tcW w:w="2672" w:type="pct"/>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EA7AD83">
            <w:pPr>
              <w:bidi w:val="0"/>
              <w:spacing w:line="240" w:lineRule="auto"/>
              <w:jc w:val="both"/>
              <w:rPr>
                <w:rFonts w:hint="eastAsia" w:ascii="仿宋" w:hAnsi="仿宋" w:eastAsia="仿宋" w:cs="仿宋"/>
                <w:color w:val="auto"/>
                <w:sz w:val="24"/>
                <w:szCs w:val="24"/>
              </w:rPr>
            </w:pPr>
            <w:r>
              <w:rPr>
                <w:rFonts w:hint="eastAsia" w:ascii="仿宋" w:hAnsi="仿宋" w:eastAsia="仿宋" w:cs="仿宋"/>
                <w:color w:val="auto"/>
                <w:sz w:val="24"/>
                <w:szCs w:val="24"/>
              </w:rPr>
              <w:t>V航空、航天</w:t>
            </w:r>
          </w:p>
        </w:tc>
        <w:tc>
          <w:tcPr>
            <w:tcW w:w="586"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1BBB767">
            <w:pPr>
              <w:bidi w:val="0"/>
              <w:spacing w:line="240" w:lineRule="auto"/>
              <w:jc w:val="center"/>
              <w:rPr>
                <w:rFonts w:hint="eastAsia" w:ascii="仿宋" w:hAnsi="仿宋" w:eastAsia="仿宋" w:cs="仿宋"/>
                <w:color w:val="auto"/>
                <w:sz w:val="24"/>
                <w:szCs w:val="24"/>
              </w:rPr>
            </w:pPr>
          </w:p>
        </w:tc>
        <w:tc>
          <w:tcPr>
            <w:tcW w:w="626"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2C790BC">
            <w:pPr>
              <w:bidi w:val="0"/>
              <w:spacing w:line="240" w:lineRule="auto"/>
              <w:jc w:val="center"/>
              <w:rPr>
                <w:rFonts w:hint="eastAsia" w:ascii="仿宋" w:hAnsi="仿宋" w:eastAsia="仿宋" w:cs="仿宋"/>
                <w:color w:val="auto"/>
                <w:sz w:val="24"/>
                <w:szCs w:val="24"/>
              </w:rPr>
            </w:pPr>
          </w:p>
        </w:tc>
      </w:tr>
      <w:tr w14:paraId="799A982E">
        <w:tblPrEx>
          <w:tblCellMar>
            <w:top w:w="0" w:type="dxa"/>
            <w:left w:w="108" w:type="dxa"/>
            <w:bottom w:w="0" w:type="dxa"/>
            <w:right w:w="108" w:type="dxa"/>
          </w:tblCellMar>
        </w:tblPrEx>
        <w:trPr>
          <w:trHeight w:val="454" w:hRule="atLeast"/>
          <w:jc w:val="center"/>
        </w:trPr>
        <w:tc>
          <w:tcPr>
            <w:tcW w:w="1114"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F18B760">
            <w:pPr>
              <w:bidi w:val="0"/>
              <w:spacing w:line="240" w:lineRule="auto"/>
              <w:jc w:val="center"/>
              <w:rPr>
                <w:rFonts w:hint="eastAsia" w:ascii="仿宋" w:hAnsi="仿宋" w:eastAsia="仿宋" w:cs="仿宋"/>
                <w:color w:val="auto"/>
                <w:sz w:val="24"/>
                <w:szCs w:val="24"/>
              </w:rPr>
            </w:pPr>
          </w:p>
        </w:tc>
        <w:tc>
          <w:tcPr>
            <w:tcW w:w="2672" w:type="pct"/>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23ABCE9">
            <w:pPr>
              <w:bidi w:val="0"/>
              <w:spacing w:line="240" w:lineRule="auto"/>
              <w:jc w:val="both"/>
              <w:rPr>
                <w:rFonts w:hint="eastAsia" w:ascii="仿宋" w:hAnsi="仿宋" w:eastAsia="仿宋" w:cs="仿宋"/>
                <w:color w:val="auto"/>
                <w:sz w:val="24"/>
                <w:szCs w:val="24"/>
              </w:rPr>
            </w:pPr>
            <w:r>
              <w:rPr>
                <w:rFonts w:hint="eastAsia" w:ascii="仿宋" w:hAnsi="仿宋" w:eastAsia="仿宋" w:cs="仿宋"/>
                <w:color w:val="auto"/>
                <w:sz w:val="24"/>
                <w:szCs w:val="24"/>
              </w:rPr>
              <w:t>X环境科学、安全科学</w:t>
            </w:r>
          </w:p>
        </w:tc>
        <w:tc>
          <w:tcPr>
            <w:tcW w:w="586"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63CA431">
            <w:pPr>
              <w:bidi w:val="0"/>
              <w:spacing w:line="240" w:lineRule="auto"/>
              <w:jc w:val="center"/>
              <w:rPr>
                <w:rFonts w:hint="eastAsia" w:ascii="仿宋" w:hAnsi="仿宋" w:eastAsia="仿宋" w:cs="仿宋"/>
                <w:color w:val="auto"/>
                <w:sz w:val="24"/>
                <w:szCs w:val="24"/>
              </w:rPr>
            </w:pPr>
          </w:p>
        </w:tc>
        <w:tc>
          <w:tcPr>
            <w:tcW w:w="626" w:type="pct"/>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BC848D8">
            <w:pPr>
              <w:bidi w:val="0"/>
              <w:spacing w:line="240" w:lineRule="auto"/>
              <w:jc w:val="center"/>
              <w:rPr>
                <w:rFonts w:hint="eastAsia" w:ascii="仿宋" w:hAnsi="仿宋" w:eastAsia="仿宋" w:cs="仿宋"/>
                <w:color w:val="auto"/>
                <w:sz w:val="24"/>
                <w:szCs w:val="24"/>
              </w:rPr>
            </w:pPr>
          </w:p>
        </w:tc>
      </w:tr>
      <w:tr w14:paraId="30694DD9">
        <w:tblPrEx>
          <w:tblCellMar>
            <w:top w:w="0" w:type="dxa"/>
            <w:left w:w="108" w:type="dxa"/>
            <w:bottom w:w="0" w:type="dxa"/>
            <w:right w:w="108" w:type="dxa"/>
          </w:tblCellMar>
        </w:tblPrEx>
        <w:trPr>
          <w:trHeight w:val="454" w:hRule="atLeast"/>
          <w:jc w:val="center"/>
        </w:trPr>
        <w:tc>
          <w:tcPr>
            <w:tcW w:w="1114"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5A49383">
            <w:pPr>
              <w:bidi w:val="0"/>
              <w:spacing w:line="240" w:lineRule="auto"/>
              <w:jc w:val="center"/>
              <w:rPr>
                <w:rFonts w:hint="eastAsia" w:ascii="仿宋" w:hAnsi="仿宋" w:eastAsia="仿宋" w:cs="仿宋"/>
                <w:color w:val="auto"/>
                <w:sz w:val="24"/>
                <w:szCs w:val="24"/>
              </w:rPr>
            </w:pPr>
            <w:r>
              <w:rPr>
                <w:rFonts w:hint="eastAsia" w:ascii="仿宋" w:hAnsi="仿宋" w:eastAsia="仿宋" w:cs="仿宋"/>
                <w:color w:val="auto"/>
                <w:sz w:val="24"/>
                <w:szCs w:val="24"/>
              </w:rPr>
              <w:t>第五大类</w:t>
            </w:r>
          </w:p>
        </w:tc>
        <w:tc>
          <w:tcPr>
            <w:tcW w:w="2672" w:type="pct"/>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3D3444F">
            <w:pPr>
              <w:bidi w:val="0"/>
              <w:spacing w:line="240" w:lineRule="auto"/>
              <w:jc w:val="both"/>
              <w:rPr>
                <w:rFonts w:hint="eastAsia" w:ascii="仿宋" w:hAnsi="仿宋" w:eastAsia="仿宋" w:cs="仿宋"/>
                <w:color w:val="auto"/>
                <w:sz w:val="24"/>
                <w:szCs w:val="24"/>
              </w:rPr>
            </w:pPr>
            <w:r>
              <w:rPr>
                <w:rFonts w:hint="eastAsia" w:ascii="仿宋" w:hAnsi="仿宋" w:eastAsia="仿宋" w:cs="仿宋"/>
                <w:color w:val="auto"/>
                <w:sz w:val="24"/>
                <w:szCs w:val="24"/>
              </w:rPr>
              <w:t>Z综合性图书</w:t>
            </w:r>
          </w:p>
        </w:tc>
        <w:tc>
          <w:tcPr>
            <w:tcW w:w="586"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7D7CEDC">
            <w:pPr>
              <w:bidi w:val="0"/>
              <w:spacing w:line="240" w:lineRule="auto"/>
              <w:jc w:val="center"/>
              <w:rPr>
                <w:rFonts w:hint="eastAsia" w:ascii="仿宋" w:hAnsi="仿宋" w:eastAsia="仿宋" w:cs="仿宋"/>
                <w:color w:val="auto"/>
                <w:sz w:val="24"/>
                <w:szCs w:val="24"/>
              </w:rPr>
            </w:pPr>
            <w:r>
              <w:rPr>
                <w:rFonts w:hint="eastAsia" w:ascii="仿宋" w:hAnsi="仿宋" w:eastAsia="仿宋" w:cs="仿宋"/>
                <w:color w:val="auto"/>
                <w:sz w:val="24"/>
                <w:szCs w:val="24"/>
              </w:rPr>
              <w:t>5%</w:t>
            </w:r>
          </w:p>
        </w:tc>
        <w:tc>
          <w:tcPr>
            <w:tcW w:w="626"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B4638DB">
            <w:pPr>
              <w:bidi w:val="0"/>
              <w:spacing w:line="240" w:lineRule="auto"/>
              <w:jc w:val="center"/>
              <w:rPr>
                <w:rFonts w:hint="eastAsia" w:ascii="仿宋" w:hAnsi="仿宋" w:eastAsia="仿宋" w:cs="仿宋"/>
                <w:color w:val="auto"/>
                <w:sz w:val="24"/>
                <w:szCs w:val="24"/>
              </w:rPr>
            </w:pPr>
            <w:r>
              <w:rPr>
                <w:rFonts w:hint="eastAsia" w:ascii="仿宋" w:hAnsi="仿宋" w:eastAsia="仿宋" w:cs="仿宋"/>
                <w:color w:val="auto"/>
                <w:sz w:val="24"/>
                <w:szCs w:val="24"/>
              </w:rPr>
              <w:t>4%</w:t>
            </w:r>
          </w:p>
        </w:tc>
      </w:tr>
    </w:tbl>
    <w:p w14:paraId="6E298C2C">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1）藏书结构参照藏书分类比例配备，做到馆藏书刊种类齐全、重点突出，复本适量；把《中小学图书馆(室)藏书分类比例表》仅作为学校图书馆馆藏建设的参考依据，合理配置纸质书刊，具体的以采购方提供的书目为准。</w:t>
      </w:r>
    </w:p>
    <w:p w14:paraId="4338A7A8">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2）严把质量关，确保馆藏质量。图书馆应建立和完善馆藏资源采购和配备办法，定期公告资源更新目录，注重听取师生意见，建立意见反馈机制，不断提高资源质量和适宜性。建立完善增新剔旧制度。严格图书审查，定期开展清理，严禁盗版图书等非法出版物及不适合学生阅读的出版物进入图书馆。</w:t>
      </w:r>
    </w:p>
    <w:p w14:paraId="17F5C98F">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3）在文献信息资源建设过程中应注意处理好以下几个关系：</w:t>
      </w:r>
    </w:p>
    <w:p w14:paraId="77D388C3">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①重点藏书与一般藏书的关系。与课程改革相关的教育教学理论和教学参考书籍、学生课外读物、各科工具书、与学校办学特色和培养对象相适应的图书为重点藏书，应予以重点保证。</w:t>
      </w:r>
    </w:p>
    <w:p w14:paraId="3C334113">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②品种与复本的关系。要做到品种丰富、复本适量，复本数≤5。</w:t>
      </w:r>
    </w:p>
    <w:p w14:paraId="4085D469">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③纸质文献与数字化文献资源的关系。在收藏纸质文献的基础上，需提供相应的电子版图书，逐步加强数字化文献资源的建设，注重质量，防止数字垃圾，并对多样化的信息资源进行系统整合。</w:t>
      </w:r>
    </w:p>
    <w:p w14:paraId="605FD511">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rPr>
      </w:pPr>
      <w:bookmarkStart w:id="0" w:name="bookmark8"/>
      <w:bookmarkEnd w:id="0"/>
      <w:bookmarkStart w:id="1" w:name="bookmark7"/>
      <w:bookmarkEnd w:id="1"/>
      <w:r>
        <w:rPr>
          <w:rFonts w:hint="eastAsia" w:ascii="仿宋" w:hAnsi="仿宋" w:eastAsia="仿宋" w:cs="仿宋"/>
          <w:color w:val="auto"/>
          <w:sz w:val="24"/>
          <w:szCs w:val="24"/>
        </w:rPr>
        <w:t>4）建设内容介绍</w:t>
      </w:r>
    </w:p>
    <w:p w14:paraId="33EC667D">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①纸质图书</w:t>
      </w:r>
    </w:p>
    <w:p w14:paraId="011AAEC9">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选书依据近3年出版的涉及学校开设的所有学科的适合师生阅读的正版图书，范围包括思想政治、红色文化、自然科学、人文科学、文学、艺术、语言、文字、体育（排球）、学科竞赛等方面书籍；参照2017年以来《全国中小学图书馆(室)推荐书目》、《中小学图书馆(室)配备核心书目》、《向全国青少年推荐百种优秀出版物》、《中小学生阅读指导目录》等；荣获全国优秀科技图书奖、全国优秀教育图书奖等书目。以全国百佳图书出版单位出版图书为主，辅以特色主题图书，如党政类、红色类、畅销文学类、教育教学类、人工智能类等。</w:t>
      </w:r>
    </w:p>
    <w:p w14:paraId="63B2B404">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供应的图书是符合国家标准以及教育部门规定的健康、正规出版物，杜绝涉嫌非法、违禁及低俗出版物进入选购书目，保证所供应图书的版本与进货来源合法，并对所供应的图书版本、知识产权、进货来源承担相应的法律责任。</w:t>
      </w:r>
    </w:p>
    <w:p w14:paraId="59DA47F7">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rPr>
      </w:pPr>
      <w:bookmarkStart w:id="2" w:name="32"/>
      <w:bookmarkEnd w:id="2"/>
      <w:bookmarkStart w:id="3" w:name="__RefHeading___Toc170292603"/>
      <w:bookmarkEnd w:id="3"/>
    </w:p>
    <w:p w14:paraId="5B453468">
      <w:pPr>
        <w:keepNext w:val="0"/>
        <w:keepLines w:val="0"/>
        <w:pageBreakBefore w:val="0"/>
        <w:widowControl/>
        <w:kinsoku w:val="0"/>
        <w:wordWrap/>
        <w:overflowPunct/>
        <w:topLinePunct w:val="0"/>
        <w:autoSpaceDE w:val="0"/>
        <w:autoSpaceDN w:val="0"/>
        <w:bidi w:val="0"/>
        <w:adjustRightInd w:val="0"/>
        <w:snapToGrid w:val="0"/>
        <w:spacing w:line="360" w:lineRule="auto"/>
        <w:ind w:firstLine="482" w:firstLineChars="200"/>
        <w:textAlignment w:val="baseline"/>
        <w:rPr>
          <w:rFonts w:hint="eastAsia" w:ascii="仿宋" w:hAnsi="仿宋" w:eastAsia="仿宋" w:cs="仿宋"/>
          <w:b/>
          <w:bCs/>
          <w:color w:val="auto"/>
          <w:sz w:val="24"/>
          <w:szCs w:val="24"/>
        </w:rPr>
      </w:pPr>
      <w:r>
        <w:rPr>
          <w:rFonts w:hint="eastAsia" w:ascii="仿宋" w:hAnsi="仿宋" w:eastAsia="仿宋" w:cs="仿宋"/>
          <w:b/>
          <w:bCs/>
          <w:color w:val="auto"/>
          <w:sz w:val="24"/>
          <w:szCs w:val="24"/>
        </w:rPr>
        <w:t>（</w:t>
      </w:r>
      <w:r>
        <w:rPr>
          <w:rFonts w:hint="eastAsia" w:ascii="仿宋" w:hAnsi="仿宋" w:eastAsia="仿宋" w:cs="仿宋"/>
          <w:b/>
          <w:bCs/>
          <w:color w:val="auto"/>
          <w:sz w:val="24"/>
          <w:szCs w:val="24"/>
          <w:lang w:val="en-US" w:eastAsia="zh-CN"/>
        </w:rPr>
        <w:t>二</w:t>
      </w:r>
      <w:r>
        <w:rPr>
          <w:rFonts w:hint="eastAsia" w:ascii="仿宋" w:hAnsi="仿宋" w:eastAsia="仿宋" w:cs="仿宋"/>
          <w:b/>
          <w:bCs/>
          <w:color w:val="auto"/>
          <w:sz w:val="24"/>
          <w:szCs w:val="24"/>
        </w:rPr>
        <w:t>）商务要求</w:t>
      </w:r>
      <w:bookmarkStart w:id="4" w:name="_GoBack"/>
      <w:bookmarkEnd w:id="4"/>
    </w:p>
    <w:p w14:paraId="6A58951D">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1</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交付时间：</w:t>
      </w:r>
    </w:p>
    <w:p w14:paraId="2D9A98F4">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发出</w:t>
      </w:r>
      <w:r>
        <w:rPr>
          <w:rFonts w:hint="eastAsia" w:ascii="仿宋" w:hAnsi="仿宋" w:eastAsia="仿宋" w:cs="仿宋"/>
          <w:color w:val="auto"/>
          <w:sz w:val="24"/>
          <w:szCs w:val="24"/>
          <w:lang w:eastAsia="zh-CN"/>
        </w:rPr>
        <w:t>成交通知书</w:t>
      </w:r>
      <w:r>
        <w:rPr>
          <w:rFonts w:hint="eastAsia" w:ascii="仿宋" w:hAnsi="仿宋" w:eastAsia="仿宋" w:cs="仿宋"/>
          <w:color w:val="auto"/>
          <w:sz w:val="24"/>
          <w:szCs w:val="24"/>
        </w:rPr>
        <w:t>后5日内签订合同，签订合同后20日内送到业主指定地点并完成供货及配合学校完成编目上架服务。期间所有安全责任由乙方负责，甲方不承担任何责任。</w:t>
      </w:r>
    </w:p>
    <w:p w14:paraId="5DC56A9B">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2</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采购形式和交货地点：</w:t>
      </w:r>
    </w:p>
    <w:p w14:paraId="01EB1E73">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采购形式：目录采购和现场采购。</w:t>
      </w:r>
    </w:p>
    <w:p w14:paraId="36B46027">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交货地点：所购图书按采购人要求送货到指定的地点。</w:t>
      </w:r>
    </w:p>
    <w:p w14:paraId="3C1047D2">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3</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履约保证金：</w:t>
      </w:r>
    </w:p>
    <w:p w14:paraId="73FEA2B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lang w:eastAsia="zh-CN"/>
        </w:rPr>
        <w:t>成交供应商</w:t>
      </w:r>
      <w:r>
        <w:rPr>
          <w:rFonts w:hint="eastAsia" w:ascii="仿宋" w:hAnsi="仿宋" w:eastAsia="仿宋" w:cs="仿宋"/>
          <w:color w:val="auto"/>
          <w:sz w:val="24"/>
          <w:szCs w:val="24"/>
        </w:rPr>
        <w:t>须按成交金额的5%缴纳履约保证金，由采购单位收取</w:t>
      </w:r>
      <w:r>
        <w:rPr>
          <w:rFonts w:hint="eastAsia" w:ascii="仿宋" w:hAnsi="仿宋" w:eastAsia="仿宋" w:cs="仿宋"/>
          <w:color w:val="auto"/>
          <w:sz w:val="24"/>
          <w:szCs w:val="24"/>
          <w:highlight w:val="none"/>
        </w:rPr>
        <w:t>，成交供应商</w:t>
      </w:r>
      <w:r>
        <w:rPr>
          <w:rFonts w:hint="eastAsia" w:ascii="仿宋" w:hAnsi="仿宋" w:eastAsia="仿宋" w:cs="仿宋"/>
          <w:color w:val="auto"/>
          <w:sz w:val="24"/>
          <w:szCs w:val="24"/>
          <w:highlight w:val="none"/>
          <w:lang w:val="en-US" w:eastAsia="zh-CN"/>
        </w:rPr>
        <w:t>可以采用</w:t>
      </w:r>
      <w:r>
        <w:rPr>
          <w:rFonts w:hint="eastAsia" w:ascii="仿宋" w:hAnsi="仿宋" w:eastAsia="仿宋" w:cs="仿宋"/>
          <w:color w:val="auto"/>
          <w:sz w:val="24"/>
          <w:szCs w:val="24"/>
          <w:highlight w:val="none"/>
        </w:rPr>
        <w:t>银行保函或银行转账方式缴纳至采购单位指定账户。</w:t>
      </w:r>
      <w:r>
        <w:rPr>
          <w:rFonts w:hint="eastAsia" w:ascii="仿宋" w:hAnsi="仿宋" w:eastAsia="仿宋" w:cs="仿宋"/>
          <w:color w:val="auto"/>
          <w:sz w:val="24"/>
          <w:szCs w:val="24"/>
        </w:rPr>
        <w:t>项目验合格后，根据有关部门出具的验收报告在5个工作日内一次性无息退还。</w:t>
      </w:r>
    </w:p>
    <w:p w14:paraId="53CCA10D">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4</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履约服务周期：</w:t>
      </w:r>
    </w:p>
    <w:p w14:paraId="4E2ED031">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签订合同日至所有图书采购和配合学校加工工作验收完成。</w:t>
      </w:r>
    </w:p>
    <w:p w14:paraId="4850ED87">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5</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付款方式：配合学校图书编目上架完成验收合格后支付总货款的95%;余款5%在验收完成两年后一次性付清（不计利息）。合同总金额包含设备费、运输费、装卸费、培训费、税金、售后维护、保修服务和其他涉及到的一切费用。</w:t>
      </w:r>
    </w:p>
    <w:p w14:paraId="57E0554B">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6</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交货要求：</w:t>
      </w:r>
    </w:p>
    <w:p w14:paraId="184DA6B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1）供应商应按照承诺的供货率供货。若图书供货率低于投标承诺率或逾期供货，采购人除扣除本次订单书款总额5%作为罚金以外，还有权扣除5%的履约保证金作为违约金（除推迟出版或发生影响合同履行的不可抗力情况以外）。在供货期间，如出现供货率不达标或逾期等情况合计5次的，采购人均可认定该供应商已不具备供货条件，采购人有权要求终止供货，因终止供货而造成的一切损失由供应商承担。</w:t>
      </w:r>
    </w:p>
    <w:p w14:paraId="1359E9E3">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2）如发生上述情况，采购人有权采取相应的补救措施，由此给采购人造成的各项损失或增加的各项费用（如折扣损失、邮费、数据费、加工费）等均由违约的供应商承担。</w:t>
      </w:r>
    </w:p>
    <w:p w14:paraId="49CBE702">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7</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验收：</w:t>
      </w:r>
    </w:p>
    <w:p w14:paraId="7D28C300">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1)各类文献到馆验收及加工过程中时，如发现缺页、污损以及非采购人所购或重复订购的图书的情况，供应商应予无条件调换或退回，新书发错率应低于1‰；</w:t>
      </w:r>
    </w:p>
    <w:p w14:paraId="382F9674">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2)如果在验收过程中，同一批次采购中出现5％与订购清单不符，采购人有权退回该批次全部图书。如果同一供应商累计出现5批全部被退现象，采购人有权与该供应商解除合同，因此产生的一切经济损失由供应商自己承担；</w:t>
      </w:r>
    </w:p>
    <w:p w14:paraId="46B3B031">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3)因供应商图书信息不明确或错误而导致的采购人误订购图书，图书到货后，采购人可以退货，供应商不得拒绝。</w:t>
      </w:r>
    </w:p>
    <w:p w14:paraId="6E1BE339">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color w:val="auto"/>
          <w:sz w:val="24"/>
          <w:szCs w:val="24"/>
        </w:rPr>
      </w:pPr>
      <w:r>
        <w:rPr>
          <w:rFonts w:hint="eastAsia" w:ascii="仿宋" w:hAnsi="仿宋" w:eastAsia="仿宋" w:cs="仿宋"/>
          <w:color w:val="auto"/>
          <w:sz w:val="24"/>
          <w:szCs w:val="24"/>
        </w:rPr>
        <w:t>8</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知识产权归属及处理方法：</w:t>
      </w:r>
    </w:p>
    <w:p w14:paraId="29D28932">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pPr>
      <w:r>
        <w:rPr>
          <w:rFonts w:hint="eastAsia" w:ascii="仿宋" w:hAnsi="仿宋" w:eastAsia="仿宋" w:cs="仿宋"/>
          <w:color w:val="auto"/>
          <w:sz w:val="24"/>
          <w:szCs w:val="24"/>
        </w:rPr>
        <w:t>供应商应保护采购人在使用供应商提供的货物和服务时不受第三方提出侵犯专利权、商标权、著作权或其它知识产权起诉的指控。如果任何第三方提出侵权指控，供应商须与第三方交涉并承担可能发生的一切法律责任和费用。</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F68584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2026-07-02T01:49:19Z</dcterms:created>
  <dc:creator>Administrator</dc:creator>
  <cp:lastModifiedBy>Administrator</cp:lastModifiedBy>
  <dcterms:modified xsi:type="dcterms:W3CDTF">2026-07-02T01:49:44Z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eyJoZGlkIjoiMjZkNDczNGU5Mzg5YjY1ZTAwMjJiNTNjYzIwMTY1N2YiLCJ1c2VySWQiOiIzMzc3ODQ4NjYifQ==</vt:lpwstr>
  </property>
  <property fmtid="{D5CDD505-2E9C-101B-9397-08002B2CF9AE}" pid="4" name="ICV">
    <vt:lpwstr>B748FDF67AC64C5D913381B96FBAF4ED_12</vt:lpwstr>
  </property>
</Properties>
</file>