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432288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43348F52">
            <w:pPr>
              <w:widowControl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bookmarkStart w:id="0" w:name="_GoBack"/>
            <w:r>
              <w:rPr>
                <w:color w:val="auto"/>
                <w:highlight w:val="none"/>
                <w:lang w:eastAsia="zh-CN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0"/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085D7E7B">
            <w:pPr>
              <w:pStyle w:val="5"/>
              <w:widowControl w:val="0"/>
              <w:spacing w:line="245" w:lineRule="auto"/>
              <w:rPr>
                <w:color w:val="auto"/>
                <w:highlight w:val="none"/>
              </w:rPr>
            </w:pPr>
          </w:p>
          <w:p w14:paraId="6D4C79ED">
            <w:pPr>
              <w:pStyle w:val="5"/>
              <w:widowControl w:val="0"/>
              <w:spacing w:line="246" w:lineRule="auto"/>
              <w:rPr>
                <w:color w:val="auto"/>
                <w:highlight w:val="none"/>
              </w:rPr>
            </w:pPr>
          </w:p>
          <w:p w14:paraId="296936D3">
            <w:pPr>
              <w:widowControl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7D20B32B">
            <w:pPr>
              <w:pStyle w:val="5"/>
              <w:widowControl w:val="0"/>
              <w:spacing w:line="338" w:lineRule="auto"/>
              <w:rPr>
                <w:color w:val="auto"/>
                <w:highlight w:val="none"/>
              </w:rPr>
            </w:pPr>
          </w:p>
          <w:p w14:paraId="2EC98EB6">
            <w:pPr>
              <w:widowControl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3DFFD051">
            <w:pPr>
              <w:pStyle w:val="5"/>
              <w:widowControl w:val="0"/>
              <w:spacing w:line="263" w:lineRule="auto"/>
              <w:rPr>
                <w:color w:val="auto"/>
                <w:highlight w:val="none"/>
              </w:rPr>
            </w:pPr>
          </w:p>
          <w:p w14:paraId="67F88372">
            <w:pPr>
              <w:pStyle w:val="5"/>
              <w:widowControl w:val="0"/>
              <w:spacing w:line="263" w:lineRule="auto"/>
              <w:rPr>
                <w:color w:val="auto"/>
                <w:highlight w:val="none"/>
              </w:rPr>
            </w:pPr>
          </w:p>
          <w:p w14:paraId="20012FFF">
            <w:pPr>
              <w:pStyle w:val="5"/>
              <w:widowControl w:val="0"/>
              <w:spacing w:line="264" w:lineRule="auto"/>
              <w:rPr>
                <w:color w:val="auto"/>
                <w:highlight w:val="none"/>
              </w:rPr>
            </w:pPr>
          </w:p>
          <w:p w14:paraId="4323F8D0">
            <w:pPr>
              <w:widowControl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</w:tcPr>
          <w:p w14:paraId="6DD47D22">
            <w:pPr>
              <w:pStyle w:val="5"/>
              <w:widowControl w:val="0"/>
              <w:rPr>
                <w:color w:val="auto"/>
                <w:highlight w:val="none"/>
                <w:lang w:eastAsia="zh-CN"/>
              </w:rPr>
            </w:pPr>
          </w:p>
          <w:p w14:paraId="5DD7FDC1">
            <w:pPr>
              <w:pStyle w:val="5"/>
              <w:widowControl w:val="0"/>
              <w:rPr>
                <w:color w:val="auto"/>
                <w:highlight w:val="none"/>
                <w:lang w:eastAsia="zh-CN"/>
              </w:rPr>
            </w:pPr>
          </w:p>
          <w:p w14:paraId="6CAE8177">
            <w:pPr>
              <w:pStyle w:val="5"/>
              <w:widowControl w:val="0"/>
              <w:rPr>
                <w:color w:val="auto"/>
                <w:highlight w:val="none"/>
                <w:lang w:eastAsia="zh-CN"/>
              </w:rPr>
            </w:pPr>
          </w:p>
          <w:p w14:paraId="1FE8410F">
            <w:pPr>
              <w:pStyle w:val="5"/>
              <w:widowControl w:val="0"/>
              <w:rPr>
                <w:color w:val="auto"/>
                <w:highlight w:val="none"/>
                <w:lang w:eastAsia="zh-CN"/>
              </w:rPr>
            </w:pPr>
          </w:p>
          <w:p w14:paraId="763B44CD">
            <w:pPr>
              <w:pStyle w:val="5"/>
              <w:widowControl w:val="0"/>
              <w:jc w:val="center"/>
              <w:rPr>
                <w:color w:val="auto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吉安市中等专业学校物业管理服务采购项目</w:t>
            </w:r>
          </w:p>
        </w:tc>
      </w:tr>
      <w:tr w14:paraId="418BF0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71EB9EA2">
            <w:pPr>
              <w:widowControl w:val="0"/>
              <w:spacing w:before="253" w:line="219" w:lineRule="auto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</w:tcPr>
          <w:p w14:paraId="6DB96192">
            <w:pPr>
              <w:widowControl w:val="0"/>
              <w:spacing w:before="256" w:line="219" w:lineRule="auto"/>
              <w:jc w:val="center"/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  <w:t>1项</w:t>
            </w:r>
          </w:p>
        </w:tc>
      </w:tr>
      <w:tr w14:paraId="50F37C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2C35F431">
            <w:pPr>
              <w:widowControl w:val="0"/>
              <w:spacing w:before="253" w:line="360" w:lineRule="auto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lang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</w:tcPr>
          <w:p w14:paraId="2B67C32B">
            <w:pPr>
              <w:widowControl w:val="0"/>
              <w:spacing w:line="360" w:lineRule="auto"/>
              <w:ind w:firstLine="480" w:firstLineChars="200"/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合同履行期限:第一年服务期自合同约定起始日期起至次年该起始日前一日止(具体以合同约定为准)，采购合同一年一签。合同期满后，在年度预算保障的前提下，经采购人考核合格(根据考核办法，考评月平均得分加上师生满意度调查平均得分达90分及以上)，并经双方协商一致，可续签下一年度合同，续签合同不超过两年。如未达到90分(含)，采购人有权终止合同。</w:t>
            </w:r>
          </w:p>
        </w:tc>
      </w:tr>
      <w:tr w14:paraId="32D32F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2967A74E">
            <w:pPr>
              <w:widowControl w:val="0"/>
              <w:spacing w:before="256" w:line="219" w:lineRule="auto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</w:tcPr>
          <w:p w14:paraId="0CCA5302">
            <w:pPr>
              <w:widowControl w:val="0"/>
              <w:spacing w:before="256" w:line="219" w:lineRule="auto"/>
              <w:jc w:val="center"/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  <w:t>采购人指定地点（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吉安市中等专业学校</w:t>
            </w: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  <w:t>）。</w:t>
            </w:r>
          </w:p>
        </w:tc>
      </w:tr>
      <w:tr w14:paraId="4C3E77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7" w:hRule="atLeast"/>
        </w:trPr>
        <w:tc>
          <w:tcPr>
            <w:tcW w:w="2865" w:type="dxa"/>
            <w:gridSpan w:val="2"/>
          </w:tcPr>
          <w:p w14:paraId="7C40EBF8">
            <w:pPr>
              <w:widowControl w:val="0"/>
              <w:spacing w:before="256" w:line="221" w:lineRule="auto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</w:tcPr>
          <w:p w14:paraId="43B44FB0">
            <w:pPr>
              <w:widowControl w:val="0"/>
              <w:spacing w:before="256" w:line="219" w:lineRule="auto"/>
              <w:jc w:val="center"/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  <w:t>/</w:t>
            </w:r>
          </w:p>
        </w:tc>
      </w:tr>
    </w:tbl>
    <w:p w14:paraId="72869A7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A4E2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2026-07-01T12:04:44Z</dcterms:created>
  <dc:creator>taihua</dc:creator>
  <cp:lastModifiedBy>taihua</cp:lastModifiedBy>
  <dcterms:modified xsi:type="dcterms:W3CDTF">2026-07-01T12:04:59Z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eyJoZGlkIjoiYTUxZTBjOGY1MjkzMDkwODMxNmNiZjc0OTg4NTdlNDciLCJ1c2VySWQiOiI0NjEzODQwIn0=</vt:lpwstr>
  </property>
  <property fmtid="{D5CDD505-2E9C-101B-9397-08002B2CF9AE}" pid="4" name="ICV">
    <vt:lpwstr>5C90D6336DFE4BDABC242BBED9F8E9B9_12</vt:lpwstr>
  </property>
</Properties>
</file>