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94FDD6">
      <w:pPr>
        <w:pStyle w:val="3"/>
        <w:rPr>
          <w:highlight w:val="none"/>
          <w:lang w:eastAsia="zh-CN"/>
        </w:rPr>
      </w:pPr>
      <w:bookmarkStart w:id="0" w:name="_Toc21782"/>
      <w:bookmarkStart w:id="1" w:name="_Toc1102"/>
      <w:bookmarkStart w:id="2" w:name="_Toc98514396"/>
      <w:r>
        <w:rPr>
          <w:rFonts w:hint="eastAsia"/>
          <w:highlight w:val="none"/>
          <w:lang w:eastAsia="zh-CN"/>
        </w:rPr>
        <w:t>一、标的清单</w:t>
      </w:r>
      <w:bookmarkEnd w:id="0"/>
    </w:p>
    <w:tbl>
      <w:tblPr>
        <w:tblStyle w:val="5"/>
        <w:tblW w:w="9778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"/>
        <w:gridCol w:w="4894"/>
        <w:gridCol w:w="650"/>
        <w:gridCol w:w="700"/>
        <w:gridCol w:w="2972"/>
      </w:tblGrid>
      <w:tr w14:paraId="5F352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562" w:type="dxa"/>
            <w:vAlign w:val="center"/>
          </w:tcPr>
          <w:p w14:paraId="735D1AFC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4894" w:type="dxa"/>
            <w:vAlign w:val="center"/>
          </w:tcPr>
          <w:p w14:paraId="6566258C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3" w:name="_Toc4137"/>
            <w:r>
              <w:rPr>
                <w:rFonts w:hint="eastAsia"/>
                <w:b/>
                <w:bCs/>
                <w:color w:val="000000" w:themeColor="text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采购标的名称</w:t>
            </w:r>
            <w:bookmarkEnd w:id="3"/>
          </w:p>
        </w:tc>
        <w:tc>
          <w:tcPr>
            <w:tcW w:w="650" w:type="dxa"/>
            <w:vAlign w:val="center"/>
          </w:tcPr>
          <w:p w14:paraId="0364E4E3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700" w:type="dxa"/>
            <w:vAlign w:val="center"/>
          </w:tcPr>
          <w:p w14:paraId="15B536AA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2972" w:type="dxa"/>
            <w:vAlign w:val="center"/>
          </w:tcPr>
          <w:p w14:paraId="0C625AD2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采购标的对应的</w:t>
            </w:r>
          </w:p>
          <w:p w14:paraId="21ED3268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 w:themeColor="text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中小企业划分标准所属行业</w:t>
            </w:r>
          </w:p>
        </w:tc>
      </w:tr>
      <w:tr w14:paraId="415EA5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562" w:type="dxa"/>
            <w:vAlign w:val="center"/>
          </w:tcPr>
          <w:p w14:paraId="6EE6650C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asciiTheme="majorEastAsia" w:hAnsiTheme="majorEastAsia" w:eastAsiaTheme="majorEastAsia" w:cstheme="majorEastAsia"/>
                <w:szCs w:val="21"/>
                <w:highlight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highlight w:val="none"/>
              </w:rPr>
              <w:t>1</w:t>
            </w:r>
          </w:p>
        </w:tc>
        <w:tc>
          <w:tcPr>
            <w:tcW w:w="4894" w:type="dxa"/>
            <w:vAlign w:val="center"/>
          </w:tcPr>
          <w:p w14:paraId="41877D82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asciiTheme="majorEastAsia" w:hAnsiTheme="majorEastAsia" w:eastAsiaTheme="majorEastAsia" w:cstheme="majorEastAsia"/>
                <w:szCs w:val="21"/>
                <w:highlight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highlight w:val="none"/>
              </w:rPr>
              <w:t>赣南医科大学蓉江校区第一教学楼、图书馆公共卫生间提升改造及实验动物楼洁净板修缮工程项目</w:t>
            </w:r>
          </w:p>
        </w:tc>
        <w:tc>
          <w:tcPr>
            <w:tcW w:w="650" w:type="dxa"/>
            <w:vAlign w:val="center"/>
          </w:tcPr>
          <w:p w14:paraId="58A556E0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hint="eastAsia" w:asciiTheme="majorEastAsia" w:hAnsiTheme="majorEastAsia" w:eastAsiaTheme="majorEastAsia" w:cstheme="majorEastAsia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700" w:type="dxa"/>
            <w:vAlign w:val="center"/>
          </w:tcPr>
          <w:p w14:paraId="659C5F65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hint="eastAsia" w:asciiTheme="majorEastAsia" w:hAnsiTheme="majorEastAsia" w:eastAsiaTheme="majorEastAsia" w:cstheme="majorEastAsia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highlight w:val="none"/>
                <w:lang w:val="en-US" w:eastAsia="zh-CN"/>
              </w:rPr>
              <w:t>项</w:t>
            </w:r>
          </w:p>
        </w:tc>
        <w:tc>
          <w:tcPr>
            <w:tcW w:w="2972" w:type="dxa"/>
            <w:vAlign w:val="center"/>
          </w:tcPr>
          <w:p w14:paraId="65D58B3C">
            <w:pPr>
              <w:kinsoku w:val="0"/>
              <w:wordWrap w:val="0"/>
              <w:topLinePunct/>
              <w:spacing w:line="460" w:lineRule="exact"/>
              <w:ind w:firstLine="0" w:firstLineChars="0"/>
              <w:jc w:val="center"/>
              <w:rPr>
                <w:rFonts w:hint="eastAsia" w:asciiTheme="majorEastAsia" w:hAnsiTheme="majorEastAsia" w:eastAsiaTheme="majorEastAsia" w:cstheme="majorEastAsia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highlight w:val="none"/>
                <w:lang w:val="en-US" w:eastAsia="zh-CN"/>
              </w:rPr>
              <w:t>建筑业</w:t>
            </w:r>
          </w:p>
        </w:tc>
      </w:tr>
    </w:tbl>
    <w:p w14:paraId="0CCC9E97">
      <w:pPr>
        <w:pStyle w:val="3"/>
        <w:rPr>
          <w:highlight w:val="none"/>
          <w:lang w:eastAsia="zh-CN"/>
        </w:rPr>
      </w:pPr>
      <w:bookmarkStart w:id="4" w:name="_Toc26696"/>
      <w:r>
        <w:rPr>
          <w:rFonts w:hint="eastAsia"/>
          <w:highlight w:val="none"/>
          <w:lang w:eastAsia="zh-CN"/>
        </w:rPr>
        <w:t>二、技术要求</w:t>
      </w:r>
      <w:bookmarkEnd w:id="1"/>
      <w:bookmarkEnd w:id="2"/>
      <w:bookmarkEnd w:id="4"/>
    </w:p>
    <w:p w14:paraId="7F80EE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bookmarkStart w:id="5" w:name="_Hlk99191854"/>
      <w:bookmarkStart w:id="6" w:name="_Hlk99134230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1、工程概况：</w:t>
      </w:r>
    </w:p>
    <w:p w14:paraId="7C15C3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1）工程名称：蓉江校区第一教学楼、图书馆公共卫生间提升改造及实验动物楼洁净板修缮工程</w:t>
      </w:r>
    </w:p>
    <w:p w14:paraId="1B0453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）本工程为蓉江校区第一教学楼、图书馆公共卫生间提升改造及实验动物楼洁净板修缮工程，包含实验动物楼一层至三层生锈、损坏的彩钢板吊顶更换；第一教学楼公共卫生间整体提升改造,含墙地面、吊顶、洁具、隔断、门窗及水电系统；图书馆公共卫生间隔板更换、卫生间门更换等。</w:t>
      </w:r>
    </w:p>
    <w:p w14:paraId="425A37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2、编制依据：</w:t>
      </w:r>
    </w:p>
    <w:p w14:paraId="601DC0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1）施工图设计文件；</w:t>
      </w:r>
    </w:p>
    <w:p w14:paraId="400CA6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2）国家、省、市有关文件及规定；</w:t>
      </w:r>
    </w:p>
    <w:p w14:paraId="39BD0C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3）《建设工程工程量清单计价规范》（GB/T50500-2024）、《江西省房屋建筑与装饰工程消耗量定额及统一基价表》（2017 版）、《江西省通用安装工程消耗量定额及统一基价表》（2017 版）</w:t>
      </w:r>
    </w:p>
    <w:p w14:paraId="2BE96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4）根据《关于重新调整江西省建设工程计价依据增值税税率的通知》赣建价[2019]1 号规定，本工程增值税率按 9%计算；</w:t>
      </w:r>
    </w:p>
    <w:p w14:paraId="0765E4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5）人工按赣建城镇〔2025〕50 号关于贯彻执行 2024 版《建设工程工程量清单计价标准》及配套工程量计算标准的实施意见计取；</w:t>
      </w:r>
    </w:p>
    <w:p w14:paraId="3DB81D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6）材料调差执行江西省 2026 年 5 月份的江西省造价信息赣州、南昌信息价；不足的部分按市场价。</w:t>
      </w:r>
    </w:p>
    <w:p w14:paraId="327F9D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3、编制说明：</w:t>
      </w:r>
    </w:p>
    <w:p w14:paraId="47D9B3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1）垃圾外运运距综合考虑；</w:t>
      </w:r>
    </w:p>
    <w:p w14:paraId="434FD5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2）根据业主意见，图书馆卫生间大便器水箱取消更换；</w:t>
      </w:r>
    </w:p>
    <w:p w14:paraId="533EE5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3）根据业主意见，第一教学楼门窗更换图中QM02（子母门）取消更换；</w:t>
      </w:r>
    </w:p>
    <w:p w14:paraId="2D3595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4）根据设计回复，第一教学楼A1卫生间“主要构造材料做法表-墙面构造做法”中第 6 条 20 厚 1：2.5 水泥砂浆抹灰取消；</w:t>
      </w:r>
    </w:p>
    <w:p w14:paraId="0131D2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5）根据设计回复，实验动物楼平面图中根据图例所示位置吊顶全部更换；</w:t>
      </w:r>
    </w:p>
    <w:p w14:paraId="28F84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6）根据设计回复，卫生间隔断拆除高度至吊顶高度；</w:t>
      </w:r>
    </w:p>
    <w:p w14:paraId="1C3F40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7）暂列金暂按 2 万元计取。</w:t>
      </w:r>
    </w:p>
    <w:p w14:paraId="2CB865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default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4、工程量清单</w:t>
      </w:r>
    </w:p>
    <w:p w14:paraId="7891C8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以附件形式上传。</w:t>
      </w:r>
    </w:p>
    <w:p w14:paraId="1ECFB817">
      <w:pPr>
        <w:widowControl w:val="0"/>
        <w:autoSpaceDE/>
        <w:autoSpaceDN/>
        <w:adjustRightInd/>
        <w:snapToGrid/>
        <w:spacing w:line="460" w:lineRule="exact"/>
        <w:ind w:firstLine="0" w:firstLineChars="0"/>
        <w:jc w:val="both"/>
        <w:textAlignment w:val="auto"/>
        <w:rPr>
          <w:rFonts w:hint="eastAsia" w:cs="Times New Roman"/>
          <w:b/>
          <w:snapToGrid/>
          <w:color w:val="auto"/>
          <w:kern w:val="2"/>
          <w:szCs w:val="21"/>
          <w:highlight w:val="none"/>
          <w:lang w:eastAsia="zh-CN"/>
        </w:rPr>
      </w:pPr>
    </w:p>
    <w:p w14:paraId="03B899FA">
      <w:pPr>
        <w:widowControl w:val="0"/>
        <w:autoSpaceDE/>
        <w:autoSpaceDN/>
        <w:adjustRightInd/>
        <w:snapToGrid/>
        <w:spacing w:line="460" w:lineRule="exact"/>
        <w:ind w:firstLine="0" w:firstLineChars="0"/>
        <w:jc w:val="both"/>
        <w:textAlignment w:val="auto"/>
        <w:rPr>
          <w:rFonts w:hint="eastAsia" w:cs="Times New Roman"/>
          <w:b/>
          <w:snapToGrid/>
          <w:color w:val="auto"/>
          <w:kern w:val="2"/>
          <w:szCs w:val="21"/>
          <w:highlight w:val="none"/>
          <w:lang w:eastAsia="zh-CN"/>
        </w:rPr>
      </w:pPr>
    </w:p>
    <w:p w14:paraId="290AE584">
      <w:pPr>
        <w:widowControl w:val="0"/>
        <w:autoSpaceDE/>
        <w:autoSpaceDN/>
        <w:adjustRightInd/>
        <w:snapToGrid/>
        <w:spacing w:line="460" w:lineRule="exact"/>
        <w:ind w:firstLine="0" w:firstLineChars="0"/>
        <w:jc w:val="both"/>
        <w:textAlignment w:val="auto"/>
        <w:rPr>
          <w:rFonts w:cs="Times New Roman"/>
          <w:b/>
          <w:szCs w:val="20"/>
          <w:highlight w:val="none"/>
          <w:lang w:eastAsia="zh-CN"/>
        </w:rPr>
      </w:pPr>
      <w:r>
        <w:rPr>
          <w:rFonts w:hint="eastAsia" w:cs="Times New Roman"/>
          <w:b/>
          <w:snapToGrid/>
          <w:color w:val="auto"/>
          <w:kern w:val="2"/>
          <w:szCs w:val="21"/>
          <w:highlight w:val="none"/>
          <w:lang w:eastAsia="zh-CN"/>
        </w:rPr>
        <w:t>注：以上“技术要求”为实质性要求，必须完全满足，否则响应无效。</w:t>
      </w:r>
      <w:bookmarkEnd w:id="5"/>
    </w:p>
    <w:bookmarkEnd w:id="6"/>
    <w:p w14:paraId="279B9454">
      <w:bookmarkStart w:id="7" w:name="_GoBack"/>
      <w:bookmarkEnd w:id="7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80"/>
      </w:pPr>
      <w:r>
        <w:separator/>
      </w:r>
    </w:p>
  </w:footnote>
  <w:footnote w:type="continuationSeparator" w:id="1">
    <w:p>
      <w:pPr>
        <w:spacing w:line="24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EB2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utoSpaceDE w:val="0"/>
      <w:autoSpaceDN w:val="0"/>
      <w:adjustRightInd w:val="0"/>
      <w:snapToGrid w:val="0"/>
      <w:spacing w:line="460" w:lineRule="atLeast"/>
      <w:ind w:firstLine="480" w:firstLineChars="200"/>
      <w:textAlignment w:val="baseline"/>
    </w:pPr>
    <w:rPr>
      <w:rFonts w:ascii="宋体" w:hAnsi="宋体" w:eastAsia="宋体" w:cs="宋体"/>
      <w:snapToGrid w:val="0"/>
      <w:color w:val="000000"/>
      <w:sz w:val="24"/>
      <w:szCs w:val="24"/>
      <w:lang w:val="en-US" w:eastAsia="en-US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spacing w:line="460" w:lineRule="exact"/>
      <w:ind w:firstLine="0" w:firstLineChars="0"/>
      <w:jc w:val="center"/>
      <w:outlineLvl w:val="1"/>
    </w:pPr>
    <w:rPr>
      <w:b/>
      <w:bCs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table" w:styleId="5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2026-07-01T09:47:06Z</dcterms:created>
  <dc:creator>Administrator</dc:creator>
  <cp:lastModifiedBy>鼎跃</cp:lastModifiedBy>
  <dcterms:modified xsi:type="dcterms:W3CDTF">2026-07-01T09:47:17Z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eyJoZGlkIjoiOTExZTBkYjM3NGJmY2I0MTc2N2Q0NTNjNTFhNjAxYjkiLCJ1c2VySWQiOiI0NTczODY4MTgifQ==</vt:lpwstr>
  </property>
  <property fmtid="{D5CDD505-2E9C-101B-9397-08002B2CF9AE}" pid="4" name="ICV">
    <vt:lpwstr>41AB85906485491EBCEFB2D9D8A4AB9C_12</vt:lpwstr>
  </property>
</Properties>
</file>