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760A30">
      <w:pPr>
        <w:pStyle w:val="2"/>
        <w:numPr>
          <w:ilvl w:val="0"/>
          <w:numId w:val="1"/>
        </w:numPr>
        <w:spacing w:line="360" w:lineRule="auto"/>
        <w:jc w:val="center"/>
        <w:rPr>
          <w:rFonts w:hint="eastAsia" w:ascii="仿宋" w:hAnsi="仿宋" w:eastAsia="仿宋"/>
          <w:color w:val="auto"/>
          <w:kern w:val="0"/>
          <w:highlight w:val="none"/>
        </w:rPr>
      </w:pPr>
      <w:bookmarkStart w:id="0" w:name="_Toc23653"/>
      <w:r>
        <w:rPr>
          <w:rFonts w:hint="eastAsia" w:ascii="仿宋" w:hAnsi="仿宋" w:eastAsia="仿宋"/>
          <w:color w:val="auto"/>
          <w:kern w:val="0"/>
          <w:highlight w:val="none"/>
        </w:rPr>
        <w:t>采购项目需求</w:t>
      </w:r>
      <w:bookmarkEnd w:id="0"/>
    </w:p>
    <w:p w14:paraId="1B20DC2D">
      <w:pPr>
        <w:snapToGrid w:val="0"/>
        <w:spacing w:line="360" w:lineRule="auto"/>
        <w:ind w:firstLine="562" w:firstLineChars="200"/>
        <w:rPr>
          <w:rFonts w:ascii="仿宋" w:hAnsi="仿宋" w:eastAsia="仿宋"/>
          <w:color w:val="auto"/>
          <w:kern w:val="0"/>
          <w:sz w:val="28"/>
          <w:szCs w:val="28"/>
          <w:highlight w:val="none"/>
        </w:rPr>
      </w:pPr>
      <w:r>
        <w:rPr>
          <w:rFonts w:hint="eastAsia" w:ascii="仿宋" w:hAnsi="仿宋" w:eastAsia="仿宋"/>
          <w:b/>
          <w:bCs/>
          <w:color w:val="auto"/>
          <w:kern w:val="0"/>
          <w:sz w:val="28"/>
          <w:szCs w:val="28"/>
          <w:highlight w:val="none"/>
          <w:lang w:eastAsia="zh-CN"/>
        </w:rPr>
        <w:t>一、</w:t>
      </w:r>
      <w:r>
        <w:rPr>
          <w:rFonts w:hint="eastAsia" w:ascii="仿宋" w:hAnsi="仿宋" w:eastAsia="仿宋"/>
          <w:color w:val="auto"/>
          <w:kern w:val="0"/>
          <w:sz w:val="28"/>
          <w:szCs w:val="28"/>
          <w:highlight w:val="none"/>
        </w:rPr>
        <w:t>供应商提供服务须符合国家质量验收合格标准。</w:t>
      </w:r>
    </w:p>
    <w:p w14:paraId="30D4A476">
      <w:pPr>
        <w:snapToGrid w:val="0"/>
        <w:spacing w:line="360" w:lineRule="auto"/>
        <w:ind w:firstLine="562" w:firstLineChars="200"/>
        <w:rPr>
          <w:rFonts w:ascii="仿宋" w:hAnsi="仿宋" w:eastAsia="仿宋"/>
          <w:color w:val="auto"/>
          <w:kern w:val="0"/>
          <w:sz w:val="28"/>
          <w:szCs w:val="28"/>
          <w:highlight w:val="none"/>
        </w:rPr>
      </w:pPr>
      <w:r>
        <w:rPr>
          <w:rFonts w:hint="eastAsia" w:ascii="仿宋" w:hAnsi="仿宋" w:eastAsia="仿宋"/>
          <w:b/>
          <w:bCs/>
          <w:color w:val="auto"/>
          <w:kern w:val="0"/>
          <w:sz w:val="28"/>
          <w:szCs w:val="28"/>
          <w:highlight w:val="none"/>
          <w:lang w:eastAsia="zh-CN"/>
        </w:rPr>
        <w:t>二、</w:t>
      </w:r>
      <w:r>
        <w:rPr>
          <w:rFonts w:hint="eastAsia" w:ascii="仿宋" w:hAnsi="仿宋" w:eastAsia="仿宋"/>
          <w:color w:val="auto"/>
          <w:kern w:val="0"/>
          <w:sz w:val="28"/>
          <w:szCs w:val="28"/>
          <w:highlight w:val="none"/>
        </w:rPr>
        <w:t>所有产品的知识产权问题， 由各供应商自行负责。</w:t>
      </w:r>
    </w:p>
    <w:p w14:paraId="13AF38F9">
      <w:pPr>
        <w:snapToGrid w:val="0"/>
        <w:spacing w:line="360" w:lineRule="auto"/>
        <w:ind w:firstLine="562" w:firstLineChars="200"/>
        <w:rPr>
          <w:rFonts w:ascii="仿宋" w:hAnsi="仿宋" w:eastAsia="仿宋"/>
          <w:color w:val="auto"/>
          <w:kern w:val="0"/>
          <w:sz w:val="28"/>
          <w:szCs w:val="28"/>
          <w:highlight w:val="none"/>
        </w:rPr>
      </w:pPr>
      <w:r>
        <w:rPr>
          <w:rFonts w:hint="eastAsia" w:ascii="仿宋" w:hAnsi="仿宋" w:eastAsia="仿宋"/>
          <w:b/>
          <w:bCs/>
          <w:color w:val="auto"/>
          <w:kern w:val="0"/>
          <w:sz w:val="28"/>
          <w:szCs w:val="28"/>
          <w:highlight w:val="none"/>
          <w:lang w:eastAsia="zh-CN"/>
        </w:rPr>
        <w:t>三、</w:t>
      </w:r>
      <w:r>
        <w:rPr>
          <w:rFonts w:hint="eastAsia" w:ascii="仿宋" w:hAnsi="仿宋" w:eastAsia="仿宋"/>
          <w:color w:val="auto"/>
          <w:kern w:val="0"/>
          <w:sz w:val="28"/>
          <w:szCs w:val="28"/>
          <w:highlight w:val="none"/>
        </w:rPr>
        <w:t>本采购文件提出的采购需求均为实质性要求（特别注明为非实质性要求的除外），供应商的响应方案应达到或优于本磋商文件要求，且符合国家有关标准和规范要求。</w:t>
      </w:r>
    </w:p>
    <w:p w14:paraId="4E5D920D">
      <w:pPr>
        <w:snapToGrid w:val="0"/>
        <w:spacing w:line="360" w:lineRule="auto"/>
        <w:ind w:firstLine="562" w:firstLineChars="200"/>
        <w:rPr>
          <w:rFonts w:hint="eastAsia" w:ascii="仿宋" w:hAnsi="仿宋" w:eastAsia="仿宋"/>
          <w:b/>
          <w:color w:val="auto"/>
          <w:kern w:val="0"/>
          <w:sz w:val="28"/>
          <w:szCs w:val="28"/>
          <w:highlight w:val="none"/>
        </w:rPr>
      </w:pPr>
      <w:r>
        <w:rPr>
          <w:rFonts w:hint="eastAsia" w:ascii="仿宋" w:hAnsi="仿宋" w:eastAsia="仿宋"/>
          <w:b/>
          <w:color w:val="auto"/>
          <w:kern w:val="0"/>
          <w:sz w:val="28"/>
          <w:szCs w:val="28"/>
          <w:highlight w:val="none"/>
          <w:lang w:eastAsia="zh-CN"/>
        </w:rPr>
        <w:t>四、</w:t>
      </w:r>
      <w:r>
        <w:rPr>
          <w:rFonts w:hint="eastAsia" w:ascii="仿宋" w:hAnsi="仿宋" w:eastAsia="仿宋"/>
          <w:b/>
          <w:color w:val="auto"/>
          <w:kern w:val="0"/>
          <w:sz w:val="28"/>
          <w:szCs w:val="28"/>
          <w:highlight w:val="none"/>
        </w:rPr>
        <w:t>招标范围</w:t>
      </w:r>
    </w:p>
    <w:p w14:paraId="5A15C9EE">
      <w:pPr>
        <w:snapToGrid w:val="0"/>
        <w:spacing w:line="360" w:lineRule="auto"/>
        <w:ind w:firstLine="560" w:firstLineChars="200"/>
        <w:rPr>
          <w:rFonts w:hint="eastAsia" w:ascii="仿宋" w:hAnsi="仿宋" w:eastAsia="仿宋"/>
          <w:color w:val="auto"/>
          <w:kern w:val="0"/>
          <w:sz w:val="28"/>
          <w:szCs w:val="28"/>
          <w:highlight w:val="none"/>
        </w:rPr>
      </w:pPr>
      <w:r>
        <w:rPr>
          <w:rFonts w:hint="eastAsia" w:ascii="仿宋" w:hAnsi="仿宋" w:eastAsia="仿宋"/>
          <w:color w:val="auto"/>
          <w:kern w:val="0"/>
          <w:sz w:val="28"/>
          <w:szCs w:val="28"/>
          <w:highlight w:val="none"/>
          <w:lang w:eastAsia="zh-CN"/>
        </w:rPr>
        <w:t>定南县第三次全国古树名木资源普查工作</w:t>
      </w:r>
      <w:r>
        <w:rPr>
          <w:rFonts w:hint="eastAsia" w:ascii="仿宋" w:hAnsi="仿宋" w:eastAsia="仿宋"/>
          <w:color w:val="auto"/>
          <w:kern w:val="0"/>
          <w:sz w:val="28"/>
          <w:szCs w:val="28"/>
          <w:highlight w:val="none"/>
        </w:rPr>
        <w:t>，具体招标范围详见</w:t>
      </w:r>
      <w:r>
        <w:rPr>
          <w:rFonts w:hint="eastAsia" w:ascii="仿宋" w:hAnsi="仿宋" w:eastAsia="仿宋"/>
          <w:color w:val="auto"/>
          <w:kern w:val="0"/>
          <w:sz w:val="28"/>
          <w:szCs w:val="28"/>
          <w:highlight w:val="none"/>
          <w:lang w:eastAsia="zh-CN"/>
        </w:rPr>
        <w:t>作业设计</w:t>
      </w:r>
      <w:r>
        <w:rPr>
          <w:rFonts w:hint="eastAsia" w:ascii="仿宋" w:hAnsi="仿宋" w:eastAsia="仿宋"/>
          <w:color w:val="auto"/>
          <w:kern w:val="0"/>
          <w:sz w:val="28"/>
          <w:szCs w:val="28"/>
          <w:highlight w:val="none"/>
        </w:rPr>
        <w:t>涵盖的所有工作内容。</w:t>
      </w:r>
    </w:p>
    <w:p w14:paraId="2496B6A7">
      <w:pPr>
        <w:snapToGrid w:val="0"/>
        <w:spacing w:line="360" w:lineRule="auto"/>
        <w:ind w:firstLine="562" w:firstLineChars="200"/>
        <w:rPr>
          <w:rFonts w:ascii="仿宋" w:hAnsi="仿宋" w:eastAsia="仿宋"/>
          <w:b/>
          <w:color w:val="auto"/>
          <w:kern w:val="0"/>
          <w:sz w:val="28"/>
          <w:szCs w:val="28"/>
          <w:highlight w:val="none"/>
        </w:rPr>
      </w:pPr>
      <w:r>
        <w:rPr>
          <w:rFonts w:hint="eastAsia" w:ascii="仿宋" w:hAnsi="仿宋" w:eastAsia="仿宋"/>
          <w:b/>
          <w:color w:val="auto"/>
          <w:kern w:val="0"/>
          <w:sz w:val="28"/>
          <w:szCs w:val="28"/>
          <w:highlight w:val="none"/>
          <w:lang w:eastAsia="zh-CN"/>
        </w:rPr>
        <w:t>五、服务</w:t>
      </w:r>
      <w:r>
        <w:rPr>
          <w:rFonts w:hint="eastAsia" w:ascii="仿宋" w:hAnsi="仿宋" w:eastAsia="仿宋"/>
          <w:b/>
          <w:color w:val="auto"/>
          <w:kern w:val="0"/>
          <w:sz w:val="28"/>
          <w:szCs w:val="28"/>
          <w:highlight w:val="none"/>
        </w:rPr>
        <w:t>要求</w:t>
      </w:r>
    </w:p>
    <w:p w14:paraId="1EB63705">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（一）、项目概述 </w:t>
      </w:r>
    </w:p>
    <w:p w14:paraId="702CD2BE">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古树名木是森林资源中的瑰宝，是自然界和前人留下来的珍贵遗产，客观记录和生动反映了社会发展和自然变迁的痕迹。同时，古树名木也是珍贵的基因资源、难得的旅游资源、独特的文化资源，具有多方面的重要价值。加强古树名木保护是深入贯彻习近平总书记系列重要讲话精神的具体体现，是推进生态文明建设、促进人与然和谐的必然要求，是传承历史文化、发展先进生态文化的迫切需要，是保护生态资源、维护生物多样性的重要举措。古树名木资源普查是加强古树名木保护十分重要的基础性工作，是做好古树名木保护工作的重要环节。 </w:t>
      </w:r>
    </w:p>
    <w:p w14:paraId="664004E1">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（二）、普查任务 </w:t>
      </w:r>
    </w:p>
    <w:p w14:paraId="16D50D99">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负责我县乡村的第三次全国古树名木资源普查工作，我县乡村区域目前登记在册的古树共2030株，其中散生古树398株，古树群101个。全面查清定南县范围内古树名木资源的数量、种类、分布状况、健康状况、权属、责任单位、传说记载等情况及相机拍照等，并采用 GPS 定位数据，形成完整的文字、影像、电子资源档案；录入全国古树名木智慧管理系统，实现古树名木动态化管理;掌握古树名木资源保护现状及存在的问题;对所有普查的古树名木进行挂牌保护，为加强和推进古树名木保护工作打下坚实基础。 </w:t>
      </w:r>
    </w:p>
    <w:p w14:paraId="26B4C5AC">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（三）、古树名木普查 </w:t>
      </w:r>
    </w:p>
    <w:p w14:paraId="05F84A9E">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1、普查范围及对象 </w:t>
      </w:r>
    </w:p>
    <w:p w14:paraId="6EEB117B">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普查范围：本次普查范围为全县行政区域乡村范围，包括农村、各级风景名胜区、自然保护区、森林公园、湿地公园、国有林场、集体林区内生长的树木（包括乔木、灌木、木质藤本），全部纳入本次普查范围。 </w:t>
      </w:r>
    </w:p>
    <w:p w14:paraId="0AA1F4EE">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普查对象：本次普查工作的古树名木对象包括散生古树名木和古树群： </w:t>
      </w:r>
    </w:p>
    <w:p w14:paraId="5B6A68D1">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一是古树，是指树龄在百年以上的树木。古树分为三级：树龄在500年以上的树木为一级古树，树龄在300—499年的树木为二级古树，树龄在100—299年的树木为三级古树； </w:t>
      </w:r>
    </w:p>
    <w:p w14:paraId="0F74767B">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二是名木，是指在历史上或社会上有重大影响的中外历代名人、领袖人物所植或者具有重要的历史、文化、科学、景观价值和纪念意义的树木，以及珍贵、稀有的树木，名木不受树龄限制，实行一级保护； </w:t>
      </w:r>
    </w:p>
    <w:p w14:paraId="4882658A">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三是急需加强保护的古树名木。凡是因老、弱、病、残生长不好，或者受旅游区、风景区、工、矿企业等外来因素干扰多的古树名木，属急需加强保护的古树名木，要列出清单，提出保护措施，明确保护责任。</w:t>
      </w:r>
    </w:p>
    <w:p w14:paraId="03E7E562">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四是古树群，本次普查古树群的标准是株数达到20株，且密度不小于20株/公顷，对以往达不到标准的古树群，要按照散生古树进行每木调查。 </w:t>
      </w:r>
    </w:p>
    <w:p w14:paraId="2211C335">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2、普查建档的要求 </w:t>
      </w:r>
    </w:p>
    <w:p w14:paraId="6EC2131B">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古树名木普查建档参照《古树名木保护条例》、《古树名木普查与鉴定技术规范（试行）》、《古树名木管护技术规范（试行）》、《江西省第三次全国古树名木资源普查技术方案》等要求进行。</w:t>
      </w:r>
    </w:p>
    <w:p w14:paraId="770BF619">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（1）对所辖范围内的古树名木进行彻底的清查核实登记。 </w:t>
      </w:r>
    </w:p>
    <w:p w14:paraId="03CA0CE0">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2）普查人员在充分利用已有资料的基础上，对照《技术方案》要求，对每株散生的古树名木和每个古树群进行实地踏查核实、定位、拍摄图片（(奥维定位相机或元道经纬相机或其他符合要求的相机拍照），逐项判定调查因子，如实核对填写《古树名木每木调查表》和《古树群调查表》。对疑难问题和可疑树种，在填写相关表格并采集标本的基础上，应及时送有关专家鉴定。对因雷电、洪水、塌方病虫等自然灾害或人为因素，造成树木枯死灭失的，要详实说明。对前期档案记载或保护牌错误的，要核实更正，收回旧牌;对新增的古树名木要详细调查建档。认真做到逐株进行现场调查实测、填卡、拍照、定位，确保发现一株，鉴定一株，登记一株，力求不错不漏不重，确保古树名木数据的真实可靠性，填写鉴定意见； </w:t>
      </w:r>
    </w:p>
    <w:p w14:paraId="66FC604E">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（3）普查单位对外业调查表中的各项数据进行审核，录入电脑和相关系统进行统计汇总;对相机拍摄的树木图像转入电脑进行修正，编辑处理;各种调查数据统计表格和图片资料分类装订成册归档。 </w:t>
      </w:r>
    </w:p>
    <w:p w14:paraId="73FF30E4">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4）根据调查信息整理资料，填写《古树名木每木调查表》、《古树名木群调查表》、《古树名木树种鉴定表》、《古树名木清单》、《古树名木分类株数统计表》、《古树名木名录》、《分树种株数统计表》等。 </w:t>
      </w:r>
    </w:p>
    <w:p w14:paraId="053475C8">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3、成果提交 </w:t>
      </w:r>
    </w:p>
    <w:p w14:paraId="6E6CA362">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成果包括纸质版（装订成册）和电子版，主要有： </w:t>
      </w:r>
    </w:p>
    <w:p w14:paraId="6EA678D7">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(1)全部《古树名木每木调查表》、《古树群基本信息表》、《古树群抽样调查表》和对应照片（彩色打印）; </w:t>
      </w:r>
    </w:p>
    <w:p w14:paraId="1CCAF9FA">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(2)需要上级鉴定的树种标本和对应的《古树名木树种鉴定表》; </w:t>
      </w:r>
    </w:p>
    <w:p w14:paraId="57DA52C1">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(3)《县(市、区)古树名木资源总量统计表》; </w:t>
      </w:r>
    </w:p>
    <w:p w14:paraId="56B754DC">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(4)</w:t>
      </w:r>
      <w:r>
        <w:rPr>
          <w:rFonts w:hint="eastAsia" w:ascii="仿宋" w:hAnsi="仿宋" w:eastAsia="仿宋" w:cs="仿宋"/>
          <w:b w:val="0"/>
          <w:bCs w:val="0"/>
          <w:color w:val="auto"/>
          <w:sz w:val="28"/>
          <w:szCs w:val="28"/>
          <w:highlight w:val="none"/>
          <w:lang w:val="en-US" w:eastAsia="zh-CN"/>
        </w:rPr>
        <w:t>《县(市、区)散生古树名木分类统计表》、《县(市、区)</w:t>
      </w:r>
      <w:r>
        <w:rPr>
          <w:rFonts w:hint="eastAsia" w:ascii="仿宋" w:hAnsi="仿宋" w:eastAsia="仿宋" w:cs="仿宋"/>
          <w:color w:val="auto"/>
          <w:sz w:val="28"/>
          <w:szCs w:val="28"/>
          <w:highlight w:val="none"/>
        </w:rPr>
        <w:t>古树群分类统计表</w:t>
      </w:r>
      <w:r>
        <w:rPr>
          <w:rFonts w:hint="eastAsia" w:ascii="仿宋" w:hAnsi="仿宋" w:eastAsia="仿宋" w:cs="仿宋"/>
          <w:color w:val="auto"/>
          <w:sz w:val="28"/>
          <w:szCs w:val="28"/>
          <w:highlight w:val="none"/>
          <w:lang w:eastAsia="zh-CN"/>
        </w:rPr>
        <w:t>》、《县(市、区)散生古树名木数量变化统计表》、《县(市、区)重点散生古树名木统计表》、《县(市、区)重点古树群统计表》</w:t>
      </w:r>
      <w:r>
        <w:rPr>
          <w:rFonts w:hint="eastAsia" w:ascii="仿宋" w:hAnsi="仿宋" w:eastAsia="仿宋" w:cs="仿宋"/>
          <w:color w:val="auto"/>
          <w:sz w:val="28"/>
          <w:szCs w:val="28"/>
          <w:highlight w:val="none"/>
          <w:lang w:val="en-US" w:eastAsia="zh-CN"/>
        </w:rPr>
        <w:t>等</w:t>
      </w:r>
      <w:r>
        <w:rPr>
          <w:rFonts w:hint="eastAsia" w:ascii="仿宋" w:hAnsi="仿宋" w:eastAsia="仿宋" w:cs="仿宋"/>
          <w:b w:val="0"/>
          <w:bCs w:val="0"/>
          <w:color w:val="auto"/>
          <w:sz w:val="28"/>
          <w:szCs w:val="28"/>
          <w:highlight w:val="none"/>
          <w:lang w:val="en-US" w:eastAsia="zh-CN"/>
        </w:rPr>
        <w:t>;</w:t>
      </w:r>
      <w:r>
        <w:rPr>
          <w:rFonts w:hint="eastAsia" w:ascii="仿宋" w:hAnsi="仿宋" w:eastAsia="仿宋" w:cs="Times New Roman"/>
          <w:b w:val="0"/>
          <w:bCs w:val="0"/>
          <w:color w:val="auto"/>
          <w:sz w:val="28"/>
          <w:szCs w:val="28"/>
          <w:highlight w:val="none"/>
          <w:lang w:val="en-US" w:eastAsia="zh-CN"/>
        </w:rPr>
        <w:t xml:space="preserve"> </w:t>
      </w:r>
    </w:p>
    <w:p w14:paraId="4A3F8173">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(5)《县(市、区)古树名木名录》; </w:t>
      </w:r>
    </w:p>
    <w:p w14:paraId="404CA634">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(6)《县(市、区)分树种株数统计表》; </w:t>
      </w:r>
    </w:p>
    <w:p w14:paraId="2ACDE068">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(7)散生古树名木分布图; </w:t>
      </w:r>
    </w:p>
    <w:p w14:paraId="154AAF15">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default"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(8)古树群分布图、重点散生古树名木分布图、重点古树群分布图等；</w:t>
      </w:r>
    </w:p>
    <w:p w14:paraId="726A3718">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(9)古树名木普查成果报告一式 10 份等材料； </w:t>
      </w:r>
    </w:p>
    <w:p w14:paraId="471E80F3">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val="0"/>
          <w:bCs w:val="0"/>
          <w:color w:val="auto"/>
          <w:sz w:val="28"/>
          <w:szCs w:val="28"/>
          <w:highlight w:val="none"/>
          <w:lang w:val="en-US" w:eastAsia="zh-CN"/>
        </w:rPr>
        <w:t xml:space="preserve">普查单位通过全国古树名木智慧管理系统将资源普查结果上报。 </w:t>
      </w:r>
    </w:p>
    <w:p w14:paraId="257739ED">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bCs/>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 xml:space="preserve">（四）、古树名木铭牌制作及安装 </w:t>
      </w:r>
    </w:p>
    <w:p w14:paraId="6DC7B6DA">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Times New Roman"/>
          <w:b/>
          <w:bCs/>
          <w:color w:val="auto"/>
          <w:sz w:val="28"/>
          <w:szCs w:val="28"/>
          <w:highlight w:val="none"/>
          <w:lang w:val="en-US" w:eastAsia="zh-CN"/>
        </w:rPr>
        <w:t>散生古树名木和群内古树铭牌制作和安装：</w:t>
      </w:r>
      <w:r>
        <w:rPr>
          <w:rFonts w:hint="eastAsia" w:ascii="仿宋" w:hAnsi="仿宋" w:eastAsia="仿宋" w:cs="Times New Roman"/>
          <w:b w:val="0"/>
          <w:bCs w:val="0"/>
          <w:color w:val="auto"/>
          <w:sz w:val="28"/>
          <w:szCs w:val="28"/>
          <w:highlight w:val="none"/>
          <w:lang w:val="en-US" w:eastAsia="zh-CN"/>
        </w:rPr>
        <w:t xml:space="preserve">铭牌规格：A3版面，材质：不锈钢；内容：中文名称、拉丁名、科属名、树龄、保护级别、编号（6位县级行政区划编码和5位调查号，共 11位，按要求编号）、养护责任单位或责任人、挂牌单位和挂牌时间，二维码（含简介说明）等内容，浅绿色底白字,字迹要清楚、耐久；用可伸缩弹簧系住挂在树高约2米处。 </w:t>
      </w:r>
    </w:p>
    <w:p w14:paraId="0D787D47">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562" w:firstLineChars="200"/>
        <w:jc w:val="both"/>
        <w:textAlignment w:val="auto"/>
        <w:rPr>
          <w:rFonts w:hint="eastAsia" w:ascii="仿宋" w:hAnsi="仿宋" w:eastAsia="仿宋" w:cs="Times New Roman"/>
          <w:b w:val="0"/>
          <w:bCs w:val="0"/>
          <w:color w:val="auto"/>
          <w:sz w:val="28"/>
          <w:szCs w:val="28"/>
          <w:highlight w:val="none"/>
          <w:lang w:val="en-US" w:eastAsia="zh-CN"/>
        </w:rPr>
        <w:sectPr>
          <w:footerReference r:id="rId3" w:type="default"/>
          <w:pgSz w:w="11906" w:h="16839"/>
          <w:pgMar w:top="1431" w:right="1417" w:bottom="1134" w:left="1417" w:header="0" w:footer="992" w:gutter="0"/>
          <w:pgNumType w:fmt="decimal"/>
          <w:cols w:space="720" w:num="1"/>
        </w:sectPr>
      </w:pPr>
      <w:r>
        <w:rPr>
          <w:rFonts w:hint="eastAsia" w:ascii="仿宋" w:hAnsi="仿宋" w:eastAsia="仿宋" w:cs="Times New Roman"/>
          <w:b/>
          <w:bCs/>
          <w:color w:val="auto"/>
          <w:sz w:val="28"/>
          <w:szCs w:val="28"/>
          <w:highlight w:val="none"/>
          <w:lang w:val="en-US" w:eastAsia="zh-CN"/>
        </w:rPr>
        <w:t>古树群铭牌制作和安装：</w:t>
      </w:r>
      <w:r>
        <w:rPr>
          <w:rFonts w:hint="eastAsia" w:ascii="仿宋" w:hAnsi="仿宋" w:eastAsia="仿宋" w:cs="Times New Roman"/>
          <w:b w:val="0"/>
          <w:bCs w:val="0"/>
          <w:color w:val="auto"/>
          <w:sz w:val="28"/>
          <w:szCs w:val="28"/>
          <w:highlight w:val="none"/>
          <w:lang w:val="en-US" w:eastAsia="zh-CN"/>
        </w:rPr>
        <w:t>铭牌规格：A3版面加外框，材质：不锈钢；内容：主要树种、平均树龄、株数、编号（12位，古树群代码 Q加上 6 位行政区划代码和 5位调查号）及基本情况介绍等内容，浅绿色底白字,字迹要清楚、耐久；用支架固定，在地上1.2米直立于群落显著位置。</w:t>
      </w:r>
    </w:p>
    <w:p w14:paraId="2671BB0B">
      <w:pPr>
        <w:pStyle w:val="6"/>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jc w:val="center"/>
        <w:textAlignment w:val="auto"/>
        <w:rPr>
          <w:rFonts w:hint="eastAsia" w:ascii="仿宋" w:hAnsi="仿宋" w:eastAsia="仿宋" w:cs="Times New Roman"/>
          <w:b w:val="0"/>
          <w:bCs w:val="0"/>
          <w:color w:val="auto"/>
          <w:sz w:val="28"/>
          <w:szCs w:val="28"/>
          <w:highlight w:val="none"/>
          <w:lang w:val="en-US" w:eastAsia="zh-CN"/>
        </w:rPr>
      </w:pPr>
      <w:r>
        <w:rPr>
          <w:rFonts w:hint="eastAsia" w:ascii="仿宋" w:hAnsi="仿宋" w:eastAsia="仿宋" w:cs="仿宋"/>
          <w:b/>
          <w:bCs/>
          <w:i w:val="0"/>
          <w:iCs w:val="0"/>
          <w:snapToGrid w:val="0"/>
          <w:color w:val="auto"/>
          <w:kern w:val="0"/>
          <w:sz w:val="28"/>
          <w:szCs w:val="28"/>
          <w:highlight w:val="none"/>
          <w:u w:val="none"/>
          <w:lang w:val="en-US" w:eastAsia="zh-CN" w:bidi="ar"/>
        </w:rPr>
        <w:t>定南县第三次全国古树名木资源普查工作</w:t>
      </w:r>
    </w:p>
    <w:tbl>
      <w:tblPr>
        <w:tblStyle w:val="7"/>
        <w:tblW w:w="1414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2"/>
        <w:gridCol w:w="1257"/>
        <w:gridCol w:w="997"/>
        <w:gridCol w:w="4427"/>
        <w:gridCol w:w="6705"/>
      </w:tblGrid>
      <w:tr w14:paraId="57D57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149A7DDD">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序号</w:t>
            </w:r>
          </w:p>
        </w:tc>
        <w:tc>
          <w:tcPr>
            <w:tcW w:w="2254" w:type="dxa"/>
            <w:gridSpan w:val="2"/>
            <w:tcBorders>
              <w:top w:val="single" w:color="000000" w:sz="4" w:space="0"/>
              <w:left w:val="single" w:color="000000" w:sz="4" w:space="0"/>
              <w:bottom w:val="single" w:color="000000" w:sz="4" w:space="0"/>
              <w:right w:val="single" w:color="000000" w:sz="4" w:space="0"/>
            </w:tcBorders>
            <w:noWrap w:val="0"/>
            <w:vAlign w:val="center"/>
          </w:tcPr>
          <w:p w14:paraId="31CFF0D9">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项目</w:t>
            </w:r>
          </w:p>
        </w:tc>
        <w:tc>
          <w:tcPr>
            <w:tcW w:w="4427" w:type="dxa"/>
            <w:tcBorders>
              <w:top w:val="single" w:color="000000" w:sz="4" w:space="0"/>
              <w:left w:val="single" w:color="000000" w:sz="4" w:space="0"/>
              <w:bottom w:val="single" w:color="000000" w:sz="4" w:space="0"/>
              <w:right w:val="single" w:color="000000" w:sz="4" w:space="0"/>
            </w:tcBorders>
            <w:noWrap/>
            <w:vAlign w:val="center"/>
          </w:tcPr>
          <w:p w14:paraId="3B68449F">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工作内容</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66E8EFF4">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备注</w:t>
            </w:r>
          </w:p>
        </w:tc>
      </w:tr>
      <w:tr w14:paraId="792F4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2EB261FD">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一</w:t>
            </w:r>
          </w:p>
        </w:tc>
        <w:tc>
          <w:tcPr>
            <w:tcW w:w="1257" w:type="dxa"/>
            <w:vMerge w:val="restart"/>
            <w:tcBorders>
              <w:top w:val="nil"/>
              <w:left w:val="single" w:color="000000" w:sz="4" w:space="0"/>
              <w:bottom w:val="single" w:color="000000" w:sz="4" w:space="0"/>
              <w:right w:val="single" w:color="000000" w:sz="4" w:space="0"/>
            </w:tcBorders>
            <w:noWrap/>
            <w:vAlign w:val="center"/>
          </w:tcPr>
          <w:p w14:paraId="02489A05">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直接费用</w:t>
            </w:r>
          </w:p>
        </w:tc>
        <w:tc>
          <w:tcPr>
            <w:tcW w:w="5424" w:type="dxa"/>
            <w:gridSpan w:val="2"/>
            <w:tcBorders>
              <w:top w:val="single" w:color="000000" w:sz="4" w:space="0"/>
              <w:left w:val="single" w:color="000000" w:sz="4" w:space="0"/>
              <w:bottom w:val="single" w:color="000000" w:sz="4" w:space="0"/>
              <w:right w:val="single" w:color="000000" w:sz="4" w:space="0"/>
            </w:tcBorders>
            <w:noWrap w:val="0"/>
            <w:vAlign w:val="center"/>
          </w:tcPr>
          <w:p w14:paraId="6394F725">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外业调查阶段</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5AED4004">
            <w:pPr>
              <w:jc w:val="left"/>
              <w:rPr>
                <w:rFonts w:hint="eastAsia" w:ascii="仿宋" w:hAnsi="仿宋" w:eastAsia="仿宋" w:cs="仿宋"/>
                <w:i w:val="0"/>
                <w:iCs w:val="0"/>
                <w:color w:val="auto"/>
                <w:sz w:val="28"/>
                <w:szCs w:val="28"/>
                <w:highlight w:val="none"/>
                <w:u w:val="none"/>
              </w:rPr>
            </w:pPr>
          </w:p>
        </w:tc>
      </w:tr>
      <w:tr w14:paraId="77258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48E63AB9">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1</w:t>
            </w:r>
          </w:p>
        </w:tc>
        <w:tc>
          <w:tcPr>
            <w:tcW w:w="1257" w:type="dxa"/>
            <w:vMerge w:val="continue"/>
            <w:tcBorders>
              <w:top w:val="nil"/>
              <w:left w:val="single" w:color="000000" w:sz="4" w:space="0"/>
              <w:bottom w:val="single" w:color="000000" w:sz="4" w:space="0"/>
              <w:right w:val="single" w:color="000000" w:sz="4" w:space="0"/>
            </w:tcBorders>
            <w:noWrap/>
            <w:vAlign w:val="center"/>
          </w:tcPr>
          <w:p w14:paraId="68A14DF2">
            <w:pPr>
              <w:jc w:val="center"/>
              <w:rPr>
                <w:rFonts w:hint="eastAsia" w:ascii="仿宋" w:hAnsi="仿宋" w:eastAsia="仿宋" w:cs="仿宋"/>
                <w:b/>
                <w:bCs/>
                <w:i w:val="0"/>
                <w:iCs w:val="0"/>
                <w:color w:val="auto"/>
                <w:sz w:val="28"/>
                <w:szCs w:val="28"/>
                <w:highlight w:val="none"/>
                <w:u w:val="none"/>
              </w:rPr>
            </w:pPr>
          </w:p>
        </w:tc>
        <w:tc>
          <w:tcPr>
            <w:tcW w:w="997" w:type="dxa"/>
            <w:tcBorders>
              <w:top w:val="single" w:color="000000" w:sz="4" w:space="0"/>
              <w:left w:val="single" w:color="000000" w:sz="4" w:space="0"/>
              <w:bottom w:val="single" w:color="000000" w:sz="4" w:space="0"/>
              <w:right w:val="single" w:color="000000" w:sz="4" w:space="0"/>
            </w:tcBorders>
            <w:noWrap w:val="0"/>
            <w:vAlign w:val="center"/>
          </w:tcPr>
          <w:p w14:paraId="0E24C795">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调查</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5C92129C">
            <w:pPr>
              <w:keepNext w:val="0"/>
              <w:keepLines w:val="0"/>
              <w:pageBreakBefore w:val="0"/>
              <w:widowControl/>
              <w:suppressLineNumbers w:val="0"/>
              <w:wordWrap/>
              <w:overflowPunct/>
              <w:topLinePunct w:val="0"/>
              <w:bidi w:val="0"/>
              <w:spacing w:line="30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包括按技术方案调查、寻找古树位置、相机拍照、系统上传等</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60D85EB2">
            <w:pPr>
              <w:keepNext w:val="0"/>
              <w:keepLines w:val="0"/>
              <w:pageBreakBefore w:val="0"/>
              <w:widowControl/>
              <w:suppressLineNumbers w:val="0"/>
              <w:wordWrap/>
              <w:overflowPunct/>
              <w:topLinePunct w:val="0"/>
              <w:bidi w:val="0"/>
              <w:spacing w:line="30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在册总株数2030株，预计新增约50株，共2080株。</w:t>
            </w:r>
          </w:p>
        </w:tc>
      </w:tr>
      <w:tr w14:paraId="2DFAE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382BDB2C">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二</w:t>
            </w:r>
          </w:p>
        </w:tc>
        <w:tc>
          <w:tcPr>
            <w:tcW w:w="1257" w:type="dxa"/>
            <w:vMerge w:val="continue"/>
            <w:tcBorders>
              <w:top w:val="nil"/>
              <w:left w:val="single" w:color="000000" w:sz="4" w:space="0"/>
              <w:bottom w:val="single" w:color="000000" w:sz="4" w:space="0"/>
              <w:right w:val="single" w:color="000000" w:sz="4" w:space="0"/>
            </w:tcBorders>
            <w:noWrap/>
            <w:vAlign w:val="center"/>
          </w:tcPr>
          <w:p w14:paraId="7216D932">
            <w:pPr>
              <w:jc w:val="center"/>
              <w:rPr>
                <w:rFonts w:hint="eastAsia" w:ascii="仿宋" w:hAnsi="仿宋" w:eastAsia="仿宋" w:cs="仿宋"/>
                <w:b/>
                <w:bCs/>
                <w:i w:val="0"/>
                <w:iCs w:val="0"/>
                <w:color w:val="auto"/>
                <w:sz w:val="28"/>
                <w:szCs w:val="28"/>
                <w:highlight w:val="none"/>
                <w:u w:val="none"/>
              </w:rPr>
            </w:pPr>
          </w:p>
        </w:tc>
        <w:tc>
          <w:tcPr>
            <w:tcW w:w="5424" w:type="dxa"/>
            <w:gridSpan w:val="2"/>
            <w:tcBorders>
              <w:top w:val="single" w:color="000000" w:sz="4" w:space="0"/>
              <w:left w:val="single" w:color="000000" w:sz="4" w:space="0"/>
              <w:bottom w:val="single" w:color="000000" w:sz="4" w:space="0"/>
              <w:right w:val="single" w:color="000000" w:sz="4" w:space="0"/>
            </w:tcBorders>
            <w:noWrap w:val="0"/>
            <w:vAlign w:val="center"/>
          </w:tcPr>
          <w:p w14:paraId="1EBCFBDB">
            <w:pPr>
              <w:keepNext w:val="0"/>
              <w:keepLines w:val="0"/>
              <w:pageBreakBefore w:val="0"/>
              <w:widowControl/>
              <w:suppressLineNumbers w:val="0"/>
              <w:wordWrap/>
              <w:overflowPunct/>
              <w:topLinePunct w:val="0"/>
              <w:bidi w:val="0"/>
              <w:spacing w:line="300" w:lineRule="exact"/>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材料制作阶段</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0E49F454">
            <w:pPr>
              <w:keepNext w:val="0"/>
              <w:keepLines w:val="0"/>
              <w:pageBreakBefore w:val="0"/>
              <w:widowControl/>
              <w:wordWrap/>
              <w:overflowPunct/>
              <w:topLinePunct w:val="0"/>
              <w:bidi w:val="0"/>
              <w:spacing w:line="300" w:lineRule="exact"/>
              <w:jc w:val="left"/>
              <w:rPr>
                <w:rFonts w:hint="eastAsia" w:ascii="仿宋" w:hAnsi="仿宋" w:eastAsia="仿宋" w:cs="仿宋"/>
                <w:i w:val="0"/>
                <w:iCs w:val="0"/>
                <w:color w:val="auto"/>
                <w:sz w:val="28"/>
                <w:szCs w:val="28"/>
                <w:highlight w:val="none"/>
                <w:u w:val="none"/>
              </w:rPr>
            </w:pPr>
          </w:p>
        </w:tc>
      </w:tr>
      <w:tr w14:paraId="588B5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09781949">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2</w:t>
            </w:r>
          </w:p>
        </w:tc>
        <w:tc>
          <w:tcPr>
            <w:tcW w:w="1257" w:type="dxa"/>
            <w:vMerge w:val="continue"/>
            <w:tcBorders>
              <w:top w:val="nil"/>
              <w:left w:val="single" w:color="000000" w:sz="4" w:space="0"/>
              <w:bottom w:val="single" w:color="000000" w:sz="4" w:space="0"/>
              <w:right w:val="single" w:color="000000" w:sz="4" w:space="0"/>
            </w:tcBorders>
            <w:noWrap/>
            <w:vAlign w:val="center"/>
          </w:tcPr>
          <w:p w14:paraId="425A3C29">
            <w:pPr>
              <w:jc w:val="center"/>
              <w:rPr>
                <w:rFonts w:hint="eastAsia" w:ascii="仿宋" w:hAnsi="仿宋" w:eastAsia="仿宋" w:cs="仿宋"/>
                <w:b/>
                <w:bCs/>
                <w:i w:val="0"/>
                <w:iCs w:val="0"/>
                <w:color w:val="auto"/>
                <w:sz w:val="28"/>
                <w:szCs w:val="28"/>
                <w:highlight w:val="none"/>
                <w:u w:val="none"/>
              </w:rPr>
            </w:pPr>
          </w:p>
        </w:tc>
        <w:tc>
          <w:tcPr>
            <w:tcW w:w="997" w:type="dxa"/>
            <w:vMerge w:val="restart"/>
            <w:tcBorders>
              <w:top w:val="single" w:color="000000" w:sz="4" w:space="0"/>
              <w:left w:val="single" w:color="000000" w:sz="4" w:space="0"/>
              <w:bottom w:val="single" w:color="000000" w:sz="4" w:space="0"/>
              <w:right w:val="single" w:color="000000" w:sz="4" w:space="0"/>
            </w:tcBorders>
            <w:noWrap w:val="0"/>
            <w:vAlign w:val="center"/>
          </w:tcPr>
          <w:p w14:paraId="3BCE6747">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保护牌设计制作</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008D1BF9">
            <w:pPr>
              <w:keepNext w:val="0"/>
              <w:keepLines w:val="0"/>
              <w:pageBreakBefore w:val="0"/>
              <w:widowControl/>
              <w:suppressLineNumbers w:val="0"/>
              <w:wordWrap/>
              <w:overflowPunct/>
              <w:topLinePunct w:val="0"/>
              <w:bidi w:val="0"/>
              <w:spacing w:line="300" w:lineRule="exact"/>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单株古树牌设计、制作</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0AE657C6">
            <w:pPr>
              <w:keepNext w:val="0"/>
              <w:keepLines w:val="0"/>
              <w:pageBreakBefore w:val="0"/>
              <w:widowControl/>
              <w:suppressLineNumbers w:val="0"/>
              <w:wordWrap/>
              <w:overflowPunct/>
              <w:topLinePunct w:val="0"/>
              <w:bidi w:val="0"/>
              <w:spacing w:line="30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在册总株数2030株，预计新增约50株，共2080株。不锈钢合金材料面板，A3版面。</w:t>
            </w:r>
          </w:p>
        </w:tc>
      </w:tr>
      <w:tr w14:paraId="4A847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08FA2ED3">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3</w:t>
            </w:r>
          </w:p>
        </w:tc>
        <w:tc>
          <w:tcPr>
            <w:tcW w:w="1257" w:type="dxa"/>
            <w:vMerge w:val="continue"/>
            <w:tcBorders>
              <w:top w:val="nil"/>
              <w:left w:val="single" w:color="000000" w:sz="4" w:space="0"/>
              <w:bottom w:val="single" w:color="000000" w:sz="4" w:space="0"/>
              <w:right w:val="single" w:color="000000" w:sz="4" w:space="0"/>
            </w:tcBorders>
            <w:noWrap/>
            <w:vAlign w:val="center"/>
          </w:tcPr>
          <w:p w14:paraId="0572A9CF">
            <w:pPr>
              <w:jc w:val="center"/>
              <w:rPr>
                <w:rFonts w:hint="eastAsia" w:ascii="仿宋" w:hAnsi="仿宋" w:eastAsia="仿宋" w:cs="仿宋"/>
                <w:b/>
                <w:bCs/>
                <w:i w:val="0"/>
                <w:iCs w:val="0"/>
                <w:color w:val="auto"/>
                <w:sz w:val="28"/>
                <w:szCs w:val="28"/>
                <w:highlight w:val="none"/>
                <w:u w:val="none"/>
              </w:rPr>
            </w:pPr>
          </w:p>
        </w:tc>
        <w:tc>
          <w:tcPr>
            <w:tcW w:w="997"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23D3F7">
            <w:pPr>
              <w:jc w:val="center"/>
              <w:rPr>
                <w:rFonts w:hint="eastAsia" w:ascii="仿宋" w:hAnsi="仿宋" w:eastAsia="仿宋" w:cs="仿宋"/>
                <w:i w:val="0"/>
                <w:iCs w:val="0"/>
                <w:color w:val="auto"/>
                <w:sz w:val="28"/>
                <w:szCs w:val="28"/>
                <w:highlight w:val="none"/>
                <w:u w:val="none"/>
              </w:rPr>
            </w:pP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6FB614EE">
            <w:pPr>
              <w:keepNext w:val="0"/>
              <w:keepLines w:val="0"/>
              <w:pageBreakBefore w:val="0"/>
              <w:widowControl/>
              <w:suppressLineNumbers w:val="0"/>
              <w:wordWrap/>
              <w:overflowPunct/>
              <w:topLinePunct w:val="0"/>
              <w:bidi w:val="0"/>
              <w:spacing w:line="300" w:lineRule="exact"/>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古树群群牌设计、制作</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05E1E0D2">
            <w:pPr>
              <w:keepNext w:val="0"/>
              <w:keepLines w:val="0"/>
              <w:pageBreakBefore w:val="0"/>
              <w:widowControl/>
              <w:suppressLineNumbers w:val="0"/>
              <w:wordWrap/>
              <w:overflowPunct/>
              <w:topLinePunct w:val="0"/>
              <w:bidi w:val="0"/>
              <w:spacing w:line="30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古树群101个，不锈钢合金材料A3版面。</w:t>
            </w:r>
          </w:p>
        </w:tc>
      </w:tr>
      <w:tr w14:paraId="3D7F9E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42A17EFB">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4</w:t>
            </w:r>
          </w:p>
        </w:tc>
        <w:tc>
          <w:tcPr>
            <w:tcW w:w="1257" w:type="dxa"/>
            <w:vMerge w:val="continue"/>
            <w:tcBorders>
              <w:top w:val="nil"/>
              <w:left w:val="single" w:color="000000" w:sz="4" w:space="0"/>
              <w:bottom w:val="single" w:color="000000" w:sz="4" w:space="0"/>
              <w:right w:val="single" w:color="000000" w:sz="4" w:space="0"/>
            </w:tcBorders>
            <w:noWrap/>
            <w:vAlign w:val="center"/>
          </w:tcPr>
          <w:p w14:paraId="57A09935">
            <w:pPr>
              <w:jc w:val="center"/>
              <w:rPr>
                <w:rFonts w:hint="eastAsia" w:ascii="仿宋" w:hAnsi="仿宋" w:eastAsia="仿宋" w:cs="仿宋"/>
                <w:b/>
                <w:bCs/>
                <w:i w:val="0"/>
                <w:iCs w:val="0"/>
                <w:color w:val="auto"/>
                <w:sz w:val="28"/>
                <w:szCs w:val="28"/>
                <w:highlight w:val="none"/>
                <w:u w:val="none"/>
              </w:rPr>
            </w:pPr>
          </w:p>
        </w:tc>
        <w:tc>
          <w:tcPr>
            <w:tcW w:w="997" w:type="dxa"/>
            <w:vMerge w:val="restart"/>
            <w:tcBorders>
              <w:top w:val="single" w:color="000000" w:sz="4" w:space="0"/>
              <w:left w:val="single" w:color="000000" w:sz="4" w:space="0"/>
              <w:bottom w:val="single" w:color="000000" w:sz="4" w:space="0"/>
              <w:right w:val="single" w:color="000000" w:sz="4" w:space="0"/>
            </w:tcBorders>
            <w:noWrap w:val="0"/>
            <w:vAlign w:val="center"/>
          </w:tcPr>
          <w:p w14:paraId="34BDDD8E">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安装材料</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666082DA">
            <w:pPr>
              <w:keepNext w:val="0"/>
              <w:keepLines w:val="0"/>
              <w:pageBreakBefore w:val="0"/>
              <w:widowControl/>
              <w:suppressLineNumbers w:val="0"/>
              <w:wordWrap/>
              <w:overflowPunct/>
              <w:topLinePunct w:val="0"/>
              <w:bidi w:val="0"/>
              <w:spacing w:line="300" w:lineRule="exact"/>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单株古树树牌弹簧、螺丝扣</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2F8C28BD">
            <w:pPr>
              <w:keepNext w:val="0"/>
              <w:keepLines w:val="0"/>
              <w:pageBreakBefore w:val="0"/>
              <w:widowControl/>
              <w:suppressLineNumbers w:val="0"/>
              <w:wordWrap/>
              <w:overflowPunct/>
              <w:topLinePunct w:val="0"/>
              <w:bidi w:val="0"/>
              <w:spacing w:line="30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单株古树2080株，每株安装，弹簧、螺丝扣。</w:t>
            </w:r>
          </w:p>
        </w:tc>
      </w:tr>
      <w:tr w14:paraId="1BC31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527D8F2A">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5</w:t>
            </w:r>
          </w:p>
        </w:tc>
        <w:tc>
          <w:tcPr>
            <w:tcW w:w="1257" w:type="dxa"/>
            <w:vMerge w:val="continue"/>
            <w:tcBorders>
              <w:top w:val="nil"/>
              <w:left w:val="single" w:color="000000" w:sz="4" w:space="0"/>
              <w:bottom w:val="single" w:color="000000" w:sz="4" w:space="0"/>
              <w:right w:val="single" w:color="000000" w:sz="4" w:space="0"/>
            </w:tcBorders>
            <w:noWrap/>
            <w:vAlign w:val="center"/>
          </w:tcPr>
          <w:p w14:paraId="41D3AF99">
            <w:pPr>
              <w:jc w:val="center"/>
              <w:rPr>
                <w:rFonts w:hint="eastAsia" w:ascii="仿宋" w:hAnsi="仿宋" w:eastAsia="仿宋" w:cs="仿宋"/>
                <w:b/>
                <w:bCs/>
                <w:i w:val="0"/>
                <w:iCs w:val="0"/>
                <w:color w:val="auto"/>
                <w:sz w:val="28"/>
                <w:szCs w:val="28"/>
                <w:highlight w:val="none"/>
                <w:u w:val="none"/>
              </w:rPr>
            </w:pPr>
          </w:p>
        </w:tc>
        <w:tc>
          <w:tcPr>
            <w:tcW w:w="997" w:type="dxa"/>
            <w:vMerge w:val="continue"/>
            <w:tcBorders>
              <w:top w:val="single" w:color="000000" w:sz="4" w:space="0"/>
              <w:left w:val="single" w:color="000000" w:sz="4" w:space="0"/>
              <w:bottom w:val="single" w:color="000000" w:sz="4" w:space="0"/>
              <w:right w:val="single" w:color="000000" w:sz="4" w:space="0"/>
            </w:tcBorders>
            <w:noWrap w:val="0"/>
            <w:vAlign w:val="center"/>
          </w:tcPr>
          <w:p w14:paraId="3A82E97D">
            <w:pPr>
              <w:jc w:val="center"/>
              <w:rPr>
                <w:rFonts w:hint="eastAsia" w:ascii="仿宋" w:hAnsi="仿宋" w:eastAsia="仿宋" w:cs="仿宋"/>
                <w:i w:val="0"/>
                <w:iCs w:val="0"/>
                <w:color w:val="auto"/>
                <w:sz w:val="28"/>
                <w:szCs w:val="28"/>
                <w:highlight w:val="none"/>
                <w:u w:val="none"/>
              </w:rPr>
            </w:pP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0BE2D30E">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古树群群牌支架</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27988517">
            <w:pPr>
              <w:keepNext w:val="0"/>
              <w:keepLines w:val="0"/>
              <w:widowControl/>
              <w:suppressLineNumbers w:val="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古树群101个，不锈钢合金材质支架，支架高1.2米，内框A3版面加外框。</w:t>
            </w:r>
          </w:p>
        </w:tc>
      </w:tr>
      <w:tr w14:paraId="2058B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5C842EC8">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三</w:t>
            </w:r>
          </w:p>
        </w:tc>
        <w:tc>
          <w:tcPr>
            <w:tcW w:w="1257" w:type="dxa"/>
            <w:vMerge w:val="continue"/>
            <w:tcBorders>
              <w:top w:val="nil"/>
              <w:left w:val="single" w:color="000000" w:sz="4" w:space="0"/>
              <w:bottom w:val="single" w:color="000000" w:sz="4" w:space="0"/>
              <w:right w:val="single" w:color="000000" w:sz="4" w:space="0"/>
            </w:tcBorders>
            <w:noWrap/>
            <w:vAlign w:val="center"/>
          </w:tcPr>
          <w:p w14:paraId="069D3CED">
            <w:pPr>
              <w:jc w:val="center"/>
              <w:rPr>
                <w:rFonts w:hint="eastAsia" w:ascii="仿宋" w:hAnsi="仿宋" w:eastAsia="仿宋" w:cs="仿宋"/>
                <w:b/>
                <w:bCs/>
                <w:i w:val="0"/>
                <w:iCs w:val="0"/>
                <w:color w:val="auto"/>
                <w:sz w:val="28"/>
                <w:szCs w:val="28"/>
                <w:highlight w:val="none"/>
                <w:u w:val="none"/>
              </w:rPr>
            </w:pPr>
          </w:p>
        </w:tc>
        <w:tc>
          <w:tcPr>
            <w:tcW w:w="5424" w:type="dxa"/>
            <w:gridSpan w:val="2"/>
            <w:tcBorders>
              <w:top w:val="single" w:color="000000" w:sz="4" w:space="0"/>
              <w:left w:val="single" w:color="000000" w:sz="4" w:space="0"/>
              <w:bottom w:val="single" w:color="000000" w:sz="4" w:space="0"/>
              <w:right w:val="single" w:color="000000" w:sz="4" w:space="0"/>
            </w:tcBorders>
            <w:noWrap w:val="0"/>
            <w:vAlign w:val="center"/>
          </w:tcPr>
          <w:p w14:paraId="2A955A51">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外业安装阶段</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48DA3A41">
            <w:pPr>
              <w:jc w:val="left"/>
              <w:rPr>
                <w:rFonts w:hint="eastAsia" w:ascii="仿宋" w:hAnsi="仿宋" w:eastAsia="仿宋" w:cs="仿宋"/>
                <w:i w:val="0"/>
                <w:iCs w:val="0"/>
                <w:color w:val="auto"/>
                <w:sz w:val="28"/>
                <w:szCs w:val="28"/>
                <w:highlight w:val="none"/>
                <w:u w:val="none"/>
              </w:rPr>
            </w:pPr>
          </w:p>
        </w:tc>
      </w:tr>
      <w:tr w14:paraId="7B07F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5592054D">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6</w:t>
            </w:r>
          </w:p>
        </w:tc>
        <w:tc>
          <w:tcPr>
            <w:tcW w:w="1257" w:type="dxa"/>
            <w:vMerge w:val="continue"/>
            <w:tcBorders>
              <w:top w:val="nil"/>
              <w:left w:val="single" w:color="000000" w:sz="4" w:space="0"/>
              <w:bottom w:val="single" w:color="000000" w:sz="4" w:space="0"/>
              <w:right w:val="single" w:color="000000" w:sz="4" w:space="0"/>
            </w:tcBorders>
            <w:noWrap/>
            <w:vAlign w:val="center"/>
          </w:tcPr>
          <w:p w14:paraId="43FAAEDB">
            <w:pPr>
              <w:jc w:val="center"/>
              <w:rPr>
                <w:rFonts w:hint="eastAsia" w:ascii="仿宋" w:hAnsi="仿宋" w:eastAsia="仿宋" w:cs="仿宋"/>
                <w:b/>
                <w:bCs/>
                <w:i w:val="0"/>
                <w:iCs w:val="0"/>
                <w:color w:val="auto"/>
                <w:sz w:val="28"/>
                <w:szCs w:val="28"/>
                <w:highlight w:val="none"/>
                <w:u w:val="none"/>
              </w:rPr>
            </w:pPr>
          </w:p>
        </w:tc>
        <w:tc>
          <w:tcPr>
            <w:tcW w:w="997" w:type="dxa"/>
            <w:tcBorders>
              <w:top w:val="single" w:color="000000" w:sz="4" w:space="0"/>
              <w:left w:val="single" w:color="000000" w:sz="4" w:space="0"/>
              <w:bottom w:val="single" w:color="000000" w:sz="4" w:space="0"/>
              <w:right w:val="single" w:color="000000" w:sz="4" w:space="0"/>
            </w:tcBorders>
            <w:noWrap w:val="0"/>
            <w:vAlign w:val="center"/>
          </w:tcPr>
          <w:p w14:paraId="54AC4FD8">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挂牌</w:t>
            </w:r>
          </w:p>
        </w:tc>
        <w:tc>
          <w:tcPr>
            <w:tcW w:w="4427" w:type="dxa"/>
            <w:tcBorders>
              <w:top w:val="single" w:color="000000" w:sz="4" w:space="0"/>
              <w:left w:val="single" w:color="000000" w:sz="4" w:space="0"/>
              <w:bottom w:val="single" w:color="000000" w:sz="4" w:space="0"/>
              <w:right w:val="single" w:color="000000" w:sz="4" w:space="0"/>
            </w:tcBorders>
            <w:noWrap w:val="0"/>
            <w:vAlign w:val="center"/>
          </w:tcPr>
          <w:p w14:paraId="6FE52A9B">
            <w:pPr>
              <w:keepNext w:val="0"/>
              <w:keepLines w:val="0"/>
              <w:widowControl/>
              <w:suppressLineNumbers w:val="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包括寻找古树位置、保护牌安装、相机拍照等</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00BEEEB2">
            <w:pPr>
              <w:keepNext w:val="0"/>
              <w:keepLines w:val="0"/>
              <w:widowControl/>
              <w:suppressLineNumbers w:val="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在册总株数2030株，预计新增约50株，共2080株。</w:t>
            </w:r>
          </w:p>
        </w:tc>
      </w:tr>
      <w:tr w14:paraId="2F8D4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34D6A9B9">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四</w:t>
            </w:r>
          </w:p>
        </w:tc>
        <w:tc>
          <w:tcPr>
            <w:tcW w:w="1257" w:type="dxa"/>
            <w:vMerge w:val="continue"/>
            <w:tcBorders>
              <w:top w:val="nil"/>
              <w:left w:val="single" w:color="000000" w:sz="4" w:space="0"/>
              <w:bottom w:val="single" w:color="000000" w:sz="4" w:space="0"/>
              <w:right w:val="single" w:color="000000" w:sz="4" w:space="0"/>
            </w:tcBorders>
            <w:noWrap/>
            <w:vAlign w:val="center"/>
          </w:tcPr>
          <w:p w14:paraId="00C0EECD">
            <w:pPr>
              <w:jc w:val="center"/>
              <w:rPr>
                <w:rFonts w:hint="eastAsia" w:ascii="仿宋" w:hAnsi="仿宋" w:eastAsia="仿宋" w:cs="仿宋"/>
                <w:b/>
                <w:bCs/>
                <w:i w:val="0"/>
                <w:iCs w:val="0"/>
                <w:color w:val="auto"/>
                <w:sz w:val="28"/>
                <w:szCs w:val="28"/>
                <w:highlight w:val="none"/>
                <w:u w:val="none"/>
              </w:rPr>
            </w:pPr>
          </w:p>
        </w:tc>
        <w:tc>
          <w:tcPr>
            <w:tcW w:w="5424" w:type="dxa"/>
            <w:gridSpan w:val="2"/>
            <w:tcBorders>
              <w:top w:val="single" w:color="000000" w:sz="4" w:space="0"/>
              <w:left w:val="single" w:color="000000" w:sz="4" w:space="0"/>
              <w:bottom w:val="single" w:color="000000" w:sz="4" w:space="0"/>
              <w:right w:val="single" w:color="000000" w:sz="4" w:space="0"/>
            </w:tcBorders>
            <w:noWrap w:val="0"/>
            <w:vAlign w:val="center"/>
          </w:tcPr>
          <w:p w14:paraId="7E2D2E27">
            <w:pPr>
              <w:keepNext w:val="0"/>
              <w:keepLines w:val="0"/>
              <w:widowControl/>
              <w:suppressLineNumbers w:val="0"/>
              <w:jc w:val="center"/>
              <w:textAlignment w:val="center"/>
              <w:rPr>
                <w:rFonts w:hint="eastAsia" w:ascii="仿宋" w:hAnsi="仿宋" w:eastAsia="仿宋" w:cs="仿宋"/>
                <w:b/>
                <w:bCs/>
                <w:i w:val="0"/>
                <w:iCs w:val="0"/>
                <w:color w:val="auto"/>
                <w:sz w:val="28"/>
                <w:szCs w:val="28"/>
                <w:highlight w:val="none"/>
                <w:u w:val="none"/>
              </w:rPr>
            </w:pPr>
            <w:r>
              <w:rPr>
                <w:rFonts w:hint="eastAsia" w:ascii="仿宋" w:hAnsi="仿宋" w:eastAsia="仿宋" w:cs="仿宋"/>
                <w:b/>
                <w:bCs/>
                <w:i w:val="0"/>
                <w:iCs w:val="0"/>
                <w:snapToGrid w:val="0"/>
                <w:color w:val="auto"/>
                <w:kern w:val="0"/>
                <w:sz w:val="28"/>
                <w:szCs w:val="28"/>
                <w:highlight w:val="none"/>
                <w:u w:val="none"/>
                <w:lang w:val="en-US" w:eastAsia="zh-CN" w:bidi="ar"/>
              </w:rPr>
              <w:t>内业处理阶段</w:t>
            </w:r>
          </w:p>
        </w:tc>
        <w:tc>
          <w:tcPr>
            <w:tcW w:w="6705" w:type="dxa"/>
            <w:tcBorders>
              <w:top w:val="single" w:color="000000" w:sz="4" w:space="0"/>
              <w:left w:val="single" w:color="000000" w:sz="4" w:space="0"/>
              <w:bottom w:val="single" w:color="000000" w:sz="4" w:space="0"/>
              <w:right w:val="single" w:color="000000" w:sz="4" w:space="0"/>
            </w:tcBorders>
            <w:noWrap w:val="0"/>
            <w:vAlign w:val="center"/>
          </w:tcPr>
          <w:p w14:paraId="56224004">
            <w:pPr>
              <w:jc w:val="left"/>
              <w:rPr>
                <w:rFonts w:hint="eastAsia" w:ascii="仿宋" w:hAnsi="仿宋" w:eastAsia="仿宋" w:cs="仿宋"/>
                <w:i w:val="0"/>
                <w:iCs w:val="0"/>
                <w:color w:val="auto"/>
                <w:sz w:val="28"/>
                <w:szCs w:val="28"/>
                <w:highlight w:val="none"/>
                <w:u w:val="none"/>
              </w:rPr>
            </w:pPr>
          </w:p>
        </w:tc>
      </w:tr>
      <w:tr w14:paraId="52E41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7E53B071">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7</w:t>
            </w:r>
          </w:p>
        </w:tc>
        <w:tc>
          <w:tcPr>
            <w:tcW w:w="1257" w:type="dxa"/>
            <w:vMerge w:val="continue"/>
            <w:tcBorders>
              <w:top w:val="nil"/>
              <w:left w:val="single" w:color="000000" w:sz="4" w:space="0"/>
              <w:bottom w:val="single" w:color="000000" w:sz="4" w:space="0"/>
              <w:right w:val="single" w:color="000000" w:sz="4" w:space="0"/>
            </w:tcBorders>
            <w:noWrap/>
            <w:vAlign w:val="center"/>
          </w:tcPr>
          <w:p w14:paraId="6039FFED">
            <w:pPr>
              <w:jc w:val="center"/>
              <w:rPr>
                <w:rFonts w:hint="eastAsia" w:ascii="仿宋" w:hAnsi="仿宋" w:eastAsia="仿宋" w:cs="仿宋"/>
                <w:b/>
                <w:bCs/>
                <w:i w:val="0"/>
                <w:iCs w:val="0"/>
                <w:color w:val="auto"/>
                <w:sz w:val="28"/>
                <w:szCs w:val="28"/>
                <w:highlight w:val="none"/>
                <w:u w:val="none"/>
              </w:rPr>
            </w:pPr>
          </w:p>
        </w:tc>
        <w:tc>
          <w:tcPr>
            <w:tcW w:w="997" w:type="dxa"/>
            <w:vMerge w:val="restart"/>
            <w:tcBorders>
              <w:top w:val="single" w:color="000000" w:sz="4" w:space="0"/>
              <w:left w:val="single" w:color="000000" w:sz="4" w:space="0"/>
              <w:bottom w:val="single" w:color="000000" w:sz="4" w:space="0"/>
              <w:right w:val="single" w:color="000000" w:sz="4" w:space="0"/>
            </w:tcBorders>
            <w:noWrap w:val="0"/>
            <w:vAlign w:val="center"/>
          </w:tcPr>
          <w:p w14:paraId="4286B8E5">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数据处理</w:t>
            </w:r>
          </w:p>
        </w:tc>
        <w:tc>
          <w:tcPr>
            <w:tcW w:w="4427" w:type="dxa"/>
            <w:vMerge w:val="restart"/>
            <w:tcBorders>
              <w:top w:val="single" w:color="000000" w:sz="4" w:space="0"/>
              <w:left w:val="single" w:color="000000" w:sz="4" w:space="0"/>
              <w:right w:val="single" w:color="000000" w:sz="4" w:space="0"/>
            </w:tcBorders>
            <w:noWrap w:val="0"/>
            <w:vAlign w:val="center"/>
          </w:tcPr>
          <w:p w14:paraId="1185D861">
            <w:pPr>
              <w:keepNext w:val="0"/>
              <w:keepLines w:val="0"/>
              <w:pageBreakBefore w:val="0"/>
              <w:widowControl/>
              <w:suppressLineNumbers w:val="0"/>
              <w:kinsoku w:val="0"/>
              <w:wordWrap/>
              <w:overflowPunct/>
              <w:topLinePunct w:val="0"/>
              <w:bidi w:val="0"/>
              <w:adjustRightInd w:val="0"/>
              <w:snapToGrid w:val="0"/>
              <w:spacing w:line="360" w:lineRule="exact"/>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完成核实数据统计并录入“全国古树名木智慧管理系统”</w:t>
            </w:r>
          </w:p>
        </w:tc>
        <w:tc>
          <w:tcPr>
            <w:tcW w:w="6705" w:type="dxa"/>
            <w:vMerge w:val="restart"/>
            <w:tcBorders>
              <w:top w:val="single" w:color="000000" w:sz="4" w:space="0"/>
              <w:left w:val="single" w:color="000000" w:sz="4" w:space="0"/>
              <w:right w:val="single" w:color="000000" w:sz="4" w:space="0"/>
            </w:tcBorders>
            <w:noWrap w:val="0"/>
            <w:vAlign w:val="center"/>
          </w:tcPr>
          <w:p w14:paraId="3EAD9128">
            <w:pPr>
              <w:keepNext w:val="0"/>
              <w:keepLines w:val="0"/>
              <w:widowControl/>
              <w:suppressLineNumbers w:val="0"/>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调查数据录入系统2080株</w:t>
            </w:r>
          </w:p>
        </w:tc>
      </w:tr>
      <w:tr w14:paraId="1722F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762" w:type="dxa"/>
            <w:tcBorders>
              <w:top w:val="single" w:color="000000" w:sz="4" w:space="0"/>
              <w:left w:val="single" w:color="000000" w:sz="4" w:space="0"/>
              <w:bottom w:val="single" w:color="000000" w:sz="4" w:space="0"/>
              <w:right w:val="single" w:color="000000" w:sz="4" w:space="0"/>
            </w:tcBorders>
            <w:noWrap/>
            <w:vAlign w:val="center"/>
          </w:tcPr>
          <w:p w14:paraId="03C9366C">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8</w:t>
            </w:r>
          </w:p>
        </w:tc>
        <w:tc>
          <w:tcPr>
            <w:tcW w:w="1257" w:type="dxa"/>
            <w:vMerge w:val="continue"/>
            <w:tcBorders>
              <w:top w:val="nil"/>
              <w:left w:val="single" w:color="000000" w:sz="4" w:space="0"/>
              <w:bottom w:val="single" w:color="000000" w:sz="4" w:space="0"/>
              <w:right w:val="single" w:color="000000" w:sz="4" w:space="0"/>
            </w:tcBorders>
            <w:noWrap/>
            <w:vAlign w:val="center"/>
          </w:tcPr>
          <w:p w14:paraId="0D23EC37">
            <w:pPr>
              <w:jc w:val="center"/>
              <w:rPr>
                <w:rFonts w:hint="eastAsia" w:ascii="仿宋" w:hAnsi="仿宋" w:eastAsia="仿宋" w:cs="仿宋"/>
                <w:b/>
                <w:bCs/>
                <w:i w:val="0"/>
                <w:iCs w:val="0"/>
                <w:color w:val="auto"/>
                <w:sz w:val="28"/>
                <w:szCs w:val="28"/>
                <w:highlight w:val="none"/>
                <w:u w:val="none"/>
              </w:rPr>
            </w:pPr>
          </w:p>
        </w:tc>
        <w:tc>
          <w:tcPr>
            <w:tcW w:w="997" w:type="dxa"/>
            <w:vMerge w:val="continue"/>
            <w:tcBorders>
              <w:top w:val="single" w:color="000000" w:sz="4" w:space="0"/>
              <w:left w:val="single" w:color="000000" w:sz="4" w:space="0"/>
              <w:bottom w:val="single" w:color="000000" w:sz="4" w:space="0"/>
              <w:right w:val="single" w:color="000000" w:sz="4" w:space="0"/>
            </w:tcBorders>
            <w:noWrap w:val="0"/>
            <w:vAlign w:val="center"/>
          </w:tcPr>
          <w:p w14:paraId="6A080A28">
            <w:pPr>
              <w:jc w:val="center"/>
              <w:rPr>
                <w:rFonts w:hint="eastAsia" w:ascii="仿宋" w:hAnsi="仿宋" w:eastAsia="仿宋" w:cs="仿宋"/>
                <w:i w:val="0"/>
                <w:iCs w:val="0"/>
                <w:color w:val="auto"/>
                <w:sz w:val="28"/>
                <w:szCs w:val="28"/>
                <w:highlight w:val="none"/>
                <w:u w:val="none"/>
              </w:rPr>
            </w:pPr>
          </w:p>
        </w:tc>
        <w:tc>
          <w:tcPr>
            <w:tcW w:w="4427" w:type="dxa"/>
            <w:vMerge w:val="continue"/>
            <w:tcBorders>
              <w:left w:val="single" w:color="000000" w:sz="4" w:space="0"/>
              <w:bottom w:val="single" w:color="000000" w:sz="4" w:space="0"/>
              <w:right w:val="single" w:color="000000" w:sz="4" w:space="0"/>
            </w:tcBorders>
            <w:noWrap w:val="0"/>
            <w:vAlign w:val="center"/>
          </w:tcPr>
          <w:p w14:paraId="613C3DEB">
            <w:pPr>
              <w:keepNext w:val="0"/>
              <w:keepLines w:val="0"/>
              <w:pageBreakBefore w:val="0"/>
              <w:widowControl/>
              <w:suppressLineNumbers w:val="0"/>
              <w:kinsoku w:val="0"/>
              <w:wordWrap/>
              <w:overflowPunct/>
              <w:topLinePunct w:val="0"/>
              <w:bidi w:val="0"/>
              <w:adjustRightInd w:val="0"/>
              <w:snapToGrid w:val="0"/>
              <w:spacing w:line="360" w:lineRule="exact"/>
              <w:jc w:val="left"/>
              <w:textAlignment w:val="center"/>
              <w:rPr>
                <w:rFonts w:hint="eastAsia" w:ascii="仿宋" w:hAnsi="仿宋" w:eastAsia="仿宋" w:cs="仿宋"/>
                <w:i w:val="0"/>
                <w:iCs w:val="0"/>
                <w:color w:val="auto"/>
                <w:sz w:val="28"/>
                <w:szCs w:val="28"/>
                <w:highlight w:val="none"/>
                <w:u w:val="none"/>
              </w:rPr>
            </w:pPr>
          </w:p>
        </w:tc>
        <w:tc>
          <w:tcPr>
            <w:tcW w:w="6705" w:type="dxa"/>
            <w:vMerge w:val="continue"/>
            <w:tcBorders>
              <w:left w:val="single" w:color="000000" w:sz="4" w:space="0"/>
              <w:bottom w:val="single" w:color="000000" w:sz="4" w:space="0"/>
              <w:right w:val="single" w:color="000000" w:sz="4" w:space="0"/>
            </w:tcBorders>
            <w:noWrap/>
            <w:vAlign w:val="center"/>
          </w:tcPr>
          <w:p w14:paraId="181DCE2B">
            <w:pPr>
              <w:keepNext w:val="0"/>
              <w:keepLines w:val="0"/>
              <w:widowControl/>
              <w:suppressLineNumbers w:val="0"/>
              <w:jc w:val="left"/>
              <w:textAlignment w:val="center"/>
              <w:rPr>
                <w:rFonts w:hint="eastAsia" w:ascii="仿宋" w:hAnsi="仿宋" w:eastAsia="仿宋" w:cs="仿宋"/>
                <w:i w:val="0"/>
                <w:iCs w:val="0"/>
                <w:color w:val="auto"/>
                <w:sz w:val="28"/>
                <w:szCs w:val="28"/>
                <w:highlight w:val="none"/>
                <w:u w:val="none"/>
              </w:rPr>
            </w:pPr>
          </w:p>
        </w:tc>
      </w:tr>
      <w:tr w14:paraId="31EC3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62" w:type="dxa"/>
            <w:tcBorders>
              <w:top w:val="single" w:color="000000" w:sz="4" w:space="0"/>
              <w:left w:val="single" w:color="000000" w:sz="4" w:space="0"/>
              <w:bottom w:val="single" w:color="auto" w:sz="4" w:space="0"/>
              <w:right w:val="single" w:color="000000" w:sz="4" w:space="0"/>
            </w:tcBorders>
            <w:noWrap/>
            <w:vAlign w:val="center"/>
          </w:tcPr>
          <w:p w14:paraId="51BED37E">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9</w:t>
            </w:r>
          </w:p>
        </w:tc>
        <w:tc>
          <w:tcPr>
            <w:tcW w:w="1257" w:type="dxa"/>
            <w:vMerge w:val="continue"/>
            <w:tcBorders>
              <w:top w:val="nil"/>
              <w:left w:val="single" w:color="000000" w:sz="4" w:space="0"/>
              <w:bottom w:val="single" w:color="auto" w:sz="4" w:space="0"/>
              <w:right w:val="single" w:color="000000" w:sz="4" w:space="0"/>
            </w:tcBorders>
            <w:noWrap/>
            <w:vAlign w:val="center"/>
          </w:tcPr>
          <w:p w14:paraId="66AA91E4">
            <w:pPr>
              <w:jc w:val="center"/>
              <w:rPr>
                <w:rFonts w:hint="eastAsia" w:ascii="仿宋" w:hAnsi="仿宋" w:eastAsia="仿宋" w:cs="仿宋"/>
                <w:b/>
                <w:bCs/>
                <w:i w:val="0"/>
                <w:iCs w:val="0"/>
                <w:color w:val="auto"/>
                <w:sz w:val="28"/>
                <w:szCs w:val="28"/>
                <w:highlight w:val="none"/>
                <w:u w:val="none"/>
              </w:rPr>
            </w:pPr>
          </w:p>
        </w:tc>
        <w:tc>
          <w:tcPr>
            <w:tcW w:w="997" w:type="dxa"/>
            <w:tcBorders>
              <w:top w:val="single" w:color="000000" w:sz="4" w:space="0"/>
              <w:left w:val="single" w:color="000000" w:sz="4" w:space="0"/>
              <w:bottom w:val="single" w:color="auto" w:sz="4" w:space="0"/>
              <w:right w:val="single" w:color="000000" w:sz="4" w:space="0"/>
            </w:tcBorders>
            <w:noWrap w:val="0"/>
            <w:vAlign w:val="center"/>
          </w:tcPr>
          <w:p w14:paraId="16283EAA">
            <w:pPr>
              <w:keepNext w:val="0"/>
              <w:keepLines w:val="0"/>
              <w:widowControl/>
              <w:suppressLineNumbers w:val="0"/>
              <w:jc w:val="center"/>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成果报告编制</w:t>
            </w:r>
          </w:p>
        </w:tc>
        <w:tc>
          <w:tcPr>
            <w:tcW w:w="4427" w:type="dxa"/>
            <w:tcBorders>
              <w:top w:val="single" w:color="000000" w:sz="4" w:space="0"/>
              <w:left w:val="single" w:color="000000" w:sz="4" w:space="0"/>
              <w:bottom w:val="single" w:color="auto" w:sz="4" w:space="0"/>
              <w:right w:val="single" w:color="000000" w:sz="4" w:space="0"/>
            </w:tcBorders>
            <w:noWrap w:val="0"/>
            <w:vAlign w:val="center"/>
          </w:tcPr>
          <w:p w14:paraId="6E363067">
            <w:pPr>
              <w:keepNext w:val="0"/>
              <w:keepLines w:val="0"/>
              <w:pageBreakBefore w:val="0"/>
              <w:widowControl/>
              <w:suppressLineNumbers w:val="0"/>
              <w:kinsoku w:val="0"/>
              <w:wordWrap/>
              <w:overflowPunct/>
              <w:topLinePunct w:val="0"/>
              <w:bidi w:val="0"/>
              <w:adjustRightInd w:val="0"/>
              <w:snapToGrid w:val="0"/>
              <w:spacing w:line="360" w:lineRule="exact"/>
              <w:jc w:val="left"/>
              <w:textAlignment w:val="center"/>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完成编制成果报告：包括文本、表格、照片处理和其他图件制作并胶装（包括文本、统计表、安装登记表、范围图、古树照片等）</w:t>
            </w:r>
          </w:p>
        </w:tc>
        <w:tc>
          <w:tcPr>
            <w:tcW w:w="6705" w:type="dxa"/>
            <w:tcBorders>
              <w:top w:val="single" w:color="000000" w:sz="4" w:space="0"/>
              <w:left w:val="single" w:color="000000" w:sz="4" w:space="0"/>
              <w:bottom w:val="single" w:color="auto" w:sz="4" w:space="0"/>
              <w:right w:val="single" w:color="000000" w:sz="4" w:space="0"/>
            </w:tcBorders>
            <w:noWrap w:val="0"/>
            <w:vAlign w:val="center"/>
          </w:tcPr>
          <w:p w14:paraId="3AA29E7A">
            <w:pPr>
              <w:jc w:val="left"/>
              <w:rPr>
                <w:rFonts w:hint="eastAsia" w:ascii="仿宋" w:hAnsi="仿宋" w:eastAsia="仿宋" w:cs="仿宋"/>
                <w:i w:val="0"/>
                <w:iCs w:val="0"/>
                <w:color w:val="auto"/>
                <w:sz w:val="28"/>
                <w:szCs w:val="28"/>
                <w:highlight w:val="none"/>
                <w:u w:val="none"/>
              </w:rPr>
            </w:pPr>
            <w:r>
              <w:rPr>
                <w:rFonts w:hint="eastAsia" w:ascii="仿宋" w:hAnsi="仿宋" w:eastAsia="仿宋" w:cs="仿宋"/>
                <w:i w:val="0"/>
                <w:iCs w:val="0"/>
                <w:snapToGrid w:val="0"/>
                <w:color w:val="auto"/>
                <w:kern w:val="0"/>
                <w:sz w:val="28"/>
                <w:szCs w:val="28"/>
                <w:highlight w:val="none"/>
                <w:u w:val="none"/>
                <w:lang w:val="en-US" w:eastAsia="zh-CN" w:bidi="ar"/>
              </w:rPr>
              <w:t>彩色硬壳胶装，调查报告和挂牌台账等10套</w:t>
            </w:r>
          </w:p>
        </w:tc>
      </w:tr>
      <w:tr w14:paraId="703FE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762" w:type="dxa"/>
            <w:tcBorders>
              <w:top w:val="single" w:color="auto" w:sz="4" w:space="0"/>
              <w:left w:val="single" w:color="auto" w:sz="4" w:space="0"/>
              <w:bottom w:val="single" w:color="auto" w:sz="4" w:space="0"/>
              <w:right w:val="single" w:color="auto" w:sz="4" w:space="0"/>
            </w:tcBorders>
            <w:noWrap/>
            <w:vAlign w:val="center"/>
          </w:tcPr>
          <w:p w14:paraId="5215A62F">
            <w:pPr>
              <w:keepNext w:val="0"/>
              <w:keepLines w:val="0"/>
              <w:widowControl/>
              <w:suppressLineNumbers w:val="0"/>
              <w:tabs>
                <w:tab w:val="left" w:pos="225"/>
              </w:tabs>
              <w:jc w:val="left"/>
              <w:textAlignment w:val="center"/>
              <w:rPr>
                <w:rFonts w:hint="default" w:ascii="仿宋" w:hAnsi="仿宋" w:eastAsia="仿宋" w:cs="仿宋"/>
                <w:i w:val="0"/>
                <w:iCs w:val="0"/>
                <w:snapToGrid w:val="0"/>
                <w:color w:val="auto"/>
                <w:kern w:val="0"/>
                <w:sz w:val="28"/>
                <w:szCs w:val="28"/>
                <w:highlight w:val="none"/>
                <w:u w:val="none"/>
                <w:lang w:val="en-US" w:eastAsia="zh-CN" w:bidi="ar"/>
              </w:rPr>
            </w:pPr>
            <w:r>
              <w:rPr>
                <w:rFonts w:hint="eastAsia" w:ascii="仿宋" w:hAnsi="仿宋" w:eastAsia="仿宋" w:cs="仿宋"/>
                <w:b/>
                <w:bCs/>
                <w:i w:val="0"/>
                <w:iCs w:val="0"/>
                <w:snapToGrid w:val="0"/>
                <w:color w:val="auto"/>
                <w:kern w:val="0"/>
                <w:sz w:val="28"/>
                <w:szCs w:val="28"/>
                <w:highlight w:val="none"/>
                <w:u w:val="none"/>
                <w:lang w:val="en-US" w:eastAsia="zh-CN" w:bidi="ar"/>
              </w:rPr>
              <w:tab/>
            </w:r>
            <w:r>
              <w:rPr>
                <w:rFonts w:hint="eastAsia" w:ascii="仿宋" w:hAnsi="仿宋" w:eastAsia="仿宋" w:cs="仿宋"/>
                <w:b/>
                <w:bCs/>
                <w:i w:val="0"/>
                <w:iCs w:val="0"/>
                <w:snapToGrid w:val="0"/>
                <w:color w:val="auto"/>
                <w:kern w:val="0"/>
                <w:sz w:val="28"/>
                <w:szCs w:val="28"/>
                <w:highlight w:val="none"/>
                <w:u w:val="none"/>
                <w:lang w:val="en-US" w:eastAsia="zh-CN" w:bidi="ar"/>
              </w:rPr>
              <w:t>五</w:t>
            </w:r>
          </w:p>
        </w:tc>
        <w:tc>
          <w:tcPr>
            <w:tcW w:w="1257" w:type="dxa"/>
            <w:tcBorders>
              <w:top w:val="single" w:color="auto" w:sz="4" w:space="0"/>
              <w:left w:val="single" w:color="auto" w:sz="4" w:space="0"/>
              <w:bottom w:val="single" w:color="auto" w:sz="4" w:space="0"/>
              <w:right w:val="single" w:color="auto" w:sz="4" w:space="0"/>
            </w:tcBorders>
            <w:noWrap/>
            <w:vAlign w:val="center"/>
          </w:tcPr>
          <w:p w14:paraId="50F328D8">
            <w:pPr>
              <w:jc w:val="center"/>
              <w:rPr>
                <w:rFonts w:hint="default" w:ascii="仿宋" w:hAnsi="仿宋" w:eastAsia="仿宋" w:cs="仿宋"/>
                <w:b/>
                <w:bCs/>
                <w:i w:val="0"/>
                <w:iCs w:val="0"/>
                <w:color w:val="auto"/>
                <w:sz w:val="28"/>
                <w:szCs w:val="28"/>
                <w:highlight w:val="none"/>
                <w:u w:val="none"/>
                <w:lang w:val="en-US" w:eastAsia="zh-CN"/>
              </w:rPr>
            </w:pPr>
            <w:r>
              <w:rPr>
                <w:rFonts w:hint="eastAsia" w:ascii="仿宋" w:hAnsi="仿宋" w:eastAsia="仿宋" w:cs="仿宋"/>
                <w:b/>
                <w:bCs/>
                <w:i w:val="0"/>
                <w:iCs w:val="0"/>
                <w:color w:val="auto"/>
                <w:sz w:val="28"/>
                <w:szCs w:val="28"/>
                <w:highlight w:val="none"/>
                <w:u w:val="none"/>
                <w:lang w:val="en-US" w:eastAsia="zh-CN"/>
              </w:rPr>
              <w:t>间接费用</w:t>
            </w:r>
          </w:p>
        </w:tc>
        <w:tc>
          <w:tcPr>
            <w:tcW w:w="997" w:type="dxa"/>
            <w:tcBorders>
              <w:top w:val="single" w:color="auto" w:sz="4" w:space="0"/>
              <w:left w:val="single" w:color="auto" w:sz="4" w:space="0"/>
              <w:bottom w:val="single" w:color="auto" w:sz="4" w:space="0"/>
              <w:right w:val="single" w:color="auto" w:sz="4" w:space="0"/>
            </w:tcBorders>
            <w:noWrap w:val="0"/>
            <w:vAlign w:val="center"/>
          </w:tcPr>
          <w:p w14:paraId="3A2885A4">
            <w:pPr>
              <w:keepNext w:val="0"/>
              <w:keepLines w:val="0"/>
              <w:widowControl/>
              <w:suppressLineNumbers w:val="0"/>
              <w:jc w:val="center"/>
              <w:textAlignment w:val="center"/>
              <w:rPr>
                <w:rFonts w:hint="default" w:ascii="仿宋" w:hAnsi="仿宋" w:eastAsia="仿宋" w:cs="仿宋"/>
                <w:i w:val="0"/>
                <w:iCs w:val="0"/>
                <w:snapToGrid w:val="0"/>
                <w:color w:val="auto"/>
                <w:kern w:val="0"/>
                <w:sz w:val="28"/>
                <w:szCs w:val="28"/>
                <w:highlight w:val="none"/>
                <w:u w:val="none"/>
                <w:lang w:val="en-US" w:eastAsia="zh-CN" w:bidi="ar"/>
              </w:rPr>
            </w:pPr>
            <w:r>
              <w:rPr>
                <w:rFonts w:hint="eastAsia" w:ascii="仿宋" w:hAnsi="仿宋" w:eastAsia="仿宋" w:cs="仿宋"/>
                <w:i w:val="0"/>
                <w:iCs w:val="0"/>
                <w:snapToGrid w:val="0"/>
                <w:color w:val="auto"/>
                <w:kern w:val="0"/>
                <w:sz w:val="28"/>
                <w:szCs w:val="28"/>
                <w:highlight w:val="none"/>
                <w:u w:val="none"/>
                <w:lang w:val="en-US" w:eastAsia="zh-CN" w:bidi="ar"/>
              </w:rPr>
              <w:t>税费</w:t>
            </w:r>
          </w:p>
        </w:tc>
        <w:tc>
          <w:tcPr>
            <w:tcW w:w="4427" w:type="dxa"/>
            <w:tcBorders>
              <w:top w:val="single" w:color="auto" w:sz="4" w:space="0"/>
              <w:left w:val="single" w:color="auto" w:sz="4" w:space="0"/>
              <w:bottom w:val="single" w:color="auto" w:sz="4" w:space="0"/>
              <w:right w:val="single" w:color="auto" w:sz="4" w:space="0"/>
            </w:tcBorders>
            <w:noWrap w:val="0"/>
            <w:vAlign w:val="center"/>
          </w:tcPr>
          <w:p w14:paraId="286CEB43">
            <w:pPr>
              <w:keepNext w:val="0"/>
              <w:keepLines w:val="0"/>
              <w:pageBreakBefore w:val="0"/>
              <w:widowControl/>
              <w:suppressLineNumbers w:val="0"/>
              <w:tabs>
                <w:tab w:val="left" w:pos="1094"/>
              </w:tabs>
              <w:kinsoku w:val="0"/>
              <w:wordWrap/>
              <w:overflowPunct/>
              <w:topLinePunct w:val="0"/>
              <w:bidi w:val="0"/>
              <w:adjustRightInd w:val="0"/>
              <w:snapToGrid w:val="0"/>
              <w:spacing w:line="360" w:lineRule="exact"/>
              <w:jc w:val="left"/>
              <w:textAlignment w:val="center"/>
              <w:rPr>
                <w:rFonts w:hint="default" w:ascii="仿宋" w:hAnsi="仿宋" w:eastAsia="仿宋" w:cs="仿宋"/>
                <w:i w:val="0"/>
                <w:iCs w:val="0"/>
                <w:snapToGrid w:val="0"/>
                <w:color w:val="auto"/>
                <w:kern w:val="0"/>
                <w:sz w:val="28"/>
                <w:szCs w:val="28"/>
                <w:highlight w:val="none"/>
                <w:u w:val="none"/>
                <w:lang w:val="en-US" w:eastAsia="zh-CN" w:bidi="ar"/>
              </w:rPr>
            </w:pPr>
            <w:r>
              <w:rPr>
                <w:rFonts w:hint="eastAsia" w:ascii="仿宋" w:hAnsi="仿宋" w:eastAsia="仿宋" w:cs="仿宋"/>
                <w:i w:val="0"/>
                <w:iCs w:val="0"/>
                <w:snapToGrid w:val="0"/>
                <w:color w:val="auto"/>
                <w:kern w:val="0"/>
                <w:sz w:val="28"/>
                <w:szCs w:val="28"/>
                <w:highlight w:val="none"/>
                <w:u w:val="none"/>
                <w:lang w:val="en-US" w:eastAsia="zh-CN" w:bidi="ar"/>
              </w:rPr>
              <w:tab/>
            </w:r>
            <w:r>
              <w:rPr>
                <w:rFonts w:hint="eastAsia" w:ascii="仿宋" w:hAnsi="仿宋" w:eastAsia="仿宋" w:cs="仿宋"/>
                <w:i w:val="0"/>
                <w:iCs w:val="0"/>
                <w:snapToGrid w:val="0"/>
                <w:color w:val="auto"/>
                <w:kern w:val="0"/>
                <w:sz w:val="28"/>
                <w:szCs w:val="28"/>
                <w:highlight w:val="none"/>
                <w:u w:val="none"/>
                <w:lang w:val="en-US" w:eastAsia="zh-CN" w:bidi="ar"/>
              </w:rPr>
              <w:t>含所有税费</w:t>
            </w:r>
          </w:p>
        </w:tc>
        <w:tc>
          <w:tcPr>
            <w:tcW w:w="6705" w:type="dxa"/>
            <w:tcBorders>
              <w:top w:val="single" w:color="auto" w:sz="4" w:space="0"/>
              <w:left w:val="single" w:color="auto" w:sz="4" w:space="0"/>
              <w:bottom w:val="single" w:color="auto" w:sz="4" w:space="0"/>
              <w:right w:val="single" w:color="auto" w:sz="4" w:space="0"/>
            </w:tcBorders>
            <w:noWrap w:val="0"/>
            <w:vAlign w:val="center"/>
          </w:tcPr>
          <w:p w14:paraId="57A49ED4">
            <w:pPr>
              <w:tabs>
                <w:tab w:val="left" w:pos="1137"/>
              </w:tabs>
              <w:jc w:val="left"/>
              <w:rPr>
                <w:rFonts w:hint="default" w:ascii="仿宋" w:hAnsi="仿宋" w:eastAsia="仿宋" w:cs="仿宋"/>
                <w:i w:val="0"/>
                <w:iCs w:val="0"/>
                <w:snapToGrid w:val="0"/>
                <w:color w:val="auto"/>
                <w:kern w:val="0"/>
                <w:sz w:val="28"/>
                <w:szCs w:val="28"/>
                <w:highlight w:val="none"/>
                <w:u w:val="none"/>
                <w:lang w:val="en-US" w:eastAsia="zh-CN" w:bidi="ar"/>
              </w:rPr>
            </w:pPr>
            <w:r>
              <w:rPr>
                <w:rFonts w:hint="eastAsia" w:ascii="仿宋" w:hAnsi="仿宋" w:eastAsia="仿宋" w:cs="仿宋"/>
                <w:i w:val="0"/>
                <w:iCs w:val="0"/>
                <w:snapToGrid w:val="0"/>
                <w:color w:val="auto"/>
                <w:kern w:val="0"/>
                <w:sz w:val="28"/>
                <w:szCs w:val="28"/>
                <w:highlight w:val="none"/>
                <w:u w:val="none"/>
                <w:lang w:val="en-US" w:eastAsia="zh-CN" w:bidi="ar"/>
              </w:rPr>
              <w:tab/>
            </w:r>
            <w:r>
              <w:rPr>
                <w:rFonts w:hint="eastAsia" w:ascii="仿宋" w:hAnsi="仿宋" w:eastAsia="仿宋" w:cs="仿宋"/>
                <w:i w:val="0"/>
                <w:iCs w:val="0"/>
                <w:snapToGrid w:val="0"/>
                <w:color w:val="auto"/>
                <w:kern w:val="0"/>
                <w:sz w:val="28"/>
                <w:szCs w:val="28"/>
                <w:highlight w:val="none"/>
                <w:u w:val="none"/>
                <w:lang w:val="en-US" w:eastAsia="zh-CN" w:bidi="ar"/>
              </w:rPr>
              <w:t>按要求计取</w:t>
            </w:r>
          </w:p>
        </w:tc>
      </w:tr>
    </w:tbl>
    <w:p w14:paraId="0E22A94D">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ascii="仿宋" w:hAnsi="仿宋" w:eastAsia="仿宋" w:cs="仿宋"/>
          <w:b/>
          <w:bCs/>
          <w:color w:val="auto"/>
          <w:spacing w:val="5"/>
          <w:sz w:val="28"/>
          <w:szCs w:val="28"/>
          <w:highlight w:val="none"/>
        </w:rPr>
        <w:sectPr>
          <w:pgSz w:w="16839" w:h="11906" w:orient="landscape"/>
          <w:pgMar w:top="1417" w:right="1431" w:bottom="1417" w:left="1134" w:header="0" w:footer="992" w:gutter="0"/>
          <w:pgNumType w:fmt="decimal"/>
          <w:cols w:space="720" w:num="1"/>
        </w:sectPr>
      </w:pPr>
    </w:p>
    <w:p w14:paraId="14CB9CD1">
      <w:pPr>
        <w:keepNext w:val="0"/>
        <w:keepLines w:val="0"/>
        <w:pageBreakBefore w:val="0"/>
        <w:widowControl/>
        <w:kinsoku w:val="0"/>
        <w:wordWrap/>
        <w:overflowPunct/>
        <w:topLinePunct w:val="0"/>
        <w:autoSpaceDE w:val="0"/>
        <w:autoSpaceDN w:val="0"/>
        <w:bidi w:val="0"/>
        <w:adjustRightInd w:val="0"/>
        <w:snapToGrid w:val="0"/>
        <w:spacing w:line="360" w:lineRule="auto"/>
        <w:ind w:right="0"/>
        <w:jc w:val="both"/>
        <w:textAlignment w:val="baseline"/>
        <w:rPr>
          <w:rFonts w:hint="eastAsia" w:ascii="仿宋" w:hAnsi="仿宋" w:eastAsia="仿宋" w:cs="仿宋"/>
          <w:b/>
          <w:bCs/>
          <w:color w:val="auto"/>
          <w:spacing w:val="5"/>
          <w:sz w:val="28"/>
          <w:szCs w:val="28"/>
          <w:highlight w:val="none"/>
          <w:lang w:val="en-US" w:eastAsia="zh-CN"/>
        </w:rPr>
      </w:pPr>
      <w:r>
        <w:rPr>
          <w:rFonts w:hint="eastAsia" w:ascii="仿宋" w:hAnsi="仿宋" w:eastAsia="仿宋" w:cs="仿宋"/>
          <w:b/>
          <w:bCs/>
          <w:color w:val="auto"/>
          <w:spacing w:val="5"/>
          <w:sz w:val="28"/>
          <w:szCs w:val="28"/>
          <w:highlight w:val="none"/>
          <w:lang w:eastAsia="zh-CN"/>
        </w:rPr>
        <w:t>六、</w:t>
      </w:r>
      <w:r>
        <w:rPr>
          <w:rFonts w:ascii="仿宋" w:hAnsi="仿宋" w:eastAsia="仿宋" w:cs="仿宋"/>
          <w:b/>
          <w:bCs/>
          <w:color w:val="auto"/>
          <w:spacing w:val="5"/>
          <w:sz w:val="28"/>
          <w:szCs w:val="28"/>
          <w:highlight w:val="none"/>
        </w:rPr>
        <w:t>商务要求</w:t>
      </w:r>
    </w:p>
    <w:p w14:paraId="58D54C54">
      <w:pPr>
        <w:keepNext w:val="0"/>
        <w:keepLines w:val="0"/>
        <w:pageBreakBefore w:val="0"/>
        <w:kinsoku/>
        <w:wordWrap/>
        <w:overflowPunct/>
        <w:topLinePunct w:val="0"/>
        <w:autoSpaceDE/>
        <w:autoSpaceDN/>
        <w:bidi w:val="0"/>
        <w:adjustRightInd/>
        <w:snapToGrid/>
        <w:spacing w:line="360" w:lineRule="auto"/>
        <w:ind w:firstLine="562" w:firstLineChars="200"/>
        <w:jc w:val="left"/>
        <w:textAlignment w:val="auto"/>
        <w:rPr>
          <w:rFonts w:hint="eastAsia" w:ascii="仿宋" w:hAnsi="仿宋" w:eastAsia="仿宋" w:cs="仿宋"/>
          <w:b w:val="0"/>
          <w:bCs/>
          <w:color w:val="auto"/>
          <w:sz w:val="28"/>
          <w:szCs w:val="28"/>
          <w:highlight w:val="none"/>
          <w:lang w:val="en-US" w:eastAsia="zh-CN"/>
        </w:rPr>
      </w:pPr>
      <w:r>
        <w:rPr>
          <w:rFonts w:hint="eastAsia" w:ascii="仿宋" w:hAnsi="仿宋" w:eastAsia="仿宋" w:cs="仿宋"/>
          <w:b/>
          <w:color w:val="auto"/>
          <w:kern w:val="0"/>
          <w:sz w:val="28"/>
          <w:szCs w:val="28"/>
          <w:highlight w:val="none"/>
          <w:lang w:val="en-US" w:eastAsia="zh-CN"/>
        </w:rPr>
        <w:t>1</w:t>
      </w:r>
      <w:r>
        <w:rPr>
          <w:rFonts w:hint="eastAsia" w:ascii="仿宋" w:hAnsi="仿宋" w:eastAsia="仿宋" w:cs="仿宋"/>
          <w:b/>
          <w:color w:val="auto"/>
          <w:kern w:val="0"/>
          <w:sz w:val="28"/>
          <w:szCs w:val="28"/>
          <w:highlight w:val="none"/>
        </w:rPr>
        <w:t>.</w:t>
      </w:r>
      <w:r>
        <w:rPr>
          <w:rFonts w:hint="eastAsia" w:ascii="仿宋" w:hAnsi="仿宋" w:eastAsia="仿宋" w:cs="仿宋"/>
          <w:b/>
          <w:color w:val="auto"/>
          <w:sz w:val="28"/>
          <w:szCs w:val="28"/>
          <w:highlight w:val="none"/>
          <w:lang w:eastAsia="zh-CN"/>
        </w:rPr>
        <w:t>服务期</w:t>
      </w:r>
      <w:r>
        <w:rPr>
          <w:rFonts w:hint="eastAsia" w:ascii="仿宋" w:hAnsi="仿宋" w:eastAsia="仿宋" w:cs="仿宋"/>
          <w:b/>
          <w:color w:val="auto"/>
          <w:sz w:val="28"/>
          <w:szCs w:val="28"/>
          <w:highlight w:val="none"/>
        </w:rPr>
        <w:t>：</w:t>
      </w:r>
      <w:r>
        <w:rPr>
          <w:rFonts w:hint="eastAsia" w:ascii="仿宋" w:hAnsi="仿宋" w:eastAsia="仿宋" w:cs="仿宋"/>
          <w:b w:val="0"/>
          <w:bCs/>
          <w:color w:val="auto"/>
          <w:sz w:val="28"/>
          <w:szCs w:val="28"/>
          <w:highlight w:val="none"/>
          <w:lang w:val="en-US" w:eastAsia="zh-CN"/>
        </w:rPr>
        <w:t>（1）、签订合同后 150日历天完成所有古树名木普查及安装挂牌工作。（2）、成交供应商所提供服务和货物的质量、性能不符合合同规定标准的，采购人有权拒收；因此产生的一切经济损失由成交供应商承担。</w:t>
      </w:r>
    </w:p>
    <w:p w14:paraId="3DEBD053">
      <w:pPr>
        <w:keepNext w:val="0"/>
        <w:keepLines w:val="0"/>
        <w:pageBreakBefore w:val="0"/>
        <w:kinsoku/>
        <w:wordWrap/>
        <w:overflowPunct/>
        <w:topLinePunct w:val="0"/>
        <w:autoSpaceDE/>
        <w:autoSpaceDN/>
        <w:bidi w:val="0"/>
        <w:adjustRightInd/>
        <w:snapToGrid/>
        <w:spacing w:line="360" w:lineRule="auto"/>
        <w:ind w:firstLine="562" w:firstLineChars="200"/>
        <w:jc w:val="left"/>
        <w:textAlignment w:val="auto"/>
        <w:rPr>
          <w:rFonts w:hint="eastAsia" w:ascii="仿宋" w:hAnsi="仿宋" w:eastAsia="仿宋" w:cs="仿宋"/>
          <w:b w:val="0"/>
          <w:bCs/>
          <w:color w:val="auto"/>
          <w:sz w:val="28"/>
          <w:szCs w:val="28"/>
          <w:highlight w:val="none"/>
        </w:rPr>
      </w:pPr>
      <w:r>
        <w:rPr>
          <w:rFonts w:hint="eastAsia" w:ascii="仿宋" w:hAnsi="仿宋" w:eastAsia="仿宋" w:cs="仿宋"/>
          <w:b/>
          <w:bCs w:val="0"/>
          <w:color w:val="auto"/>
          <w:sz w:val="28"/>
          <w:szCs w:val="28"/>
          <w:highlight w:val="none"/>
          <w:lang w:val="en-US" w:eastAsia="zh-CN"/>
        </w:rPr>
        <w:t>2.质量保证期</w:t>
      </w:r>
      <w:r>
        <w:rPr>
          <w:rFonts w:hint="eastAsia" w:ascii="仿宋" w:hAnsi="仿宋" w:eastAsia="仿宋" w:cs="仿宋"/>
          <w:b w:val="0"/>
          <w:bCs/>
          <w:color w:val="auto"/>
          <w:sz w:val="28"/>
          <w:szCs w:val="28"/>
          <w:highlight w:val="none"/>
          <w:lang w:val="en-US" w:eastAsia="zh-CN"/>
        </w:rPr>
        <w:t>：自项目竣工验收合格之日起 12 个月的质保期。</w:t>
      </w:r>
    </w:p>
    <w:p w14:paraId="47116480">
      <w:pPr>
        <w:keepNext w:val="0"/>
        <w:keepLines w:val="0"/>
        <w:pageBreakBefore w:val="0"/>
        <w:widowControl/>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color w:val="auto"/>
          <w:kern w:val="0"/>
          <w:sz w:val="28"/>
          <w:szCs w:val="28"/>
          <w:highlight w:val="none"/>
          <w:lang w:val="en-US" w:eastAsia="zh-CN"/>
        </w:rPr>
        <w:t>3</w:t>
      </w:r>
      <w:r>
        <w:rPr>
          <w:rFonts w:hint="eastAsia" w:ascii="仿宋" w:hAnsi="仿宋" w:eastAsia="仿宋" w:cs="仿宋"/>
          <w:b/>
          <w:color w:val="auto"/>
          <w:kern w:val="0"/>
          <w:sz w:val="28"/>
          <w:szCs w:val="28"/>
          <w:highlight w:val="none"/>
        </w:rPr>
        <w:t>.</w:t>
      </w:r>
      <w:r>
        <w:rPr>
          <w:rFonts w:hint="eastAsia" w:ascii="仿宋" w:hAnsi="仿宋" w:eastAsia="仿宋" w:cs="仿宋"/>
          <w:b/>
          <w:color w:val="auto"/>
          <w:kern w:val="0"/>
          <w:sz w:val="28"/>
          <w:szCs w:val="28"/>
          <w:highlight w:val="none"/>
          <w:lang w:eastAsia="zh-CN"/>
        </w:rPr>
        <w:t>交货</w:t>
      </w:r>
      <w:r>
        <w:rPr>
          <w:rFonts w:hint="eastAsia" w:ascii="仿宋" w:hAnsi="仿宋" w:eastAsia="仿宋" w:cs="仿宋"/>
          <w:b/>
          <w:color w:val="auto"/>
          <w:kern w:val="0"/>
          <w:sz w:val="28"/>
          <w:szCs w:val="28"/>
          <w:highlight w:val="none"/>
        </w:rPr>
        <w:t>地点：</w:t>
      </w:r>
      <w:r>
        <w:rPr>
          <w:rFonts w:hint="eastAsia" w:ascii="仿宋" w:hAnsi="仿宋" w:eastAsia="仿宋" w:cs="仿宋"/>
          <w:color w:val="auto"/>
          <w:kern w:val="0"/>
          <w:sz w:val="28"/>
          <w:szCs w:val="28"/>
          <w:highlight w:val="none"/>
        </w:rPr>
        <w:t>采购人指定地点。</w:t>
      </w:r>
    </w:p>
    <w:p w14:paraId="2FA2276D">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val="0"/>
          <w:bCs/>
          <w:color w:val="auto"/>
          <w:kern w:val="0"/>
          <w:sz w:val="28"/>
          <w:szCs w:val="28"/>
          <w:highlight w:val="none"/>
          <w:lang w:val="en-US" w:eastAsia="zh-CN"/>
        </w:rPr>
      </w:pPr>
      <w:r>
        <w:rPr>
          <w:rFonts w:hint="eastAsia" w:ascii="仿宋" w:hAnsi="仿宋" w:eastAsia="仿宋" w:cs="仿宋"/>
          <w:b/>
          <w:color w:val="auto"/>
          <w:kern w:val="0"/>
          <w:sz w:val="28"/>
          <w:szCs w:val="28"/>
          <w:highlight w:val="none"/>
          <w:lang w:val="en-US" w:eastAsia="zh-CN"/>
        </w:rPr>
        <w:t>4</w:t>
      </w:r>
      <w:r>
        <w:rPr>
          <w:rFonts w:hint="eastAsia" w:ascii="仿宋" w:hAnsi="仿宋" w:eastAsia="仿宋" w:cs="仿宋"/>
          <w:b/>
          <w:color w:val="auto"/>
          <w:kern w:val="0"/>
          <w:sz w:val="28"/>
          <w:szCs w:val="28"/>
          <w:highlight w:val="none"/>
        </w:rPr>
        <w:t>.付款方式：</w:t>
      </w:r>
      <w:r>
        <w:rPr>
          <w:rFonts w:hint="eastAsia" w:ascii="仿宋" w:hAnsi="仿宋" w:eastAsia="仿宋" w:cs="仿宋"/>
          <w:b w:val="0"/>
          <w:bCs/>
          <w:color w:val="auto"/>
          <w:kern w:val="0"/>
          <w:sz w:val="28"/>
          <w:szCs w:val="28"/>
          <w:highlight w:val="none"/>
          <w:lang w:val="en-US" w:eastAsia="zh-CN"/>
        </w:rPr>
        <w:t>合同签订后，按服务进度支付，每完成单项工作并交采购人验收合格后付该单项工作价款的 60%，其余尾款于全部工作结束提交资料并经验收合格后三个月内一次性付清。</w:t>
      </w:r>
    </w:p>
    <w:p w14:paraId="3F751C3F">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val="0"/>
          <w:bCs/>
          <w:color w:val="auto"/>
          <w:sz w:val="28"/>
          <w:szCs w:val="28"/>
          <w:highlight w:val="none"/>
          <w:lang w:eastAsia="zh-CN"/>
        </w:rPr>
      </w:pPr>
      <w:r>
        <w:rPr>
          <w:rFonts w:hint="eastAsia" w:ascii="仿宋" w:hAnsi="仿宋" w:eastAsia="仿宋" w:cs="仿宋"/>
          <w:b/>
          <w:color w:val="auto"/>
          <w:sz w:val="28"/>
          <w:szCs w:val="28"/>
          <w:highlight w:val="none"/>
          <w:lang w:val="en-US" w:eastAsia="zh-CN"/>
        </w:rPr>
        <w:t>5</w:t>
      </w:r>
      <w:r>
        <w:rPr>
          <w:rFonts w:hint="eastAsia" w:ascii="仿宋" w:hAnsi="仿宋" w:eastAsia="仿宋" w:cs="仿宋"/>
          <w:b/>
          <w:color w:val="auto"/>
          <w:sz w:val="28"/>
          <w:szCs w:val="28"/>
          <w:highlight w:val="none"/>
        </w:rPr>
        <w:t>.履约保证金：</w:t>
      </w:r>
      <w:r>
        <w:rPr>
          <w:rFonts w:hint="eastAsia" w:ascii="仿宋" w:hAnsi="仿宋" w:eastAsia="仿宋" w:cs="仿宋"/>
          <w:b w:val="0"/>
          <w:bCs/>
          <w:color w:val="auto"/>
          <w:sz w:val="28"/>
          <w:szCs w:val="28"/>
          <w:highlight w:val="none"/>
          <w:lang w:eastAsia="zh-CN"/>
        </w:rPr>
        <w:t>本项目不收取履约保证金</w:t>
      </w:r>
    </w:p>
    <w:p w14:paraId="25D0A23E">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val="0"/>
          <w:color w:val="auto"/>
          <w:kern w:val="0"/>
          <w:sz w:val="28"/>
          <w:szCs w:val="28"/>
          <w:highlight w:val="none"/>
        </w:rPr>
      </w:pPr>
      <w:r>
        <w:rPr>
          <w:rFonts w:hint="eastAsia" w:ascii="仿宋" w:hAnsi="仿宋" w:eastAsia="仿宋" w:cs="仿宋"/>
          <w:b/>
          <w:bCs w:val="0"/>
          <w:color w:val="auto"/>
          <w:kern w:val="0"/>
          <w:sz w:val="28"/>
          <w:szCs w:val="28"/>
          <w:highlight w:val="none"/>
          <w:lang w:val="en-US" w:eastAsia="zh-CN"/>
        </w:rPr>
        <w:t>6</w:t>
      </w:r>
      <w:r>
        <w:rPr>
          <w:rFonts w:hint="eastAsia" w:ascii="仿宋" w:hAnsi="仿宋" w:eastAsia="仿宋" w:cs="仿宋"/>
          <w:b/>
          <w:bCs w:val="0"/>
          <w:color w:val="auto"/>
          <w:kern w:val="0"/>
          <w:sz w:val="28"/>
          <w:szCs w:val="28"/>
          <w:highlight w:val="none"/>
        </w:rPr>
        <w:t>.知识产权归属和处理方式：</w:t>
      </w:r>
    </w:p>
    <w:p w14:paraId="250A6A3A">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rPr>
        <w:t>成交供应商保证在项目过程中有可能涉及到的涉密数据、个人隐私数据的安全；最终用户对成交供应商提供的各种形式的相关资料有保密义务，不得提供给与本合同无关的第三方；成交供应商在实施本项目过程中，接处到用户的涉密信息，包括以各种形式存在的国家秘密、工作秘密和商业秘密信息，有保密义务，不得向第三方泄露；未经用户分管领导批准，成交供应商不得持有、保存用户的各种涉密载体。如由于成交供应商不慎泄露涉密数据或隐私数据，由此引发的刑事、民事责任由成交供应商自行承担。</w:t>
      </w:r>
    </w:p>
    <w:p w14:paraId="7F573661">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7.人员及管理要求：</w:t>
      </w:r>
      <w:r>
        <w:rPr>
          <w:rFonts w:hint="eastAsia" w:ascii="仿宋" w:hAnsi="仿宋" w:eastAsia="仿宋" w:cs="仿宋"/>
          <w:color w:val="auto"/>
          <w:kern w:val="0"/>
          <w:sz w:val="28"/>
          <w:szCs w:val="28"/>
          <w:highlight w:val="none"/>
          <w:lang w:val="en-US" w:eastAsia="zh-CN"/>
        </w:rPr>
        <w:t xml:space="preserve"> </w:t>
      </w:r>
    </w:p>
    <w:p w14:paraId="1A33585F">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管理要求：本项目需拟派满足项目需要的人员，如人员不足采购人要求成交供应商补充人员，需及时补充，确保项目进度不受影响。</w:t>
      </w:r>
    </w:p>
    <w:p w14:paraId="0F54C14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因本项目为户外高山作业，为确保作业安全及人员健康，降低作业风险，所有技术和管理人员年龄须严格控制在 60 周岁以下（不含 60 周岁），保障项目顺利实施及人员安全。</w:t>
      </w:r>
    </w:p>
    <w:p w14:paraId="48C50680">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8.采购人不组织踏勘现场：</w:t>
      </w:r>
      <w:r>
        <w:rPr>
          <w:rFonts w:hint="eastAsia" w:ascii="仿宋" w:hAnsi="仿宋" w:eastAsia="仿宋" w:cs="仿宋"/>
          <w:color w:val="auto"/>
          <w:kern w:val="0"/>
          <w:sz w:val="28"/>
          <w:szCs w:val="28"/>
          <w:highlight w:val="none"/>
          <w:lang w:val="en-US" w:eastAsia="zh-CN"/>
        </w:rPr>
        <w:t>供应商应自行安排时间进行实地考察。供应商踏勘现场的费用自理，为磋商报价取得依据。一旦成交，不得以不了解现场情况为理由而提出额外费用，采购人将不予考虑。在现场考察过程中，响应供应商如果发生人身伤亡、财务或其它损失，不论何种原因造成，均由供应商自负。</w:t>
      </w:r>
    </w:p>
    <w:p w14:paraId="0C746DCF">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9.交货包装： </w:t>
      </w:r>
    </w:p>
    <w:p w14:paraId="7C79CA93">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1）运输和施工及场地安全由成交供应商全权负责，采购人不提供任何保障。 </w:t>
      </w:r>
    </w:p>
    <w:p w14:paraId="189D41E3">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2）如果成交供应商没有按照合同规定或采购人同意延长的时间完工，赔偿费应按每迟交一周，按合同总价的 1%计收。但违约赔偿费的最高限额为合同总价的 10%。一周按 7 天计算，不足 7天按一周计算。如果成交供应商在达到最高限额后仍不能完工，采购人可考虑终止合同。因此产生的一切经济损失由成交供应商承担。</w:t>
      </w:r>
    </w:p>
    <w:p w14:paraId="1CC1453A">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10.验收: </w:t>
      </w:r>
    </w:p>
    <w:p w14:paraId="06AA8E02">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10.1成交供应商根据采购合同的要求完成所有服务并认为达到交付标准后，由成交供应商提出验收申请，采购单位收到验收申请后，按要求组织完成验收事宜。</w:t>
      </w:r>
    </w:p>
    <w:p w14:paraId="2B88B4B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10</w:t>
      </w:r>
      <w:r>
        <w:rPr>
          <w:rFonts w:hint="eastAsia" w:ascii="仿宋" w:hAnsi="仿宋" w:eastAsia="仿宋" w:cs="仿宋"/>
          <w:color w:val="auto"/>
          <w:kern w:val="0"/>
          <w:sz w:val="28"/>
          <w:szCs w:val="28"/>
          <w:highlight w:val="none"/>
        </w:rPr>
        <w:t>.2验收小组依据采购合同约定，对成交供应商履约的每一项技术、服务、安全标准的履约情况进行验收，凡验收不合格的，限期整改；整改不到位的，不予拨付采购资金，并追究该成交供应商相应责任。由此造成的任何损失由成交供应商自行承担。</w:t>
      </w:r>
    </w:p>
    <w:p w14:paraId="3410B9F8">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10</w:t>
      </w:r>
      <w:r>
        <w:rPr>
          <w:rFonts w:hint="eastAsia" w:ascii="仿宋" w:hAnsi="仿宋" w:eastAsia="仿宋" w:cs="仿宋"/>
          <w:color w:val="auto"/>
          <w:kern w:val="0"/>
          <w:sz w:val="28"/>
          <w:szCs w:val="28"/>
          <w:highlight w:val="none"/>
        </w:rPr>
        <w:t>.3所有参与验收人员应当书面签字以示负责。</w:t>
      </w:r>
    </w:p>
    <w:p w14:paraId="2FE90045">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11、验收结算：</w:t>
      </w:r>
      <w:r>
        <w:rPr>
          <w:rFonts w:hint="eastAsia" w:ascii="仿宋" w:hAnsi="仿宋" w:eastAsia="仿宋" w:cs="仿宋"/>
          <w:color w:val="auto"/>
          <w:kern w:val="0"/>
          <w:sz w:val="28"/>
          <w:szCs w:val="28"/>
          <w:highlight w:val="none"/>
          <w:lang w:val="en-US" w:eastAsia="zh-CN"/>
        </w:rPr>
        <w:t xml:space="preserve">成交供应商必须按规定的范围、项目、技术要求等进行工作，否则不予以验收结算。 </w:t>
      </w:r>
    </w:p>
    <w:p w14:paraId="3D081820">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仿宋" w:hAnsi="仿宋" w:eastAsia="仿宋" w:cs="仿宋"/>
          <w:b/>
          <w:bCs/>
          <w:color w:val="auto"/>
          <w:kern w:val="0"/>
          <w:sz w:val="28"/>
          <w:szCs w:val="28"/>
          <w:highlight w:val="none"/>
        </w:rPr>
      </w:pPr>
      <w:r>
        <w:rPr>
          <w:rFonts w:hint="eastAsia" w:ascii="仿宋" w:hAnsi="仿宋" w:eastAsia="仿宋" w:cs="仿宋"/>
          <w:b/>
          <w:bCs/>
          <w:color w:val="auto"/>
          <w:kern w:val="0"/>
          <w:sz w:val="28"/>
          <w:szCs w:val="28"/>
          <w:highlight w:val="none"/>
          <w:lang w:val="en-US" w:eastAsia="zh-CN"/>
        </w:rPr>
        <w:t xml:space="preserve">12、其它要求: </w:t>
      </w:r>
    </w:p>
    <w:p w14:paraId="67D30C13">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1）成交供应商应保证采购人在中华人民共和国使用成交供应商所提供的货物或货物的任何一部分时，免受第三方提出的侵犯其专利权、商标权或工业设计权的起诉；如果任何第三方提出侵权指控，成交供应商承担一切与之有关的责任。 </w:t>
      </w:r>
    </w:p>
    <w:p w14:paraId="47246CA6">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rPr>
      </w:pPr>
      <w:r>
        <w:rPr>
          <w:rFonts w:hint="eastAsia" w:ascii="仿宋" w:hAnsi="仿宋" w:eastAsia="仿宋" w:cs="仿宋"/>
          <w:color w:val="auto"/>
          <w:kern w:val="0"/>
          <w:sz w:val="28"/>
          <w:szCs w:val="28"/>
          <w:highlight w:val="none"/>
          <w:lang w:val="en-US" w:eastAsia="zh-CN"/>
        </w:rPr>
        <w:t xml:space="preserve">2）成交供应商应保证安全文明工作，工作过程中发生的重大人员事故，或因成交供应商管理不善等原因造成人员伤亡等责任事故均由成交供应商负责，采购人不承担任何法律及经济责任。 </w:t>
      </w:r>
    </w:p>
    <w:p w14:paraId="58277FF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color w:val="auto"/>
          <w:kern w:val="0"/>
          <w:sz w:val="28"/>
          <w:szCs w:val="28"/>
          <w:highlight w:val="none"/>
          <w:lang w:val="en-US" w:eastAsia="zh-CN"/>
        </w:rPr>
      </w:pPr>
      <w:r>
        <w:rPr>
          <w:rFonts w:hint="eastAsia" w:ascii="仿宋" w:hAnsi="仿宋" w:eastAsia="仿宋" w:cs="仿宋"/>
          <w:color w:val="auto"/>
          <w:kern w:val="0"/>
          <w:sz w:val="28"/>
          <w:szCs w:val="28"/>
          <w:highlight w:val="none"/>
          <w:lang w:val="en-US" w:eastAsia="zh-CN"/>
        </w:rPr>
        <w:t>3）如采购人在工作的实施过程中对产品的需求如数量、规格等</w:t>
      </w:r>
      <w:bookmarkStart w:id="1" w:name="_GoBack"/>
      <w:bookmarkEnd w:id="1"/>
      <w:r>
        <w:rPr>
          <w:rFonts w:hint="eastAsia" w:ascii="仿宋" w:hAnsi="仿宋" w:eastAsia="仿宋" w:cs="仿宋"/>
          <w:color w:val="auto"/>
          <w:kern w:val="0"/>
          <w:sz w:val="28"/>
          <w:szCs w:val="28"/>
          <w:highlight w:val="none"/>
          <w:lang w:val="en-US" w:eastAsia="zh-CN"/>
        </w:rPr>
        <w:t>有变化，按实际数量计算，单价则按中标单价计算。</w:t>
      </w:r>
    </w:p>
    <w:p w14:paraId="2D12FDEC">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562" w:firstLineChars="200"/>
        <w:jc w:val="left"/>
        <w:textAlignment w:val="baseline"/>
        <w:rPr>
          <w:rFonts w:hint="eastAsia" w:ascii="仿宋" w:hAnsi="仿宋" w:eastAsia="仿宋" w:cs="仿宋"/>
          <w:color w:val="auto"/>
          <w:kern w:val="0"/>
          <w:sz w:val="28"/>
          <w:szCs w:val="28"/>
          <w:highlight w:val="none"/>
          <w:lang w:val="en-US" w:eastAsia="zh-CN"/>
        </w:rPr>
      </w:pPr>
      <w:r>
        <w:rPr>
          <w:rFonts w:hint="eastAsia" w:ascii="仿宋" w:hAnsi="仿宋" w:eastAsia="仿宋" w:cs="仿宋"/>
          <w:b/>
          <w:bCs/>
          <w:color w:val="auto"/>
          <w:kern w:val="0"/>
          <w:sz w:val="28"/>
          <w:szCs w:val="28"/>
          <w:highlight w:val="none"/>
          <w:lang w:val="en-US" w:eastAsia="zh-CN"/>
        </w:rPr>
        <w:t>13</w:t>
      </w:r>
      <w:r>
        <w:rPr>
          <w:rFonts w:hint="eastAsia" w:ascii="仿宋" w:hAnsi="仿宋" w:eastAsia="仿宋" w:cs="仿宋"/>
          <w:b/>
          <w:bCs/>
          <w:color w:val="auto"/>
          <w:kern w:val="0"/>
          <w:sz w:val="28"/>
          <w:szCs w:val="28"/>
          <w:highlight w:val="none"/>
        </w:rPr>
        <w:t>.磋商报价：</w:t>
      </w:r>
      <w:r>
        <w:rPr>
          <w:rFonts w:hint="eastAsia" w:ascii="仿宋" w:hAnsi="仿宋" w:eastAsia="仿宋" w:cs="仿宋"/>
          <w:color w:val="auto"/>
          <w:kern w:val="0"/>
          <w:sz w:val="28"/>
          <w:szCs w:val="28"/>
          <w:highlight w:val="none"/>
        </w:rPr>
        <w:t>包含磋商文件所约定的范围内全部内容价格体现的“交钥匙工程”，</w:t>
      </w:r>
      <w:r>
        <w:rPr>
          <w:rFonts w:hint="eastAsia" w:ascii="仿宋" w:hAnsi="仿宋" w:eastAsia="仿宋" w:cs="仿宋"/>
          <w:color w:val="auto"/>
          <w:kern w:val="0"/>
          <w:sz w:val="28"/>
          <w:szCs w:val="28"/>
          <w:highlight w:val="none"/>
          <w:lang w:val="en-US" w:eastAsia="zh-CN"/>
        </w:rPr>
        <w:t>磋商报价包括工作所需人工调查费、全部材料费用、运杂费、保险费、安装调试费（含辅材）、验收费、措施费、规费、税金、管理人工费及电费、机械损耗费以及质保期间的一切可能发生的费用，凡关乎本项目、无论现清单中是否涉及到的设备材料或工作均包括在内，验收实际数量结算低于成交金额的按照实际金额结算。</w:t>
      </w:r>
    </w:p>
    <w:p w14:paraId="4CB4EDDF">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val="0"/>
        <w:wordWrap/>
        <w:overflowPunct/>
        <w:topLinePunct w:val="0"/>
        <w:autoSpaceDE w:val="0"/>
        <w:autoSpaceDN w:val="0"/>
        <w:bidi w:val="0"/>
        <w:adjustRightInd w:val="0"/>
        <w:snapToGrid w:val="0"/>
        <w:spacing w:before="0" w:beforeAutospacing="0" w:after="0" w:afterAutospacing="0" w:line="560" w:lineRule="exact"/>
        <w:ind w:left="0" w:right="0" w:firstLine="560" w:firstLineChars="200"/>
        <w:jc w:val="left"/>
        <w:textAlignment w:val="baseline"/>
        <w:rPr>
          <w:rFonts w:hint="eastAsia" w:ascii="仿宋" w:hAnsi="仿宋" w:eastAsia="仿宋" w:cs="仿宋"/>
          <w:color w:val="auto"/>
          <w:kern w:val="0"/>
          <w:sz w:val="28"/>
          <w:szCs w:val="28"/>
          <w:highlight w:val="none"/>
          <w:lang w:val="en-US" w:eastAsia="zh-CN"/>
        </w:rPr>
      </w:pPr>
    </w:p>
    <w:p w14:paraId="0D74779D">
      <w:pPr>
        <w:keepNext w:val="0"/>
        <w:keepLines w:val="0"/>
        <w:pageBreakBefore w:val="0"/>
        <w:kinsoku/>
        <w:wordWrap/>
        <w:overflowPunct/>
        <w:topLinePunct w:val="0"/>
        <w:autoSpaceDE/>
        <w:autoSpaceDN/>
        <w:bidi w:val="0"/>
        <w:adjustRightInd/>
        <w:snapToGrid/>
        <w:spacing w:line="360" w:lineRule="auto"/>
        <w:ind w:firstLine="723" w:firstLineChars="200"/>
        <w:textAlignment w:val="auto"/>
        <w:rPr>
          <w:rFonts w:hint="eastAsia" w:ascii="仿宋" w:hAnsi="仿宋" w:eastAsia="仿宋" w:cs="仿宋"/>
          <w:color w:val="auto"/>
          <w:kern w:val="0"/>
          <w:sz w:val="32"/>
          <w:szCs w:val="32"/>
          <w:highlight w:val="none"/>
        </w:rPr>
      </w:pPr>
      <w:r>
        <w:rPr>
          <w:rFonts w:hint="eastAsia" w:ascii="仿宋_GB2312" w:hAnsi="仿宋_GB2312" w:eastAsia="仿宋_GB2312" w:cs="仿宋_GB2312"/>
          <w:b/>
          <w:bCs/>
          <w:i w:val="0"/>
          <w:iCs w:val="0"/>
          <w:caps w:val="0"/>
          <w:color w:val="auto"/>
          <w:spacing w:val="0"/>
          <w:sz w:val="36"/>
          <w:szCs w:val="36"/>
          <w:highlight w:val="none"/>
          <w:lang w:eastAsia="zh-CN"/>
        </w:rPr>
        <w:t>以上</w:t>
      </w:r>
      <w:r>
        <w:rPr>
          <w:rFonts w:hint="eastAsia" w:ascii="仿宋_GB2312" w:hAnsi="仿宋_GB2312" w:eastAsia="仿宋_GB2312" w:cs="仿宋_GB2312"/>
          <w:b/>
          <w:bCs/>
          <w:i w:val="0"/>
          <w:iCs w:val="0"/>
          <w:caps w:val="0"/>
          <w:color w:val="auto"/>
          <w:spacing w:val="0"/>
          <w:sz w:val="36"/>
          <w:szCs w:val="36"/>
          <w:highlight w:val="none"/>
        </w:rPr>
        <w:t>内容只接受无偏离或正偏离（优于竞争性磋商文件要求），若负偏离则视为无效响应。</w:t>
      </w:r>
    </w:p>
    <w:p w14:paraId="63BCA2C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roma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669736">
    <w:pPr>
      <w:spacing w:line="14" w:lineRule="auto"/>
      <w:rPr>
        <w:rFonts w:ascii="Arial"/>
        <w:sz w:val="2"/>
      </w:rPr>
    </w:pPr>
    <w:r>
      <w:rPr>
        <w:sz w:val="2"/>
      </w:rPr>
      <mc:AlternateContent>
        <mc:Choice Requires="wps">
          <w:drawing>
            <wp:anchor distT="0" distB="0" distL="114300" distR="114300" simplePos="0" relativeHeight="251659264" behindDoc="0" locked="0" layoutInCell="1" allowOverlap="1">
              <wp:simplePos x="0" y="0"/>
              <wp:positionH relativeFrom="margin">
                <wp:posOffset>2590800</wp:posOffset>
              </wp:positionH>
              <wp:positionV relativeFrom="paragraph">
                <wp:posOffset>0</wp:posOffset>
              </wp:positionV>
              <wp:extent cx="662305" cy="20447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662305" cy="204470"/>
                      </a:xfrm>
                      <a:prstGeom prst="rect">
                        <a:avLst/>
                      </a:prstGeom>
                      <a:noFill/>
                      <a:ln w="6350">
                        <a:noFill/>
                      </a:ln>
                      <a:effectLst/>
                    </wps:spPr>
                    <wps:txbx>
                      <w:txbxContent>
                        <w:p w14:paraId="5834C516">
                          <w:pPr>
                            <w:pStyle w:val="4"/>
                            <w:tabs>
                              <w:tab w:val="center" w:pos="4153"/>
                              <w:tab w:val="right" w:pos="8306"/>
                            </w:tabs>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r>
                            <w:rPr>
                              <w:sz w:val="21"/>
                              <w:szCs w:val="21"/>
                            </w:rPr>
                            <w:t xml:space="preserve"> / </w:t>
                          </w:r>
                          <w:r>
                            <w:rPr>
                              <w:sz w:val="21"/>
                              <w:szCs w:val="21"/>
                            </w:rPr>
                            <w:fldChar w:fldCharType="begin"/>
                          </w:r>
                          <w:r>
                            <w:rPr>
                              <w:sz w:val="21"/>
                              <w:szCs w:val="21"/>
                            </w:rPr>
                            <w:instrText xml:space="preserve"> NUMPAGES  \* MERGEFORMAT </w:instrText>
                          </w:r>
                          <w:r>
                            <w:rPr>
                              <w:sz w:val="21"/>
                              <w:szCs w:val="21"/>
                            </w:rPr>
                            <w:fldChar w:fldCharType="separate"/>
                          </w:r>
                          <w:r>
                            <w:rPr>
                              <w:sz w:val="21"/>
                              <w:szCs w:val="21"/>
                            </w:rPr>
                            <w:t>9</w:t>
                          </w:r>
                          <w:r>
                            <w:rPr>
                              <w:sz w:val="21"/>
                              <w:szCs w:val="21"/>
                            </w:rPr>
                            <w:fldChar w:fldCharType="end"/>
                          </w: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4pt;margin-top:0pt;height:16.1pt;width:52.15pt;mso-position-horizontal-relative:margin;z-index:251659264;mso-width-relative:page;mso-height-relative:page;" filled="f" stroked="f" coordsize="21600,21600" o:gfxdata="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&#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LMlFWrXAAAABwEAAA8AAAAAAAAAAQAgAAAAIgAAAGRy&#10;cy9kb3ducmV2LnhtbFBLAQIUABQAAAAIAIdO4kC8eKjnPwIAAHEEAAAOAAAAAAAAAAEAIAAAACYB&#10;AABkcnMvZTJvRG9jLnhtbFBLBQYAAAAABgAGAFkBAADXBQAAAAA=&#10;">
              <v:fill on="f" focussize="0,0"/>
              <v:stroke on="f" weight="0.5pt"/>
              <v:imagedata o:title=""/>
              <o:lock v:ext="edit" aspectratio="f"/>
              <v:textbox inset="0mm,0mm,0mm,0mm">
                <w:txbxContent>
                  <w:p w14:paraId="5834C516">
                    <w:pPr>
                      <w:pStyle w:val="4"/>
                      <w:tabs>
                        <w:tab w:val="center" w:pos="4153"/>
                        <w:tab w:val="right" w:pos="8306"/>
                      </w:tabs>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r>
                      <w:rPr>
                        <w:sz w:val="21"/>
                        <w:szCs w:val="21"/>
                      </w:rPr>
                      <w:t xml:space="preserve"> / </w:t>
                    </w:r>
                    <w:r>
                      <w:rPr>
                        <w:sz w:val="21"/>
                        <w:szCs w:val="21"/>
                      </w:rPr>
                      <w:fldChar w:fldCharType="begin"/>
                    </w:r>
                    <w:r>
                      <w:rPr>
                        <w:sz w:val="21"/>
                        <w:szCs w:val="21"/>
                      </w:rPr>
                      <w:instrText xml:space="preserve"> NUMPAGES  \* MERGEFORMAT </w:instrText>
                    </w:r>
                    <w:r>
                      <w:rPr>
                        <w:sz w:val="21"/>
                        <w:szCs w:val="21"/>
                      </w:rPr>
                      <w:fldChar w:fldCharType="separate"/>
                    </w:r>
                    <w:r>
                      <w:rPr>
                        <w:sz w:val="21"/>
                        <w:szCs w:val="21"/>
                      </w:rPr>
                      <w:t>9</w:t>
                    </w:r>
                    <w:r>
                      <w:rPr>
                        <w:sz w:val="21"/>
                        <w:szCs w:val="21"/>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0A3991"/>
    <w:multiLevelType w:val="singleLevel"/>
    <w:tmpl w:val="7B0A399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457973"/>
    <w:rsid w:val="18F55828"/>
    <w:rsid w:val="234579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lang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3">
    <w:name w:val="Body Text"/>
    <w:basedOn w:val="1"/>
    <w:next w:val="1"/>
    <w:unhideWhenUsed/>
    <w:qFormat/>
    <w:uiPriority w:val="0"/>
    <w:pPr>
      <w:spacing w:after="120"/>
    </w:pPr>
    <w:rPr>
      <w:szCs w:val="24"/>
      <w:lang w:val="en-US" w:eastAsia="zh-CN" w:bidi="ar-SA"/>
    </w:rPr>
  </w:style>
  <w:style w:type="paragraph" w:styleId="4">
    <w:name w:val="footer"/>
    <w:basedOn w:val="1"/>
    <w:unhideWhenUsed/>
    <w:qFormat/>
    <w:uiPriority w:val="0"/>
    <w:pPr>
      <w:snapToGrid w:val="0"/>
    </w:pPr>
    <w:rPr>
      <w:sz w:val="18"/>
      <w:szCs w:val="18"/>
      <w:lang w:val="en-US" w:eastAsia="en-US" w:bidi="ar-SA"/>
    </w:rPr>
  </w:style>
  <w:style w:type="paragraph" w:styleId="5">
    <w:name w:val="Normal (Web)"/>
    <w:basedOn w:val="1"/>
    <w:unhideWhenUsed/>
    <w:qFormat/>
    <w:uiPriority w:val="0"/>
    <w:pPr>
      <w:spacing w:before="100" w:beforeAutospacing="1" w:after="100" w:afterAutospacing="1"/>
    </w:pPr>
    <w:rPr>
      <w:rFonts w:ascii="宋体" w:hAnsi="宋体"/>
      <w:sz w:val="24"/>
      <w:szCs w:val="22"/>
      <w:lang w:val="en-US" w:eastAsia="zh-CN" w:bidi="ar-SA"/>
    </w:rPr>
  </w:style>
  <w:style w:type="paragraph" w:styleId="6">
    <w:name w:val="Body Text First Indent"/>
    <w:basedOn w:val="3"/>
    <w:unhideWhenUsed/>
    <w:qFormat/>
    <w:uiPriority w:val="0"/>
    <w:pPr>
      <w:ind w:firstLine="420"/>
    </w:pPr>
    <w:rPr>
      <w:szCs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4487</Words>
  <Characters>4604</Characters>
  <Lines>0</Lines>
  <Paragraphs>0</Paragraphs>
  <TotalTime>0</TotalTime>
  <ScaleCrop>false</ScaleCrop>
  <LinksUpToDate>false</LinksUpToDate>
  <CharactersWithSpaces>4668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2026-07-01T07:34:00Z</dcterms:created>
  <dc:creator>Administrator</dc:creator>
  <cp:lastModifiedBy>Administrator</cp:lastModifiedBy>
  <dcterms:modified xsi:type="dcterms:W3CDTF">2026-07-01T07:37:24Z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1F5849BEC7E548E3BD56A0F4C3962AAA_11</vt:lpwstr>
  </property>
  <property fmtid="{D5CDD505-2E9C-101B-9397-08002B2CF9AE}" pid="4" name="KSOTemplateDocerSaveRecord">
    <vt:lpwstr>eyJoZGlkIjoiYTk1NTUxOGE3NDIxYTIxYjMyOWYyMGEyY2NhYTA2NzkiLCJ1c2VySWQiOiIyNjMzNzU0NzIifQ==</vt:lpwstr>
  </property>
</Properties>
</file>