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0D9BCD">
      <w:pPr>
        <w:widowControl w:val="0"/>
        <w:spacing w:before="63" w:line="224" w:lineRule="auto"/>
        <w:jc w:val="center"/>
        <w:rPr>
          <w:rFonts w:hint="eastAsia" w:ascii="宋体" w:hAnsi="宋体" w:eastAsia="宋体" w:cs="宋体"/>
          <w:color w:val="auto"/>
          <w:sz w:val="31"/>
          <w:szCs w:val="31"/>
          <w:lang w:eastAsia="zh-CN"/>
        </w:rPr>
      </w:pPr>
      <w:r>
        <w:rPr>
          <w:rFonts w:ascii="宋体" w:hAnsi="宋体" w:eastAsia="宋体" w:cs="宋体"/>
          <w:color w:val="auto"/>
          <w:spacing w:val="9"/>
          <w:sz w:val="31"/>
          <w:szCs w:val="31"/>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lang w:eastAsia="zh-CN"/>
        </w:rPr>
        <w:t xml:space="preserve">  </w:t>
      </w:r>
      <w:r>
        <w:rPr>
          <w:rFonts w:ascii="宋体" w:hAnsi="宋体" w:eastAsia="宋体" w:cs="宋体"/>
          <w:color w:val="auto"/>
          <w:spacing w:val="9"/>
          <w:sz w:val="31"/>
          <w:szCs w:val="31"/>
          <w:lang w:eastAsia="zh-CN"/>
          <w14:textOutline w14:w="5791" w14:cap="sq" w14:cmpd="sng" w14:algn="ctr">
            <w14:solidFill>
              <w14:srgbClr w14:val="000000"/>
            </w14:solidFill>
            <w14:prstDash w14:val="solid"/>
            <w14:bevel/>
          </w14:textOutline>
        </w:rPr>
        <w:t>采购需求</w:t>
      </w:r>
    </w:p>
    <w:p w14:paraId="5C1EDBEA">
      <w:pPr>
        <w:widowControl w:val="0"/>
        <w:spacing w:line="309" w:lineRule="auto"/>
        <w:jc w:val="center"/>
        <w:rPr>
          <w:color w:val="auto"/>
          <w:lang w:eastAsia="zh-CN"/>
        </w:rPr>
      </w:pPr>
    </w:p>
    <w:p w14:paraId="26E7950C">
      <w:pPr>
        <w:widowControl w:val="0"/>
        <w:spacing w:before="78" w:line="220" w:lineRule="auto"/>
        <w:jc w:val="both"/>
        <w:outlineLvl w:val="1"/>
        <w:rPr>
          <w:rFonts w:hint="eastAsia" w:ascii="宋体" w:hAnsi="宋体" w:eastAsia="宋体" w:cs="宋体"/>
          <w:color w:val="auto"/>
          <w:sz w:val="24"/>
          <w:szCs w:val="24"/>
        </w:rPr>
      </w:pPr>
      <w:bookmarkStart w:id="0" w:name="_Toc26597"/>
      <w:r>
        <w:rPr>
          <w:rFonts w:ascii="宋体" w:hAnsi="宋体" w:eastAsia="宋体" w:cs="宋体"/>
          <w:color w:val="auto"/>
          <w:spacing w:val="-2"/>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14:textOutline w14:w="4356" w14:cap="sq" w14:cmpd="sng" w14:algn="ctr">
            <w14:solidFill>
              <w14:srgbClr w14:val="000000"/>
            </w14:solidFill>
            <w14:prstDash w14:val="solid"/>
            <w14:bevel/>
          </w14:textOutline>
        </w:rPr>
        <w:t>需求表</w:t>
      </w:r>
      <w:bookmarkEnd w:id="0"/>
    </w:p>
    <w:p w14:paraId="1D4DBC90">
      <w:pPr>
        <w:widowControl w:val="0"/>
        <w:spacing w:before="64"/>
        <w:rPr>
          <w:color w:val="auto"/>
        </w:rPr>
      </w:pPr>
    </w:p>
    <w:tbl>
      <w:tblPr>
        <w:tblStyle w:val="5"/>
        <w:tblW w:w="4999"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892"/>
        <w:gridCol w:w="756"/>
        <w:gridCol w:w="5690"/>
      </w:tblGrid>
      <w:tr w14:paraId="008E46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135" w:type="pct"/>
            <w:tcBorders>
              <w:right w:val="nil"/>
            </w:tcBorders>
          </w:tcPr>
          <w:p w14:paraId="4A479390">
            <w:pPr>
              <w:widowControl w:val="0"/>
              <w:spacing w:before="183" w:line="223" w:lineRule="auto"/>
              <w:ind w:left="1091"/>
              <w:rPr>
                <w:rFonts w:hint="eastAsia" w:ascii="宋体" w:hAnsi="宋体" w:eastAsia="宋体" w:cs="宋体"/>
                <w:color w:val="auto"/>
                <w:sz w:val="24"/>
                <w:szCs w:val="24"/>
              </w:rPr>
            </w:pPr>
            <w:r>
              <w:rPr>
                <w:color w:val="auto"/>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1079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5051" cy="1485442"/>
                          </a:xfrm>
                          <a:prstGeom prst="rect">
                            <a:avLst/>
                          </a:prstGeom>
                        </pic:spPr>
                      </pic:pic>
                    </a:graphicData>
                  </a:graphic>
                </wp:anchor>
              </w:drawing>
            </w:r>
            <w:r>
              <w:rPr>
                <w:rFonts w:ascii="宋体" w:hAnsi="宋体" w:eastAsia="宋体" w:cs="宋体"/>
                <w:color w:val="auto"/>
                <w:sz w:val="24"/>
                <w:szCs w:val="24"/>
              </w:rPr>
              <w:t>名</w:t>
            </w:r>
          </w:p>
          <w:p w14:paraId="36F4DE72">
            <w:pPr>
              <w:pStyle w:val="6"/>
              <w:widowControl w:val="0"/>
              <w:spacing w:line="245" w:lineRule="auto"/>
              <w:rPr>
                <w:color w:val="auto"/>
              </w:rPr>
            </w:pPr>
          </w:p>
          <w:p w14:paraId="6B067ACD">
            <w:pPr>
              <w:pStyle w:val="6"/>
              <w:widowControl w:val="0"/>
              <w:spacing w:line="246" w:lineRule="auto"/>
              <w:rPr>
                <w:color w:val="auto"/>
              </w:rPr>
            </w:pPr>
          </w:p>
          <w:p w14:paraId="72A1FDEF">
            <w:pPr>
              <w:widowControl w:val="0"/>
              <w:spacing w:before="78" w:line="219" w:lineRule="auto"/>
              <w:ind w:left="481"/>
              <w:rPr>
                <w:rFonts w:hint="eastAsia" w:ascii="宋体" w:hAnsi="宋体" w:eastAsia="宋体" w:cs="宋体"/>
                <w:color w:val="auto"/>
                <w:sz w:val="24"/>
                <w:szCs w:val="24"/>
              </w:rPr>
            </w:pPr>
            <w:r>
              <w:rPr>
                <w:rFonts w:ascii="宋体" w:hAnsi="宋体" w:eastAsia="宋体" w:cs="宋体"/>
                <w:color w:val="auto"/>
                <w:sz w:val="24"/>
                <w:szCs w:val="24"/>
              </w:rPr>
              <w:t>内</w:t>
            </w:r>
          </w:p>
          <w:p w14:paraId="4B97B694">
            <w:pPr>
              <w:pStyle w:val="6"/>
              <w:widowControl w:val="0"/>
              <w:spacing w:line="338" w:lineRule="auto"/>
              <w:rPr>
                <w:color w:val="auto"/>
              </w:rPr>
            </w:pPr>
          </w:p>
          <w:p w14:paraId="1644363E">
            <w:pPr>
              <w:widowControl w:val="0"/>
              <w:spacing w:before="78" w:line="220" w:lineRule="auto"/>
              <w:ind w:left="1311"/>
              <w:rPr>
                <w:rFonts w:hint="eastAsia" w:ascii="宋体" w:hAnsi="宋体" w:eastAsia="宋体" w:cs="宋体"/>
                <w:color w:val="auto"/>
                <w:sz w:val="24"/>
                <w:szCs w:val="24"/>
              </w:rPr>
            </w:pPr>
            <w:r>
              <w:rPr>
                <w:rFonts w:ascii="宋体" w:hAnsi="宋体" w:eastAsia="宋体" w:cs="宋体"/>
                <w:color w:val="auto"/>
                <w:sz w:val="24"/>
                <w:szCs w:val="24"/>
              </w:rPr>
              <w:t>容</w:t>
            </w:r>
          </w:p>
        </w:tc>
        <w:tc>
          <w:tcPr>
            <w:tcW w:w="453" w:type="pct"/>
            <w:tcBorders>
              <w:left w:val="nil"/>
            </w:tcBorders>
          </w:tcPr>
          <w:p w14:paraId="51E1A045">
            <w:pPr>
              <w:pStyle w:val="6"/>
              <w:widowControl w:val="0"/>
              <w:spacing w:line="263" w:lineRule="auto"/>
              <w:rPr>
                <w:color w:val="auto"/>
              </w:rPr>
            </w:pPr>
          </w:p>
          <w:p w14:paraId="57CE564D">
            <w:pPr>
              <w:pStyle w:val="6"/>
              <w:widowControl w:val="0"/>
              <w:spacing w:line="263" w:lineRule="auto"/>
              <w:rPr>
                <w:color w:val="auto"/>
              </w:rPr>
            </w:pPr>
          </w:p>
          <w:p w14:paraId="21D19CA5">
            <w:pPr>
              <w:pStyle w:val="6"/>
              <w:widowControl w:val="0"/>
              <w:spacing w:line="264" w:lineRule="auto"/>
              <w:rPr>
                <w:color w:val="auto"/>
              </w:rPr>
            </w:pPr>
          </w:p>
          <w:p w14:paraId="01732329">
            <w:pPr>
              <w:widowControl w:val="0"/>
              <w:spacing w:before="78" w:line="221" w:lineRule="auto"/>
              <w:ind w:left="192"/>
              <w:rPr>
                <w:rFonts w:hint="eastAsia" w:ascii="宋体" w:hAnsi="宋体" w:eastAsia="宋体" w:cs="宋体"/>
                <w:color w:val="auto"/>
                <w:sz w:val="24"/>
                <w:szCs w:val="24"/>
              </w:rPr>
            </w:pPr>
            <w:r>
              <w:rPr>
                <w:rFonts w:ascii="宋体" w:hAnsi="宋体" w:eastAsia="宋体" w:cs="宋体"/>
                <w:color w:val="auto"/>
                <w:sz w:val="24"/>
                <w:szCs w:val="24"/>
              </w:rPr>
              <w:t>称</w:t>
            </w:r>
          </w:p>
        </w:tc>
        <w:tc>
          <w:tcPr>
            <w:tcW w:w="3411" w:type="pct"/>
            <w:vAlign w:val="center"/>
          </w:tcPr>
          <w:p w14:paraId="39189EBB">
            <w:pPr>
              <w:pStyle w:val="6"/>
              <w:widowControl w:val="0"/>
              <w:jc w:val="center"/>
              <w:rPr>
                <w:rFonts w:hint="eastAsia" w:ascii="宋体" w:hAnsi="宋体" w:eastAsia="宋体" w:cs="宋体"/>
                <w:color w:val="auto"/>
                <w:lang w:eastAsia="zh-CN"/>
              </w:rPr>
            </w:pPr>
            <w:r>
              <w:rPr>
                <w:rFonts w:hint="eastAsia" w:ascii="宋体" w:hAnsi="宋体" w:eastAsia="宋体" w:cs="宋体"/>
                <w:color w:val="auto"/>
                <w:lang w:eastAsia="zh-CN"/>
              </w:rPr>
              <w:t>试验钻孔</w:t>
            </w:r>
            <w:bookmarkStart w:id="3" w:name="_GoBack"/>
            <w:bookmarkEnd w:id="3"/>
            <w:r>
              <w:rPr>
                <w:rFonts w:hint="eastAsia" w:ascii="宋体" w:hAnsi="宋体" w:eastAsia="宋体" w:cs="宋体"/>
                <w:color w:val="auto"/>
                <w:lang w:eastAsia="zh-CN"/>
              </w:rPr>
              <w:t>工程技术服务</w:t>
            </w:r>
          </w:p>
        </w:tc>
      </w:tr>
      <w:tr w14:paraId="59525F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1588" w:type="pct"/>
            <w:gridSpan w:val="2"/>
            <w:vAlign w:val="center"/>
          </w:tcPr>
          <w:p w14:paraId="6D3A1883">
            <w:pPr>
              <w:widowControl w:val="0"/>
              <w:spacing w:line="219" w:lineRule="auto"/>
              <w:jc w:val="center"/>
              <w:rPr>
                <w:rFonts w:hint="eastAsia" w:ascii="宋体" w:hAnsi="宋体" w:eastAsia="宋体" w:cs="宋体"/>
                <w:color w:val="auto"/>
                <w:sz w:val="24"/>
                <w:szCs w:val="24"/>
              </w:rPr>
            </w:pPr>
            <w:r>
              <w:rPr>
                <w:rFonts w:ascii="宋体" w:hAnsi="宋体" w:eastAsia="宋体" w:cs="宋体"/>
                <w:color w:val="auto"/>
                <w:spacing w:val="-6"/>
                <w:sz w:val="24"/>
                <w:szCs w:val="24"/>
              </w:rPr>
              <w:t>数量</w:t>
            </w:r>
          </w:p>
        </w:tc>
        <w:tc>
          <w:tcPr>
            <w:tcW w:w="3411" w:type="pct"/>
            <w:vAlign w:val="center"/>
          </w:tcPr>
          <w:p w14:paraId="68CB463C">
            <w:pPr>
              <w:pStyle w:val="6"/>
              <w:widowControl w:val="0"/>
              <w:jc w:val="center"/>
              <w:rPr>
                <w:rFonts w:hint="eastAsia" w:ascii="宋体" w:hAnsi="宋体" w:eastAsia="宋体" w:cs="宋体"/>
                <w:color w:val="auto"/>
                <w:lang w:eastAsia="zh-CN"/>
              </w:rPr>
            </w:pPr>
            <w:r>
              <w:rPr>
                <w:rFonts w:hint="eastAsia" w:ascii="宋体" w:hAnsi="宋体" w:eastAsia="宋体" w:cs="宋体"/>
                <w:color w:val="auto"/>
                <w:lang w:eastAsia="zh-CN"/>
              </w:rPr>
              <w:t>1项</w:t>
            </w:r>
          </w:p>
        </w:tc>
      </w:tr>
      <w:tr w14:paraId="6045F6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10" w:hRule="atLeast"/>
        </w:trPr>
        <w:tc>
          <w:tcPr>
            <w:tcW w:w="1588" w:type="pct"/>
            <w:gridSpan w:val="2"/>
            <w:vAlign w:val="center"/>
          </w:tcPr>
          <w:p w14:paraId="482EA2E2">
            <w:pPr>
              <w:widowControl w:val="0"/>
              <w:spacing w:line="219" w:lineRule="auto"/>
              <w:jc w:val="center"/>
              <w:rPr>
                <w:rFonts w:hint="eastAsia" w:ascii="宋体" w:hAnsi="宋体" w:eastAsia="宋体" w:cs="宋体"/>
                <w:color w:val="auto"/>
                <w:sz w:val="24"/>
                <w:szCs w:val="24"/>
              </w:rPr>
            </w:pPr>
            <w:r>
              <w:rPr>
                <w:rFonts w:hint="eastAsia" w:ascii="宋体" w:hAnsi="宋体" w:eastAsia="宋体" w:cs="宋体"/>
                <w:color w:val="auto"/>
                <w:spacing w:val="-5"/>
                <w:sz w:val="24"/>
                <w:szCs w:val="24"/>
                <w:lang w:eastAsia="zh-CN"/>
              </w:rPr>
              <w:t>服务</w:t>
            </w:r>
            <w:r>
              <w:rPr>
                <w:rFonts w:ascii="宋体" w:hAnsi="宋体" w:eastAsia="宋体" w:cs="宋体"/>
                <w:color w:val="auto"/>
                <w:spacing w:val="-5"/>
                <w:sz w:val="24"/>
                <w:szCs w:val="24"/>
              </w:rPr>
              <w:t>期</w:t>
            </w:r>
          </w:p>
        </w:tc>
        <w:tc>
          <w:tcPr>
            <w:tcW w:w="3411" w:type="pct"/>
            <w:vAlign w:val="center"/>
          </w:tcPr>
          <w:p w14:paraId="402B82CE">
            <w:pPr>
              <w:pStyle w:val="6"/>
              <w:widowControl w:val="0"/>
              <w:jc w:val="center"/>
              <w:rPr>
                <w:rFonts w:hint="eastAsia" w:ascii="宋体" w:hAnsi="宋体" w:eastAsia="宋体" w:cs="宋体"/>
                <w:color w:val="auto"/>
                <w:lang w:eastAsia="zh-CN"/>
              </w:rPr>
            </w:pPr>
            <w:r>
              <w:rPr>
                <w:rFonts w:hint="eastAsia" w:ascii="宋体" w:hAnsi="宋体" w:eastAsia="宋体" w:cs="宋体"/>
                <w:color w:val="auto"/>
                <w:lang w:eastAsia="zh-CN"/>
              </w:rPr>
              <w:t>合同签订后 90 天内成交供应商完成全部服务，须符合国家标准、行业规范和合同等相关文件的要求。</w:t>
            </w:r>
          </w:p>
        </w:tc>
      </w:tr>
      <w:tr w14:paraId="1F547B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99" w:hRule="atLeast"/>
        </w:trPr>
        <w:tc>
          <w:tcPr>
            <w:tcW w:w="1588" w:type="pct"/>
            <w:gridSpan w:val="2"/>
            <w:vAlign w:val="center"/>
          </w:tcPr>
          <w:p w14:paraId="7708822E">
            <w:pPr>
              <w:widowControl w:val="0"/>
              <w:spacing w:line="219" w:lineRule="auto"/>
              <w:jc w:val="center"/>
              <w:rPr>
                <w:rFonts w:hint="eastAsia" w:ascii="宋体" w:hAnsi="宋体" w:eastAsia="宋体" w:cs="宋体"/>
                <w:color w:val="auto"/>
                <w:sz w:val="24"/>
                <w:szCs w:val="24"/>
              </w:rPr>
            </w:pPr>
            <w:r>
              <w:rPr>
                <w:rFonts w:hint="eastAsia" w:ascii="宋体" w:hAnsi="宋体" w:eastAsia="宋体" w:cs="宋体"/>
                <w:color w:val="auto"/>
                <w:spacing w:val="-4"/>
                <w:sz w:val="24"/>
                <w:szCs w:val="24"/>
                <w:lang w:eastAsia="zh-CN"/>
              </w:rPr>
              <w:t>服务</w:t>
            </w:r>
            <w:r>
              <w:rPr>
                <w:rFonts w:ascii="宋体" w:hAnsi="宋体" w:eastAsia="宋体" w:cs="宋体"/>
                <w:color w:val="auto"/>
                <w:spacing w:val="-4"/>
                <w:sz w:val="24"/>
                <w:szCs w:val="24"/>
              </w:rPr>
              <w:t>地点</w:t>
            </w:r>
          </w:p>
        </w:tc>
        <w:tc>
          <w:tcPr>
            <w:tcW w:w="3411" w:type="pct"/>
            <w:vAlign w:val="center"/>
          </w:tcPr>
          <w:p w14:paraId="1C77145A">
            <w:pPr>
              <w:pStyle w:val="6"/>
              <w:widowControl w:val="0"/>
              <w:jc w:val="center"/>
              <w:rPr>
                <w:rFonts w:hint="eastAsia" w:ascii="宋体" w:hAnsi="宋体" w:eastAsia="宋体" w:cs="宋体"/>
                <w:color w:val="auto"/>
                <w:lang w:eastAsia="zh-CN"/>
              </w:rPr>
            </w:pPr>
            <w:r>
              <w:rPr>
                <w:rFonts w:hint="eastAsia" w:ascii="宋体" w:hAnsi="宋体" w:eastAsia="宋体" w:cs="宋体"/>
                <w:color w:val="auto"/>
                <w:lang w:eastAsia="zh-CN"/>
              </w:rPr>
              <w:t>新疆维吾尔自治区伊犁察布查尔锡伯族自治县琼博拉乡512铀矿床项目现场</w:t>
            </w:r>
          </w:p>
        </w:tc>
      </w:tr>
      <w:tr w14:paraId="6D46B3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1588" w:type="pct"/>
            <w:gridSpan w:val="2"/>
            <w:vAlign w:val="center"/>
          </w:tcPr>
          <w:p w14:paraId="070201C3">
            <w:pPr>
              <w:widowControl w:val="0"/>
              <w:spacing w:line="221" w:lineRule="auto"/>
              <w:jc w:val="center"/>
              <w:rPr>
                <w:rFonts w:hint="eastAsia" w:ascii="宋体" w:hAnsi="宋体" w:eastAsia="宋体" w:cs="宋体"/>
                <w:color w:val="auto"/>
                <w:sz w:val="24"/>
                <w:szCs w:val="24"/>
              </w:rPr>
            </w:pPr>
            <w:r>
              <w:rPr>
                <w:rFonts w:ascii="宋体" w:hAnsi="宋体" w:eastAsia="宋体" w:cs="宋体"/>
                <w:color w:val="auto"/>
                <w:spacing w:val="-7"/>
                <w:sz w:val="24"/>
                <w:szCs w:val="24"/>
              </w:rPr>
              <w:t>备注</w:t>
            </w:r>
          </w:p>
        </w:tc>
        <w:tc>
          <w:tcPr>
            <w:tcW w:w="3411" w:type="pct"/>
            <w:vAlign w:val="center"/>
          </w:tcPr>
          <w:p w14:paraId="730A4D5C">
            <w:pPr>
              <w:pStyle w:val="6"/>
              <w:widowControl w:val="0"/>
              <w:jc w:val="center"/>
              <w:rPr>
                <w:rFonts w:hint="eastAsia" w:ascii="宋体" w:hAnsi="宋体" w:eastAsia="宋体" w:cs="宋体"/>
                <w:color w:val="auto"/>
                <w:lang w:eastAsia="zh-CN"/>
              </w:rPr>
            </w:pPr>
            <w:r>
              <w:rPr>
                <w:rFonts w:hint="eastAsia" w:ascii="宋体" w:hAnsi="宋体" w:eastAsia="宋体" w:cs="宋体"/>
                <w:color w:val="auto"/>
                <w:lang w:eastAsia="zh-CN"/>
              </w:rPr>
              <w:t>/</w:t>
            </w:r>
          </w:p>
        </w:tc>
      </w:tr>
    </w:tbl>
    <w:p w14:paraId="4C524091">
      <w:pPr>
        <w:widowControl w:val="0"/>
        <w:rPr>
          <w:color w:val="auto"/>
        </w:rPr>
      </w:pPr>
    </w:p>
    <w:p w14:paraId="0A83DD36">
      <w:pPr>
        <w:spacing w:before="120" w:beforeLines="50" w:after="120" w:afterLines="50" w:line="480" w:lineRule="exact"/>
        <w:rPr>
          <w:rFonts w:hint="eastAsia" w:ascii="仿宋" w:hAnsi="仿宋" w:eastAsia="仿宋" w:cs="仿宋"/>
          <w:b/>
          <w:color w:val="000000" w:themeColor="text1"/>
          <w:sz w:val="24"/>
          <w14:textFill>
            <w14:solidFill>
              <w14:schemeClr w14:val="tx1"/>
            </w14:solidFill>
          </w14:textFill>
        </w:rPr>
      </w:pPr>
      <w:r>
        <w:rPr>
          <w:rFonts w:hint="eastAsia" w:ascii="宋体" w:hAnsi="宋体" w:eastAsia="宋体" w:cs="宋体"/>
          <w:b/>
          <w:bCs/>
          <w:sz w:val="28"/>
          <w:szCs w:val="28"/>
        </w:rPr>
        <w:t>采购清单明细：</w:t>
      </w:r>
    </w:p>
    <w:tbl>
      <w:tblPr>
        <w:tblStyle w:val="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8"/>
        <w:gridCol w:w="3198"/>
        <w:gridCol w:w="1491"/>
        <w:gridCol w:w="1960"/>
        <w:gridCol w:w="930"/>
      </w:tblGrid>
      <w:tr w14:paraId="30A56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566" w:type="pct"/>
            <w:noWrap/>
            <w:vAlign w:val="center"/>
          </w:tcPr>
          <w:p w14:paraId="7FCA0E9F">
            <w:pPr>
              <w:widowControl w:val="0"/>
              <w:spacing w:line="219" w:lineRule="auto"/>
              <w:jc w:val="center"/>
              <w:rPr>
                <w:rFonts w:hint="eastAsia"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序号</w:t>
            </w:r>
          </w:p>
        </w:tc>
        <w:tc>
          <w:tcPr>
            <w:tcW w:w="1870" w:type="pct"/>
            <w:noWrap/>
            <w:vAlign w:val="center"/>
          </w:tcPr>
          <w:p w14:paraId="059FD7D6">
            <w:pPr>
              <w:widowControl w:val="0"/>
              <w:spacing w:line="219" w:lineRule="auto"/>
              <w:jc w:val="center"/>
              <w:rPr>
                <w:rFonts w:hint="eastAsia"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名称</w:t>
            </w:r>
          </w:p>
        </w:tc>
        <w:tc>
          <w:tcPr>
            <w:tcW w:w="872" w:type="pct"/>
            <w:noWrap/>
            <w:vAlign w:val="center"/>
          </w:tcPr>
          <w:p w14:paraId="6027D9C6">
            <w:pPr>
              <w:widowControl w:val="0"/>
              <w:spacing w:line="219" w:lineRule="auto"/>
              <w:jc w:val="center"/>
              <w:rPr>
                <w:rFonts w:hint="eastAsia"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数量</w:t>
            </w:r>
          </w:p>
        </w:tc>
        <w:tc>
          <w:tcPr>
            <w:tcW w:w="1146" w:type="pct"/>
            <w:noWrap/>
            <w:vAlign w:val="center"/>
          </w:tcPr>
          <w:p w14:paraId="73DA6123">
            <w:pPr>
              <w:widowControl w:val="0"/>
              <w:spacing w:line="219" w:lineRule="auto"/>
              <w:jc w:val="center"/>
              <w:rPr>
                <w:rFonts w:hint="eastAsia" w:ascii="宋体" w:hAnsi="宋体" w:eastAsia="宋体" w:cs="宋体"/>
                <w:color w:val="auto"/>
                <w:spacing w:val="-4"/>
                <w:sz w:val="24"/>
                <w:szCs w:val="24"/>
                <w:lang w:eastAsia="zh-CN"/>
              </w:rPr>
            </w:pPr>
            <w:r>
              <w:rPr>
                <w:rFonts w:ascii="宋体" w:hAnsi="宋体" w:eastAsia="宋体" w:cs="宋体"/>
                <w:color w:val="auto"/>
                <w:spacing w:val="-4"/>
                <w:sz w:val="24"/>
                <w:szCs w:val="24"/>
                <w:lang w:eastAsia="zh-CN"/>
              </w:rPr>
              <w:t>最高限价</w:t>
            </w:r>
            <w:r>
              <w:rPr>
                <w:rFonts w:hint="eastAsia" w:ascii="宋体" w:hAnsi="宋体" w:eastAsia="宋体" w:cs="宋体"/>
                <w:color w:val="auto"/>
                <w:spacing w:val="-4"/>
                <w:sz w:val="24"/>
                <w:szCs w:val="24"/>
                <w:lang w:eastAsia="zh-CN"/>
              </w:rPr>
              <w:t>单价</w:t>
            </w:r>
          </w:p>
        </w:tc>
        <w:tc>
          <w:tcPr>
            <w:tcW w:w="544" w:type="pct"/>
            <w:noWrap/>
            <w:vAlign w:val="center"/>
          </w:tcPr>
          <w:p w14:paraId="1BCD5E40">
            <w:pPr>
              <w:widowControl w:val="0"/>
              <w:spacing w:line="219" w:lineRule="auto"/>
              <w:jc w:val="center"/>
              <w:rPr>
                <w:rFonts w:hint="eastAsia"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备注</w:t>
            </w:r>
          </w:p>
        </w:tc>
      </w:tr>
      <w:tr w14:paraId="025E1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566" w:type="pct"/>
            <w:noWrap/>
            <w:vAlign w:val="center"/>
          </w:tcPr>
          <w:p w14:paraId="55136A8D">
            <w:pPr>
              <w:widowControl w:val="0"/>
              <w:spacing w:line="219" w:lineRule="auto"/>
              <w:jc w:val="center"/>
              <w:rPr>
                <w:rFonts w:hint="eastAsia"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1</w:t>
            </w:r>
          </w:p>
        </w:tc>
        <w:tc>
          <w:tcPr>
            <w:tcW w:w="1870" w:type="pct"/>
            <w:noWrap/>
            <w:vAlign w:val="center"/>
          </w:tcPr>
          <w:p w14:paraId="64EB98C9">
            <w:pPr>
              <w:widowControl w:val="0"/>
              <w:spacing w:line="219" w:lineRule="auto"/>
              <w:jc w:val="center"/>
              <w:rPr>
                <w:rFonts w:hint="eastAsia"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试验钻孔工程技术服务</w:t>
            </w:r>
          </w:p>
        </w:tc>
        <w:tc>
          <w:tcPr>
            <w:tcW w:w="872" w:type="pct"/>
            <w:noWrap/>
            <w:vAlign w:val="center"/>
          </w:tcPr>
          <w:p w14:paraId="3D5130A2">
            <w:pPr>
              <w:widowControl w:val="0"/>
              <w:spacing w:line="219" w:lineRule="auto"/>
              <w:jc w:val="center"/>
              <w:rPr>
                <w:rFonts w:hint="eastAsia"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1885m</w:t>
            </w:r>
          </w:p>
        </w:tc>
        <w:tc>
          <w:tcPr>
            <w:tcW w:w="1146" w:type="pct"/>
            <w:noWrap/>
            <w:vAlign w:val="center"/>
          </w:tcPr>
          <w:p w14:paraId="6EC399FB">
            <w:pPr>
              <w:widowControl w:val="0"/>
              <w:spacing w:line="219" w:lineRule="auto"/>
              <w:jc w:val="center"/>
              <w:rPr>
                <w:rFonts w:hint="eastAsia"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700元/米</w:t>
            </w:r>
          </w:p>
        </w:tc>
        <w:tc>
          <w:tcPr>
            <w:tcW w:w="544" w:type="pct"/>
            <w:noWrap/>
            <w:vAlign w:val="center"/>
          </w:tcPr>
          <w:p w14:paraId="60F717EF">
            <w:pPr>
              <w:widowControl w:val="0"/>
              <w:spacing w:line="219" w:lineRule="auto"/>
              <w:jc w:val="center"/>
              <w:rPr>
                <w:rFonts w:hint="eastAsia" w:ascii="宋体" w:hAnsi="宋体" w:eastAsia="宋体" w:cs="宋体"/>
                <w:color w:val="auto"/>
                <w:spacing w:val="-4"/>
                <w:sz w:val="24"/>
                <w:szCs w:val="24"/>
                <w:lang w:eastAsia="zh-CN"/>
              </w:rPr>
            </w:pPr>
            <w:r>
              <w:rPr>
                <w:rFonts w:hint="eastAsia" w:ascii="宋体" w:hAnsi="宋体" w:eastAsia="宋体" w:cs="宋体"/>
                <w:color w:val="auto"/>
                <w:spacing w:val="-4"/>
                <w:sz w:val="24"/>
                <w:szCs w:val="24"/>
                <w:lang w:eastAsia="zh-CN"/>
              </w:rPr>
              <w:t>/</w:t>
            </w:r>
          </w:p>
        </w:tc>
      </w:tr>
    </w:tbl>
    <w:p w14:paraId="6FE8EFF0">
      <w:pPr>
        <w:spacing w:before="120" w:beforeLines="50" w:after="120" w:afterLines="50" w:line="480" w:lineRule="exact"/>
        <w:rPr>
          <w:rFonts w:hint="eastAsia" w:ascii="宋体" w:hAnsi="宋体" w:eastAsia="宋体" w:cs="宋体"/>
          <w:b/>
          <w:color w:val="000000" w:themeColor="text1"/>
          <w:sz w:val="24"/>
          <w:lang w:eastAsia="zh-CN"/>
          <w14:textFill>
            <w14:solidFill>
              <w14:schemeClr w14:val="tx1"/>
            </w14:solidFill>
          </w14:textFill>
        </w:rPr>
      </w:pPr>
      <w:r>
        <w:rPr>
          <w:rFonts w:hint="eastAsia" w:ascii="宋体" w:hAnsi="宋体" w:eastAsia="宋体" w:cs="宋体"/>
          <w:b/>
          <w:color w:val="000000" w:themeColor="text1"/>
          <w:sz w:val="24"/>
          <w:lang w:eastAsia="zh-CN"/>
          <w14:textFill>
            <w14:solidFill>
              <w14:schemeClr w14:val="tx1"/>
            </w14:solidFill>
          </w14:textFill>
        </w:rPr>
        <w:t>注：1、以上数量为本项目预估数量，本项目采用固定单价进行结算，供应商报价不得超过以上</w:t>
      </w:r>
      <w:r>
        <w:rPr>
          <w:rFonts w:ascii="宋体" w:hAnsi="宋体" w:eastAsia="宋体" w:cs="宋体"/>
          <w:b/>
          <w:color w:val="000000" w:themeColor="text1"/>
          <w:sz w:val="24"/>
          <w:lang w:eastAsia="zh-CN"/>
          <w14:textFill>
            <w14:solidFill>
              <w14:schemeClr w14:val="tx1"/>
            </w14:solidFill>
          </w14:textFill>
        </w:rPr>
        <w:t>最高限价</w:t>
      </w:r>
      <w:r>
        <w:rPr>
          <w:rFonts w:hint="eastAsia" w:ascii="宋体" w:hAnsi="宋体" w:eastAsia="宋体" w:cs="宋体"/>
          <w:b/>
          <w:color w:val="000000" w:themeColor="text1"/>
          <w:sz w:val="24"/>
          <w:lang w:eastAsia="zh-CN"/>
          <w14:textFill>
            <w14:solidFill>
              <w14:schemeClr w14:val="tx1"/>
            </w14:solidFill>
          </w14:textFill>
        </w:rPr>
        <w:t>单价。</w:t>
      </w:r>
    </w:p>
    <w:p w14:paraId="5649CBBD">
      <w:pPr>
        <w:widowControl w:val="0"/>
        <w:rPr>
          <w:color w:val="auto"/>
          <w:lang w:eastAsia="zh-CN"/>
        </w:rPr>
        <w:sectPr>
          <w:footerReference r:id="rId3" w:type="default"/>
          <w:pgSz w:w="11906" w:h="16839"/>
          <w:pgMar w:top="1232" w:right="1786" w:bottom="1156" w:left="1786" w:header="0" w:footer="994" w:gutter="0"/>
          <w:cols w:space="720" w:num="1"/>
        </w:sectPr>
      </w:pPr>
      <w:r>
        <w:rPr>
          <w:rFonts w:hint="eastAsia" w:ascii="宋体" w:hAnsi="宋体" w:eastAsia="宋体" w:cs="宋体"/>
          <w:b/>
          <w:color w:val="000000" w:themeColor="text1"/>
          <w:sz w:val="24"/>
          <w:lang w:eastAsia="zh-CN"/>
          <w14:textFill>
            <w14:solidFill>
              <w14:schemeClr w14:val="tx1"/>
            </w14:solidFill>
          </w14:textFill>
        </w:rPr>
        <w:t>2、每米单价包含本项目的全部费用。</w:t>
      </w:r>
    </w:p>
    <w:p w14:paraId="681A04AC">
      <w:pPr>
        <w:widowControl w:val="0"/>
        <w:spacing w:before="47" w:line="219" w:lineRule="auto"/>
        <w:ind w:left="3805"/>
        <w:outlineLvl w:val="1"/>
        <w:rPr>
          <w:rFonts w:hint="eastAsia" w:ascii="宋体" w:hAnsi="宋体" w:eastAsia="宋体" w:cs="宋体"/>
          <w:color w:val="auto"/>
          <w:sz w:val="24"/>
          <w:szCs w:val="24"/>
          <w:lang w:eastAsia="zh-CN"/>
        </w:rPr>
      </w:pPr>
      <w:bookmarkStart w:id="1" w:name="bookmark81"/>
      <w:bookmarkEnd w:id="1"/>
      <w:bookmarkStart w:id="2" w:name="_Toc19802"/>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求</w:t>
      </w:r>
      <w:bookmarkEnd w:id="2"/>
    </w:p>
    <w:p w14:paraId="493233B8">
      <w:pPr>
        <w:widowControl w:val="0"/>
        <w:spacing w:line="257" w:lineRule="auto"/>
        <w:rPr>
          <w:color w:val="auto"/>
          <w:lang w:eastAsia="zh-CN"/>
        </w:rPr>
      </w:pPr>
    </w:p>
    <w:p w14:paraId="25F6EFA3">
      <w:pPr>
        <w:widowControl w:val="0"/>
        <w:spacing w:line="258" w:lineRule="auto"/>
        <w:rPr>
          <w:color w:val="auto"/>
          <w:lang w:eastAsia="zh-CN"/>
        </w:rPr>
      </w:pPr>
    </w:p>
    <w:p w14:paraId="0D54193C">
      <w:pPr>
        <w:widowControl w:val="0"/>
        <w:spacing w:line="258" w:lineRule="auto"/>
        <w:rPr>
          <w:color w:val="auto"/>
          <w:lang w:eastAsia="zh-CN"/>
        </w:rPr>
      </w:pPr>
    </w:p>
    <w:p w14:paraId="6E58BE2E">
      <w:pPr>
        <w:widowControl w:val="0"/>
        <w:spacing w:before="78" w:line="219" w:lineRule="auto"/>
        <w:rPr>
          <w:rFonts w:hint="eastAsia" w:ascii="宋体" w:hAnsi="宋体" w:eastAsia="宋体" w:cs="宋体"/>
          <w:color w:val="auto"/>
          <w:sz w:val="24"/>
          <w:szCs w:val="24"/>
          <w:lang w:eastAsia="zh-CN"/>
        </w:rPr>
      </w:pPr>
      <w:r>
        <w:rPr>
          <w:rFonts w:ascii="宋体" w:hAnsi="宋体" w:eastAsia="宋体" w:cs="宋体"/>
          <w:color w:val="auto"/>
          <w:spacing w:val="-5"/>
          <w:sz w:val="24"/>
          <w:szCs w:val="24"/>
          <w:lang w:eastAsia="zh-CN"/>
        </w:rPr>
        <w:t>（一）</w:t>
      </w:r>
      <w:r>
        <w:rPr>
          <w:rFonts w:ascii="宋体" w:hAnsi="宋体" w:eastAsia="宋体" w:cs="宋体"/>
          <w:color w:val="auto"/>
          <w:spacing w:val="25"/>
          <w:sz w:val="24"/>
          <w:szCs w:val="24"/>
          <w:lang w:eastAsia="zh-CN"/>
        </w:rPr>
        <w:t xml:space="preserve"> </w:t>
      </w:r>
      <w:r>
        <w:rPr>
          <w:rFonts w:hint="eastAsia" w:ascii="宋体" w:hAnsi="宋体" w:eastAsia="宋体" w:cs="宋体"/>
          <w:color w:val="auto"/>
          <w:spacing w:val="-5"/>
          <w:sz w:val="24"/>
          <w:szCs w:val="24"/>
          <w:lang w:eastAsia="zh-CN"/>
        </w:rPr>
        <w:t>服务</w:t>
      </w:r>
      <w:r>
        <w:rPr>
          <w:rFonts w:ascii="宋体" w:hAnsi="宋体" w:eastAsia="宋体" w:cs="宋体"/>
          <w:color w:val="auto"/>
          <w:spacing w:val="-5"/>
          <w:sz w:val="24"/>
          <w:szCs w:val="24"/>
          <w:lang w:eastAsia="zh-CN"/>
        </w:rPr>
        <w:t>需求</w:t>
      </w:r>
    </w:p>
    <w:p w14:paraId="5D84CB11">
      <w:pPr>
        <w:widowControl w:val="0"/>
        <w:spacing w:line="242" w:lineRule="auto"/>
        <w:rPr>
          <w:color w:val="auto"/>
          <w:lang w:eastAsia="zh-CN"/>
        </w:rPr>
      </w:pPr>
    </w:p>
    <w:tbl>
      <w:tblPr>
        <w:tblStyle w:val="3"/>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1"/>
        <w:gridCol w:w="7118"/>
        <w:gridCol w:w="643"/>
      </w:tblGrid>
      <w:tr w14:paraId="3C2F5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441" w:type="pct"/>
            <w:noWrap/>
            <w:vAlign w:val="center"/>
          </w:tcPr>
          <w:p w14:paraId="4A6F3BCB">
            <w:pPr>
              <w:kinsoku/>
              <w:spacing w:line="312" w:lineRule="auto"/>
              <w:jc w:val="center"/>
              <w:rPr>
                <w:rFonts w:hint="eastAsia" w:ascii="宋体" w:hAnsi="宋体" w:eastAsia="宋体" w:cs="宋体"/>
                <w:b/>
                <w:bCs/>
                <w:color w:val="000000" w:themeColor="text1"/>
                <w:sz w:val="24"/>
                <w14:textFill>
                  <w14:solidFill>
                    <w14:schemeClr w14:val="tx1"/>
                  </w14:solidFill>
                </w14:textFill>
              </w:rPr>
            </w:pPr>
            <w:r>
              <w:rPr>
                <w:rFonts w:hint="eastAsia" w:ascii="宋体" w:hAnsi="宋体" w:eastAsia="宋体" w:cs="宋体"/>
                <w:b/>
                <w:bCs/>
                <w:color w:val="000000" w:themeColor="text1"/>
                <w:sz w:val="24"/>
                <w14:textFill>
                  <w14:solidFill>
                    <w14:schemeClr w14:val="tx1"/>
                  </w14:solidFill>
                </w14:textFill>
              </w:rPr>
              <w:t>货物名称</w:t>
            </w:r>
          </w:p>
        </w:tc>
        <w:tc>
          <w:tcPr>
            <w:tcW w:w="4180" w:type="pct"/>
            <w:noWrap/>
            <w:vAlign w:val="center"/>
          </w:tcPr>
          <w:p w14:paraId="2855B4D0">
            <w:pPr>
              <w:kinsoku/>
              <w:spacing w:line="312" w:lineRule="auto"/>
              <w:jc w:val="center"/>
              <w:rPr>
                <w:rFonts w:hint="eastAsia" w:ascii="宋体" w:hAnsi="宋体" w:eastAsia="宋体" w:cs="宋体"/>
                <w:b/>
                <w:bCs/>
                <w:color w:val="000000" w:themeColor="text1"/>
                <w:sz w:val="24"/>
                <w14:textFill>
                  <w14:solidFill>
                    <w14:schemeClr w14:val="tx1"/>
                  </w14:solidFill>
                </w14:textFill>
              </w:rPr>
            </w:pPr>
            <w:r>
              <w:rPr>
                <w:rFonts w:hint="eastAsia" w:ascii="宋体" w:hAnsi="宋体" w:eastAsia="宋体" w:cs="宋体"/>
                <w:b/>
                <w:bCs/>
                <w:color w:val="000000" w:themeColor="text1"/>
                <w:sz w:val="24"/>
                <w14:textFill>
                  <w14:solidFill>
                    <w14:schemeClr w14:val="tx1"/>
                  </w14:solidFill>
                </w14:textFill>
              </w:rPr>
              <w:t>技术要求</w:t>
            </w:r>
          </w:p>
        </w:tc>
        <w:tc>
          <w:tcPr>
            <w:tcW w:w="378" w:type="pct"/>
            <w:noWrap/>
            <w:vAlign w:val="center"/>
          </w:tcPr>
          <w:p w14:paraId="7B064FC6">
            <w:pPr>
              <w:kinsoku/>
              <w:spacing w:line="312" w:lineRule="auto"/>
              <w:jc w:val="center"/>
              <w:rPr>
                <w:rFonts w:hint="eastAsia" w:ascii="宋体" w:hAnsi="宋体" w:eastAsia="宋体" w:cs="宋体"/>
                <w:b/>
                <w:bCs/>
                <w:color w:val="000000" w:themeColor="text1"/>
                <w:sz w:val="24"/>
                <w14:textFill>
                  <w14:solidFill>
                    <w14:schemeClr w14:val="tx1"/>
                  </w14:solidFill>
                </w14:textFill>
              </w:rPr>
            </w:pPr>
            <w:r>
              <w:rPr>
                <w:rFonts w:hint="eastAsia" w:ascii="宋体" w:hAnsi="宋体" w:eastAsia="宋体" w:cs="宋体"/>
                <w:b/>
                <w:bCs/>
                <w:color w:val="000000" w:themeColor="text1"/>
                <w:sz w:val="24"/>
                <w14:textFill>
                  <w14:solidFill>
                    <w14:schemeClr w14:val="tx1"/>
                  </w14:solidFill>
                </w14:textFill>
              </w:rPr>
              <w:t>数量</w:t>
            </w:r>
          </w:p>
        </w:tc>
      </w:tr>
      <w:tr w14:paraId="02A65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441" w:type="pct"/>
            <w:noWrap/>
            <w:vAlign w:val="center"/>
          </w:tcPr>
          <w:p w14:paraId="7E75E322">
            <w:pPr>
              <w:kinsoku/>
              <w:spacing w:line="312" w:lineRule="auto"/>
              <w:jc w:val="center"/>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sz w:val="24"/>
                <w:szCs w:val="24"/>
                <w:lang w:eastAsia="zh-CN"/>
              </w:rPr>
              <w:t>试验钻孔工程技术服务</w:t>
            </w:r>
          </w:p>
        </w:tc>
        <w:tc>
          <w:tcPr>
            <w:tcW w:w="4180" w:type="pct"/>
            <w:noWrap/>
          </w:tcPr>
          <w:p w14:paraId="0B979D45">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（一）服务内容：</w:t>
            </w:r>
          </w:p>
          <w:p w14:paraId="527914BD">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1.地下水修复技术项目试验钻孔工程技术服务：</w:t>
            </w:r>
          </w:p>
          <w:p w14:paraId="0A1D8B1A">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（1）钻孔要求：填砾式结构，终孔裸眼孔径269 mm，</w:t>
            </w:r>
            <w:r>
              <w:rPr>
                <w:rFonts w:hint="eastAsia" w:ascii="宋体" w:hAnsi="宋体" w:eastAsia="宋体" w:cs="宋体"/>
                <w:color w:val="000000" w:themeColor="text1"/>
                <w:sz w:val="24"/>
                <w14:textFill>
                  <w14:solidFill>
                    <w14:schemeClr w14:val="tx1"/>
                  </w14:solidFill>
                </w14:textFill>
              </w:rPr>
              <w:t>Φ</w:t>
            </w:r>
            <w:r>
              <w:rPr>
                <w:rFonts w:hint="eastAsia" w:ascii="宋体" w:hAnsi="宋体" w:eastAsia="宋体" w:cs="宋体"/>
                <w:color w:val="000000" w:themeColor="text1"/>
                <w:sz w:val="24"/>
                <w:lang w:eastAsia="zh-CN"/>
                <w14:textFill>
                  <w14:solidFill>
                    <w14:schemeClr w14:val="tx1"/>
                  </w14:solidFill>
                </w14:textFill>
              </w:rPr>
              <w:t>152×12 mm UPVC套管，接箍用</w:t>
            </w:r>
            <w:r>
              <w:rPr>
                <w:rFonts w:hint="eastAsia" w:ascii="宋体" w:hAnsi="宋体" w:eastAsia="宋体" w:cs="宋体"/>
                <w:color w:val="000000" w:themeColor="text1"/>
                <w:sz w:val="24"/>
                <w14:textFill>
                  <w14:solidFill>
                    <w14:schemeClr w14:val="tx1"/>
                  </w14:solidFill>
                </w14:textFill>
              </w:rPr>
              <w:t>Φ</w:t>
            </w:r>
            <w:r>
              <w:rPr>
                <w:rFonts w:hint="eastAsia" w:ascii="宋体" w:hAnsi="宋体" w:eastAsia="宋体" w:cs="宋体"/>
                <w:color w:val="000000" w:themeColor="text1"/>
                <w:sz w:val="24"/>
                <w:lang w:eastAsia="zh-CN"/>
                <w14:textFill>
                  <w14:solidFill>
                    <w14:schemeClr w14:val="tx1"/>
                  </w14:solidFill>
                </w14:textFill>
              </w:rPr>
              <w:t>160×15mm UPVC管加工，外环形骨架式过滤器；正向注浆。</w:t>
            </w:r>
          </w:p>
          <w:p w14:paraId="2A6E2243">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（2）取心要求：抽液井含矿含水层全段取心，单孔取心长度30-40m，岩心直径80mm(</w:t>
            </w:r>
            <w:r>
              <w:rPr>
                <w:rFonts w:hint="eastAsia" w:ascii="宋体" w:hAnsi="宋体" w:eastAsia="宋体" w:cs="宋体"/>
                <w:lang w:eastAsia="zh-CN"/>
              </w:rPr>
              <w:t>±</w:t>
            </w:r>
            <w:r>
              <w:rPr>
                <w:rFonts w:hint="eastAsia" w:ascii="宋体" w:hAnsi="宋体" w:eastAsia="宋体" w:cs="宋体"/>
                <w:color w:val="000000" w:themeColor="text1"/>
                <w:sz w:val="24"/>
                <w:lang w:eastAsia="zh-CN"/>
                <w14:textFill>
                  <w14:solidFill>
                    <w14:schemeClr w14:val="tx1"/>
                  </w14:solidFill>
                </w14:textFill>
              </w:rPr>
              <w:t>5mm)，取心400-450m。</w:t>
            </w:r>
          </w:p>
          <w:p w14:paraId="5E25388F">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2.暂定工程量：1885m。</w:t>
            </w:r>
          </w:p>
          <w:p w14:paraId="54F7A615">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（二）服务要求：</w:t>
            </w:r>
          </w:p>
          <w:p w14:paraId="3BAB4F31">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1.每个钻孔钻进结束，新鲜泥浆冲孔后，测量冲洗泥浆密度；</w:t>
            </w:r>
          </w:p>
          <w:p w14:paraId="3609E34B">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2.定量伽玛测井。用工作铯源检查伽玛探管的稳定性，并记录10个读数。工程中，伽玛测井要做重复测井和检查测井，100%的钻孔作重复测井和10%作检查测井；</w:t>
            </w:r>
          </w:p>
          <w:p w14:paraId="34617B94">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3.密度三侧向测井。测量参数为天然伽玛，井径，岩石密度，三侧向电阻率；</w:t>
            </w:r>
          </w:p>
          <w:p w14:paraId="1ACEB39C">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4.声波测井。测量参数为声幅，单收，双收；</w:t>
            </w:r>
          </w:p>
          <w:p w14:paraId="06CD2F28">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5.电法测井。测量参数为自然电位和电位电阻率；</w:t>
            </w:r>
          </w:p>
          <w:p w14:paraId="0896CFF3">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6.每项测井下放过程中，当探管达到井管以下200m位置时，标记达到零点位置，记录下仪器的深度记数，对仪器深度进行校正检查；</w:t>
            </w:r>
          </w:p>
          <w:p w14:paraId="1CB45C85">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7.测井结束后3小时内，供应商向采购人提供所有原始测井记录的拷贝文件，以1:200的比例尺打印天然伽玛、定量伽玛测井、三侧向电阻率、电位电阻率、自然电位、声波时差和长源距测井曲线图（矿段以上10m至终孔深度）；</w:t>
            </w:r>
          </w:p>
          <w:p w14:paraId="4E4E197B">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8.钻孔封孔结束18～24小时后，在塑料套管中进行温度测井和密度测井。现场向采购人提供原始测井记录的拷贝文件，以1:200的比例尺打印温度测井曲线和长/短源距测井曲线图；</w:t>
            </w:r>
          </w:p>
          <w:p w14:paraId="2534623F">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9.钻孔空压机清洗结束后，3天内进行电流测井和井斜测井。</w:t>
            </w:r>
          </w:p>
          <w:p w14:paraId="65A9C734">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（三）验收标准：</w:t>
            </w:r>
          </w:p>
          <w:p w14:paraId="3D4BF832">
            <w:pPr>
              <w:kinsoku/>
              <w:spacing w:line="312" w:lineRule="auto"/>
              <w:rPr>
                <w:rFonts w:hint="eastAsia" w:ascii="宋体" w:hAnsi="宋体" w:eastAsia="宋体" w:cs="宋体"/>
                <w:color w:val="000000" w:themeColor="text1"/>
                <w:sz w:val="24"/>
                <w:lang w:eastAsia="zh-CN"/>
                <w14:textFill>
                  <w14:solidFill>
                    <w14:schemeClr w14:val="tx1"/>
                  </w14:solidFill>
                </w14:textFill>
              </w:rPr>
            </w:pPr>
            <w:r>
              <w:rPr>
                <w:rFonts w:hint="eastAsia" w:ascii="宋体" w:hAnsi="宋体" w:eastAsia="宋体" w:cs="宋体"/>
                <w:color w:val="000000" w:themeColor="text1"/>
                <w:sz w:val="24"/>
                <w:lang w:eastAsia="zh-CN"/>
                <w14:textFill>
                  <w14:solidFill>
                    <w14:schemeClr w14:val="tx1"/>
                  </w14:solidFill>
                </w14:textFill>
              </w:rPr>
              <w:t>满足《地浸采铀工程钻孔工程施工管理办法》《地浸采铀工程钻孔施工标准化管理手册》及《钻孔质量验收标准》的相关要求标准。</w:t>
            </w:r>
          </w:p>
          <w:p w14:paraId="267D7BFE">
            <w:pPr>
              <w:kinsoku/>
              <w:spacing w:line="312" w:lineRule="auto"/>
              <w:rPr>
                <w:rFonts w:hint="eastAsia" w:ascii="宋体" w:hAnsi="宋体" w:eastAsia="宋体" w:cs="宋体"/>
                <w:lang w:eastAsia="zh-CN"/>
              </w:rPr>
            </w:pPr>
            <w:r>
              <w:rPr>
                <w:rFonts w:hint="eastAsia" w:ascii="宋体" w:hAnsi="宋体" w:eastAsia="宋体" w:cs="宋体"/>
                <w:lang w:eastAsia="zh-CN"/>
              </w:rPr>
              <w:t>（四）</w:t>
            </w:r>
            <w:r>
              <w:rPr>
                <w:rFonts w:hint="eastAsia" w:ascii="宋体" w:hAnsi="宋体" w:eastAsia="宋体" w:cs="宋体"/>
                <w:color w:val="000000" w:themeColor="text1"/>
                <w:sz w:val="24"/>
                <w:lang w:eastAsia="zh-CN"/>
                <w14:textFill>
                  <w14:solidFill>
                    <w14:schemeClr w14:val="tx1"/>
                  </w14:solidFill>
                </w14:textFill>
              </w:rPr>
              <w:t>人员要求</w:t>
            </w:r>
          </w:p>
          <w:p w14:paraId="370A9358">
            <w:pPr>
              <w:kinsoku/>
              <w:spacing w:line="312" w:lineRule="auto"/>
              <w:rPr>
                <w:rFonts w:hint="eastAsia" w:ascii="宋体" w:hAnsi="宋体" w:eastAsia="宋体" w:cs="宋体"/>
              </w:rPr>
            </w:pPr>
            <w:r>
              <w:rPr>
                <w:rFonts w:hint="eastAsia" w:ascii="宋体" w:hAnsi="宋体" w:eastAsia="宋体" w:cs="宋体"/>
                <w:sz w:val="24"/>
                <w:lang w:eastAsia="zh-CN"/>
              </w:rPr>
              <w:t>本</w:t>
            </w:r>
            <w:r>
              <w:rPr>
                <w:rFonts w:hint="eastAsia" w:ascii="宋体" w:hAnsi="宋体" w:eastAsia="宋体" w:cs="宋体"/>
                <w:sz w:val="24"/>
                <w:highlight w:val="none"/>
                <w:lang w:eastAsia="zh-CN"/>
              </w:rPr>
              <w:t>项目须拟派一名项目经理，具有钻探工程类或地质与资源类或水文与环境类或机械与安全类或化学工程类等相关专业的工程师及以上职称</w:t>
            </w:r>
            <w:r>
              <w:rPr>
                <w:rFonts w:hint="eastAsia" w:ascii="宋体" w:hAnsi="宋体" w:eastAsia="宋体" w:cs="宋体"/>
                <w:highlight w:val="none"/>
                <w:lang w:eastAsia="zh-CN"/>
              </w:rPr>
              <w:t>，</w:t>
            </w:r>
            <w:r>
              <w:rPr>
                <w:rFonts w:hint="eastAsia" w:ascii="宋体" w:hAnsi="宋体" w:eastAsia="宋体" w:cs="宋体"/>
                <w:sz w:val="24"/>
                <w:highlight w:val="none"/>
                <w:lang w:eastAsia="zh-CN"/>
              </w:rPr>
              <w:t>具备地浸采铀工程钻孔施工经验，主持项目钻孔施工全流程管理，负责进度、质量、安全、成本控制及现场协调、资料报审与验收</w:t>
            </w:r>
            <w:r>
              <w:rPr>
                <w:rFonts w:hint="eastAsia" w:ascii="宋体" w:hAnsi="宋体" w:eastAsia="宋体" w:cs="宋体"/>
                <w:sz w:val="24"/>
                <w:lang w:eastAsia="zh-CN"/>
              </w:rPr>
              <w:t>交付。【</w:t>
            </w:r>
            <w:r>
              <w:rPr>
                <w:rFonts w:hint="eastAsia" w:ascii="宋体" w:hAnsi="宋体" w:eastAsia="宋体" w:cs="宋体"/>
                <w:b/>
                <w:bCs/>
                <w:sz w:val="24"/>
                <w:lang w:eastAsia="zh-CN"/>
              </w:rPr>
              <w:t>评审依据：供应商提供人员证书扫描件佐证，未提供作无效响应处理。</w:t>
            </w:r>
            <w:r>
              <w:rPr>
                <w:rFonts w:hint="eastAsia" w:ascii="宋体" w:hAnsi="宋体" w:eastAsia="宋体" w:cs="宋体"/>
                <w:sz w:val="24"/>
              </w:rPr>
              <w:t>】</w:t>
            </w:r>
          </w:p>
        </w:tc>
        <w:tc>
          <w:tcPr>
            <w:tcW w:w="378" w:type="pct"/>
            <w:noWrap/>
            <w:vAlign w:val="center"/>
          </w:tcPr>
          <w:p w14:paraId="2BC3692B">
            <w:pPr>
              <w:pStyle w:val="7"/>
              <w:kinsoku/>
              <w:spacing w:line="312" w:lineRule="auto"/>
              <w:ind w:firstLine="0" w:firstLineChars="0"/>
              <w:jc w:val="center"/>
              <w:rPr>
                <w:rFonts w:hint="eastAsia" w:ascii="宋体" w:hAnsi="宋体" w:eastAsia="宋体" w:cs="宋体"/>
                <w:color w:val="000000" w:themeColor="text1"/>
                <w:sz w:val="24"/>
                <w14:textFill>
                  <w14:solidFill>
                    <w14:schemeClr w14:val="tx1"/>
                  </w14:solidFill>
                </w14:textFill>
              </w:rPr>
            </w:pPr>
            <w:r>
              <w:rPr>
                <w:rFonts w:hint="eastAsia" w:ascii="宋体" w:hAnsi="宋体" w:eastAsia="宋体" w:cs="宋体"/>
                <w:color w:val="000000" w:themeColor="text1"/>
                <w:sz w:val="24"/>
                <w14:textFill>
                  <w14:solidFill>
                    <w14:schemeClr w14:val="tx1"/>
                  </w14:solidFill>
                </w14:textFill>
              </w:rPr>
              <w:t>1项</w:t>
            </w:r>
          </w:p>
        </w:tc>
      </w:tr>
    </w:tbl>
    <w:p w14:paraId="41F3C18E">
      <w:pPr>
        <w:widowControl w:val="0"/>
        <w:spacing w:line="242" w:lineRule="auto"/>
        <w:ind w:firstLine="480" w:firstLineChars="200"/>
        <w:rPr>
          <w:color w:val="auto"/>
          <w:lang w:eastAsia="zh-CN"/>
        </w:rPr>
      </w:pPr>
      <w:r>
        <w:rPr>
          <w:rFonts w:hint="eastAsia" w:ascii="微软雅黑" w:hAnsi="微软雅黑" w:eastAsia="微软雅黑"/>
          <w:b/>
          <w:sz w:val="24"/>
          <w:szCs w:val="24"/>
          <w:lang w:eastAsia="zh-CN"/>
        </w:rPr>
        <w:t>注：以上服务需求为必须满足项，否则作无效响应处理。</w:t>
      </w:r>
    </w:p>
    <w:p w14:paraId="1DF2527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358E6F">
    <w:pPr>
      <w:pStyle w:val="2"/>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003505">
                          <w:pPr>
                            <w:pStyle w:val="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aHsk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IaHsktAgAAWQQAAA4AAAAAAAAAAQAgAAAAHwEAAGRycy9lMm9Eb2MueG1sUEsFBgAAAAAG&#10;AAYAWQEAAL4FAAAAAA==&#10;">
              <v:fill on="f" focussize="0,0"/>
              <v:stroke on="f" weight="0.5pt"/>
              <v:imagedata o:title=""/>
              <o:lock v:ext="edit" aspectratio="f"/>
              <v:textbox inset="0mm,0mm,0mm,0mm" style="mso-fit-shape-to-text:t;">
                <w:txbxContent>
                  <w:p w14:paraId="63003505">
                    <w:pPr>
                      <w:pStyle w:val="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EB13D5"/>
    <w:rsid w:val="1CC349CD"/>
    <w:rsid w:val="3FEB13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style>
  <w:style w:type="paragraph" w:styleId="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2026-07-01T06:25:00Z</dcterms:created>
  <dc:creator>liyufan</dc:creator>
  <cp:lastModifiedBy>liyufan</cp:lastModifiedBy>
  <dcterms:modified xsi:type="dcterms:W3CDTF">2026-07-01T06:25:25Z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5431AC771558467B8B2CC8496365DD95_11</vt:lpwstr>
  </property>
  <property fmtid="{D5CDD505-2E9C-101B-9397-08002B2CF9AE}" pid="4" name="KSOTemplateDocerSaveRecord">
    <vt:lpwstr>eyJoZGlkIjoiOGQ1NWRhZjUyM2M4ZDU5YWM1MjEzNTFiMjU1MGMyNGEiLCJ1c2VySWQiOiI2ODgwMDAxNDEifQ==</vt:lpwstr>
  </property>
</Properties>
</file>