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E248DE">
      <w:pPr>
        <w:pStyle w:val="2"/>
        <w:pageBreakBefore w:val="0"/>
        <w:numPr>
          <w:ilvl w:val="0"/>
          <w:numId w:val="0"/>
        </w:numPr>
        <w:wordWrap/>
        <w:overflowPunct/>
        <w:topLinePunct w:val="0"/>
        <w:bidi w:val="0"/>
        <w:spacing w:line="516" w:lineRule="exact"/>
        <w:ind w:firstLine="628" w:firstLineChars="0"/>
        <w:rPr>
          <w:rFonts w:hint="eastAsia" w:ascii="宋体" w:hAnsi="宋体" w:eastAsia="宋体" w:cs="宋体"/>
          <w:sz w:val="27"/>
          <w:szCs w:val="27"/>
          <w:highlight w:val="none"/>
        </w:rPr>
      </w:pPr>
      <w:bookmarkStart w:id="0" w:name="_Toc28761"/>
      <w:r>
        <w:rPr>
          <w:rFonts w:hint="eastAsia" w:ascii="宋体" w:hAnsi="宋体" w:eastAsia="宋体" w:cs="宋体"/>
          <w:sz w:val="27"/>
          <w:szCs w:val="27"/>
          <w:highlight w:val="none"/>
        </w:rPr>
        <w:t>采</w:t>
      </w:r>
      <w:bookmarkStart w:id="1" w:name="_GoBack"/>
      <w:bookmarkEnd w:id="1"/>
      <w:r>
        <w:rPr>
          <w:rFonts w:hint="eastAsia" w:ascii="宋体" w:hAnsi="宋体" w:eastAsia="宋体" w:cs="宋体"/>
          <w:sz w:val="27"/>
          <w:szCs w:val="27"/>
          <w:highlight w:val="none"/>
        </w:rPr>
        <w:t>购项目需求</w:t>
      </w:r>
      <w:bookmarkEnd w:id="0"/>
    </w:p>
    <w:p w14:paraId="36098DDA">
      <w:pPr>
        <w:keepNext w:val="0"/>
        <w:keepLines w:val="0"/>
        <w:pageBreakBefore w:val="0"/>
        <w:widowControl w:val="0"/>
        <w:kinsoku w:val="0"/>
        <w:wordWrap/>
        <w:overflowPunct/>
        <w:topLinePunct w:val="0"/>
        <w:autoSpaceDE w:val="0"/>
        <w:autoSpaceDN w:val="0"/>
        <w:bidi w:val="0"/>
        <w:adjustRightInd w:val="0"/>
        <w:snapToGrid w:val="0"/>
        <w:spacing w:line="516" w:lineRule="exact"/>
        <w:ind w:left="0" w:leftChars="0" w:right="0" w:firstLine="536" w:firstLineChars="200"/>
        <w:jc w:val="both"/>
        <w:textAlignment w:val="baseline"/>
        <w:rPr>
          <w:rFonts w:hint="eastAsia" w:ascii="宋体" w:hAnsi="宋体" w:eastAsia="宋体" w:cs="宋体"/>
          <w:color w:val="auto"/>
          <w:spacing w:val="-1"/>
          <w:position w:val="17"/>
          <w:sz w:val="27"/>
          <w:szCs w:val="27"/>
          <w:highlight w:val="none"/>
          <w:lang w:val="en-US" w:eastAsia="zh-CN"/>
        </w:rPr>
      </w:pPr>
      <w:r>
        <w:rPr>
          <w:rFonts w:hint="eastAsia" w:ascii="宋体" w:hAnsi="宋体" w:eastAsia="宋体" w:cs="宋体"/>
          <w:color w:val="auto"/>
          <w:spacing w:val="-1"/>
          <w:position w:val="17"/>
          <w:sz w:val="27"/>
          <w:szCs w:val="27"/>
          <w:highlight w:val="none"/>
          <w:lang w:val="en-US" w:eastAsia="zh-CN"/>
        </w:rPr>
        <w:t>（一）本采购文件提出的技术规格及要求是最低限度的要求，响应供应商的方案应达到或优于本采购文件要求，且符合国家有关标准和规范要求，响应供应商须提供符合质量标准的服务。</w:t>
      </w:r>
    </w:p>
    <w:p w14:paraId="65450E99">
      <w:pPr>
        <w:keepNext w:val="0"/>
        <w:keepLines w:val="0"/>
        <w:pageBreakBefore w:val="0"/>
        <w:widowControl w:val="0"/>
        <w:kinsoku w:val="0"/>
        <w:wordWrap/>
        <w:overflowPunct/>
        <w:topLinePunct w:val="0"/>
        <w:autoSpaceDE w:val="0"/>
        <w:autoSpaceDN w:val="0"/>
        <w:bidi w:val="0"/>
        <w:adjustRightInd w:val="0"/>
        <w:snapToGrid w:val="0"/>
        <w:spacing w:line="516" w:lineRule="exact"/>
        <w:ind w:left="0" w:leftChars="0" w:right="0" w:firstLine="536" w:firstLineChars="200"/>
        <w:jc w:val="both"/>
        <w:textAlignment w:val="baseline"/>
        <w:rPr>
          <w:rFonts w:hint="eastAsia" w:ascii="宋体" w:hAnsi="宋体" w:eastAsia="宋体" w:cs="宋体"/>
          <w:color w:val="auto"/>
          <w:spacing w:val="-1"/>
          <w:position w:val="17"/>
          <w:sz w:val="27"/>
          <w:szCs w:val="27"/>
          <w:highlight w:val="none"/>
          <w:lang w:val="en-US" w:eastAsia="zh-CN"/>
        </w:rPr>
      </w:pPr>
      <w:r>
        <w:rPr>
          <w:rFonts w:hint="eastAsia" w:ascii="宋体" w:hAnsi="宋体" w:eastAsia="宋体" w:cs="宋体"/>
          <w:color w:val="auto"/>
          <w:spacing w:val="-1"/>
          <w:position w:val="17"/>
          <w:sz w:val="27"/>
          <w:szCs w:val="27"/>
          <w:highlight w:val="none"/>
          <w:lang w:val="en-US" w:eastAsia="zh-CN"/>
        </w:rPr>
        <w:t>（二）标的如为某单位的专利或特有产品，请响应供应商在答疑期内告知采购代理机构。</w:t>
      </w:r>
    </w:p>
    <w:p w14:paraId="32174819">
      <w:pPr>
        <w:keepNext w:val="0"/>
        <w:keepLines w:val="0"/>
        <w:pageBreakBefore w:val="0"/>
        <w:widowControl w:val="0"/>
        <w:kinsoku w:val="0"/>
        <w:wordWrap/>
        <w:overflowPunct/>
        <w:topLinePunct w:val="0"/>
        <w:autoSpaceDE w:val="0"/>
        <w:autoSpaceDN w:val="0"/>
        <w:bidi w:val="0"/>
        <w:adjustRightInd w:val="0"/>
        <w:snapToGrid w:val="0"/>
        <w:spacing w:line="516" w:lineRule="exact"/>
        <w:ind w:left="0" w:leftChars="0" w:right="0" w:firstLine="536" w:firstLineChars="200"/>
        <w:jc w:val="both"/>
        <w:textAlignment w:val="baseline"/>
        <w:rPr>
          <w:rFonts w:hint="eastAsia" w:ascii="宋体" w:hAnsi="宋体" w:eastAsia="宋体" w:cs="宋体"/>
          <w:color w:val="auto"/>
          <w:spacing w:val="-1"/>
          <w:position w:val="17"/>
          <w:sz w:val="27"/>
          <w:szCs w:val="27"/>
          <w:highlight w:val="none"/>
          <w:lang w:val="en-US" w:eastAsia="zh-CN"/>
        </w:rPr>
      </w:pPr>
      <w:r>
        <w:rPr>
          <w:rFonts w:hint="eastAsia" w:ascii="宋体" w:hAnsi="宋体" w:eastAsia="宋体" w:cs="宋体"/>
          <w:color w:val="auto"/>
          <w:spacing w:val="-1"/>
          <w:position w:val="17"/>
          <w:sz w:val="27"/>
          <w:szCs w:val="27"/>
          <w:highlight w:val="none"/>
          <w:lang w:val="en-US" w:eastAsia="zh-CN"/>
        </w:rPr>
        <w:t>（三）所有标的的知识产权问题，由各响应供应商自行负责。</w:t>
      </w:r>
    </w:p>
    <w:p w14:paraId="2EB1654C">
      <w:pPr>
        <w:keepNext w:val="0"/>
        <w:keepLines w:val="0"/>
        <w:pageBreakBefore w:val="0"/>
        <w:widowControl w:val="0"/>
        <w:kinsoku w:val="0"/>
        <w:wordWrap/>
        <w:overflowPunct/>
        <w:topLinePunct w:val="0"/>
        <w:autoSpaceDE w:val="0"/>
        <w:autoSpaceDN w:val="0"/>
        <w:bidi w:val="0"/>
        <w:adjustRightInd w:val="0"/>
        <w:snapToGrid w:val="0"/>
        <w:spacing w:line="516" w:lineRule="exact"/>
        <w:ind w:left="0" w:leftChars="0" w:right="0" w:firstLine="536" w:firstLineChars="200"/>
        <w:jc w:val="both"/>
        <w:textAlignment w:val="baseline"/>
        <w:rPr>
          <w:rFonts w:hint="eastAsia" w:ascii="宋体" w:hAnsi="宋体" w:eastAsia="宋体" w:cs="宋体"/>
          <w:color w:val="auto"/>
          <w:spacing w:val="-1"/>
          <w:position w:val="17"/>
          <w:sz w:val="27"/>
          <w:szCs w:val="27"/>
          <w:highlight w:val="none"/>
          <w:lang w:val="en-US" w:eastAsia="zh-CN"/>
        </w:rPr>
      </w:pPr>
      <w:r>
        <w:rPr>
          <w:rFonts w:hint="eastAsia" w:ascii="宋体" w:hAnsi="宋体" w:eastAsia="宋体" w:cs="宋体"/>
          <w:color w:val="auto"/>
          <w:spacing w:val="-1"/>
          <w:position w:val="17"/>
          <w:sz w:val="27"/>
          <w:szCs w:val="27"/>
          <w:highlight w:val="none"/>
          <w:lang w:val="en-US" w:eastAsia="zh-CN"/>
        </w:rPr>
        <w:t>（四）本项目允许分包的非主体、非关键性工作：无。</w:t>
      </w:r>
    </w:p>
    <w:p w14:paraId="5ED31453">
      <w:pPr>
        <w:keepNext w:val="0"/>
        <w:keepLines w:val="0"/>
        <w:pageBreakBefore w:val="0"/>
        <w:widowControl w:val="0"/>
        <w:kinsoku w:val="0"/>
        <w:wordWrap/>
        <w:overflowPunct/>
        <w:topLinePunct w:val="0"/>
        <w:autoSpaceDE w:val="0"/>
        <w:autoSpaceDN w:val="0"/>
        <w:bidi w:val="0"/>
        <w:adjustRightInd w:val="0"/>
        <w:snapToGrid w:val="0"/>
        <w:spacing w:line="516" w:lineRule="exact"/>
        <w:ind w:left="0" w:leftChars="0" w:right="0" w:firstLine="536" w:firstLineChars="200"/>
        <w:jc w:val="both"/>
        <w:textAlignment w:val="baseline"/>
        <w:rPr>
          <w:rFonts w:hint="eastAsia" w:ascii="宋体" w:hAnsi="宋体" w:eastAsia="宋体" w:cs="宋体"/>
          <w:color w:val="auto"/>
          <w:spacing w:val="-1"/>
          <w:position w:val="17"/>
          <w:sz w:val="27"/>
          <w:szCs w:val="27"/>
          <w:highlight w:val="none"/>
          <w:lang w:val="en-US" w:eastAsia="zh-CN"/>
        </w:rPr>
      </w:pPr>
      <w:r>
        <w:rPr>
          <w:rFonts w:hint="eastAsia" w:ascii="宋体" w:hAnsi="宋体" w:eastAsia="宋体" w:cs="宋体"/>
          <w:color w:val="auto"/>
          <w:spacing w:val="-1"/>
          <w:position w:val="17"/>
          <w:sz w:val="27"/>
          <w:szCs w:val="27"/>
          <w:highlight w:val="none"/>
          <w:lang w:val="en-US" w:eastAsia="zh-CN"/>
        </w:rPr>
        <w:t>（五）采购项目品目类别及采购标的对应的中小企业划分标准所属行业。</w:t>
      </w:r>
    </w:p>
    <w:tbl>
      <w:tblPr>
        <w:tblStyle w:val="11"/>
        <w:tblW w:w="94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0"/>
        <w:gridCol w:w="2552"/>
        <w:gridCol w:w="988"/>
        <w:gridCol w:w="2193"/>
        <w:gridCol w:w="3057"/>
      </w:tblGrid>
      <w:tr w14:paraId="1F1FD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1" w:hRule="atLeast"/>
        </w:trPr>
        <w:tc>
          <w:tcPr>
            <w:tcW w:w="690" w:type="dxa"/>
            <w:noWrap w:val="0"/>
            <w:vAlign w:val="center"/>
          </w:tcPr>
          <w:p w14:paraId="403AA488">
            <w:pPr>
              <w:keepNext w:val="0"/>
              <w:keepLines w:val="0"/>
              <w:pageBreakBefore w:val="0"/>
              <w:widowControl w:val="0"/>
              <w:kinsoku w:val="0"/>
              <w:wordWrap/>
              <w:overflowPunct/>
              <w:topLinePunct w:val="0"/>
              <w:autoSpaceDE w:val="0"/>
              <w:autoSpaceDN w:val="0"/>
              <w:bidi w:val="0"/>
              <w:adjustRightInd w:val="0"/>
              <w:snapToGrid w:val="0"/>
              <w:spacing w:line="516" w:lineRule="exact"/>
              <w:ind w:right="0"/>
              <w:jc w:val="center"/>
              <w:textAlignment w:val="baseline"/>
              <w:rPr>
                <w:rFonts w:hint="eastAsia" w:ascii="宋体" w:hAnsi="宋体" w:eastAsia="宋体" w:cs="宋体"/>
                <w:b/>
                <w:bCs/>
                <w:color w:val="auto"/>
                <w:spacing w:val="-1"/>
                <w:position w:val="17"/>
                <w:sz w:val="27"/>
                <w:szCs w:val="27"/>
                <w:highlight w:val="none"/>
                <w:lang w:val="en-US" w:eastAsia="zh-CN"/>
              </w:rPr>
            </w:pPr>
            <w:r>
              <w:rPr>
                <w:rFonts w:hint="eastAsia" w:ascii="宋体" w:hAnsi="宋体" w:eastAsia="宋体" w:cs="宋体"/>
                <w:b/>
                <w:bCs/>
                <w:color w:val="auto"/>
                <w:spacing w:val="-1"/>
                <w:position w:val="17"/>
                <w:sz w:val="27"/>
                <w:szCs w:val="27"/>
                <w:highlight w:val="none"/>
                <w:lang w:val="en-US" w:eastAsia="zh-CN"/>
              </w:rPr>
              <w:t>序号</w:t>
            </w:r>
          </w:p>
        </w:tc>
        <w:tc>
          <w:tcPr>
            <w:tcW w:w="2552" w:type="dxa"/>
            <w:noWrap w:val="0"/>
            <w:vAlign w:val="center"/>
          </w:tcPr>
          <w:p w14:paraId="0C796780">
            <w:pPr>
              <w:keepNext w:val="0"/>
              <w:keepLines w:val="0"/>
              <w:pageBreakBefore w:val="0"/>
              <w:widowControl w:val="0"/>
              <w:kinsoku w:val="0"/>
              <w:wordWrap/>
              <w:overflowPunct/>
              <w:topLinePunct w:val="0"/>
              <w:autoSpaceDE w:val="0"/>
              <w:autoSpaceDN w:val="0"/>
              <w:bidi w:val="0"/>
              <w:adjustRightInd w:val="0"/>
              <w:snapToGrid w:val="0"/>
              <w:spacing w:line="516" w:lineRule="exact"/>
              <w:ind w:right="0"/>
              <w:jc w:val="center"/>
              <w:textAlignment w:val="baseline"/>
              <w:rPr>
                <w:rFonts w:hint="eastAsia" w:ascii="宋体" w:hAnsi="宋体" w:eastAsia="宋体" w:cs="宋体"/>
                <w:b/>
                <w:bCs/>
                <w:color w:val="auto"/>
                <w:spacing w:val="-1"/>
                <w:position w:val="17"/>
                <w:sz w:val="27"/>
                <w:szCs w:val="27"/>
                <w:highlight w:val="none"/>
                <w:lang w:val="en-US" w:eastAsia="zh-CN"/>
              </w:rPr>
            </w:pPr>
            <w:r>
              <w:rPr>
                <w:rFonts w:hint="eastAsia" w:ascii="宋体" w:hAnsi="宋体" w:eastAsia="宋体" w:cs="宋体"/>
                <w:b/>
                <w:bCs/>
                <w:color w:val="auto"/>
                <w:spacing w:val="-1"/>
                <w:position w:val="17"/>
                <w:sz w:val="27"/>
                <w:szCs w:val="27"/>
                <w:highlight w:val="none"/>
                <w:lang w:val="en-US" w:eastAsia="zh-CN"/>
              </w:rPr>
              <w:t>项目名称</w:t>
            </w:r>
          </w:p>
        </w:tc>
        <w:tc>
          <w:tcPr>
            <w:tcW w:w="988" w:type="dxa"/>
            <w:noWrap w:val="0"/>
            <w:vAlign w:val="center"/>
          </w:tcPr>
          <w:p w14:paraId="0A05FE7B">
            <w:pPr>
              <w:keepNext w:val="0"/>
              <w:keepLines w:val="0"/>
              <w:pageBreakBefore w:val="0"/>
              <w:widowControl w:val="0"/>
              <w:kinsoku w:val="0"/>
              <w:wordWrap/>
              <w:overflowPunct/>
              <w:topLinePunct w:val="0"/>
              <w:autoSpaceDE w:val="0"/>
              <w:autoSpaceDN w:val="0"/>
              <w:bidi w:val="0"/>
              <w:adjustRightInd w:val="0"/>
              <w:snapToGrid w:val="0"/>
              <w:spacing w:line="516" w:lineRule="exact"/>
              <w:ind w:right="0"/>
              <w:jc w:val="center"/>
              <w:textAlignment w:val="baseline"/>
              <w:rPr>
                <w:rFonts w:hint="eastAsia" w:ascii="宋体" w:hAnsi="宋体" w:eastAsia="宋体" w:cs="宋体"/>
                <w:b/>
                <w:bCs/>
                <w:color w:val="auto"/>
                <w:spacing w:val="-1"/>
                <w:position w:val="17"/>
                <w:sz w:val="27"/>
                <w:szCs w:val="27"/>
                <w:highlight w:val="none"/>
                <w:lang w:val="en-US" w:eastAsia="zh-CN"/>
              </w:rPr>
            </w:pPr>
            <w:r>
              <w:rPr>
                <w:rFonts w:hint="eastAsia" w:ascii="宋体" w:hAnsi="宋体" w:eastAsia="宋体" w:cs="宋体"/>
                <w:b/>
                <w:bCs/>
                <w:color w:val="auto"/>
                <w:spacing w:val="-1"/>
                <w:position w:val="17"/>
                <w:sz w:val="27"/>
                <w:szCs w:val="27"/>
                <w:highlight w:val="none"/>
                <w:lang w:val="en-US" w:eastAsia="zh-CN"/>
              </w:rPr>
              <w:t>数量</w:t>
            </w:r>
          </w:p>
        </w:tc>
        <w:tc>
          <w:tcPr>
            <w:tcW w:w="2193" w:type="dxa"/>
            <w:noWrap w:val="0"/>
            <w:vAlign w:val="center"/>
          </w:tcPr>
          <w:p w14:paraId="01B043FB">
            <w:pPr>
              <w:keepNext w:val="0"/>
              <w:keepLines w:val="0"/>
              <w:pageBreakBefore w:val="0"/>
              <w:widowControl w:val="0"/>
              <w:kinsoku w:val="0"/>
              <w:wordWrap/>
              <w:overflowPunct/>
              <w:topLinePunct w:val="0"/>
              <w:autoSpaceDE w:val="0"/>
              <w:autoSpaceDN w:val="0"/>
              <w:bidi w:val="0"/>
              <w:adjustRightInd w:val="0"/>
              <w:snapToGrid w:val="0"/>
              <w:spacing w:line="516" w:lineRule="exact"/>
              <w:ind w:right="0"/>
              <w:jc w:val="center"/>
              <w:textAlignment w:val="baseline"/>
              <w:rPr>
                <w:rFonts w:hint="eastAsia" w:ascii="宋体" w:hAnsi="宋体" w:eastAsia="宋体" w:cs="宋体"/>
                <w:b/>
                <w:bCs/>
                <w:color w:val="auto"/>
                <w:spacing w:val="-1"/>
                <w:position w:val="17"/>
                <w:sz w:val="27"/>
                <w:szCs w:val="27"/>
                <w:highlight w:val="none"/>
                <w:lang w:val="en-US" w:eastAsia="zh-CN"/>
              </w:rPr>
            </w:pPr>
            <w:r>
              <w:rPr>
                <w:rFonts w:hint="eastAsia" w:ascii="宋体" w:hAnsi="宋体" w:eastAsia="宋体" w:cs="宋体"/>
                <w:b/>
                <w:bCs/>
                <w:color w:val="auto"/>
                <w:spacing w:val="-1"/>
                <w:position w:val="17"/>
                <w:sz w:val="27"/>
                <w:szCs w:val="27"/>
                <w:highlight w:val="none"/>
                <w:lang w:val="en-US" w:eastAsia="zh-CN"/>
              </w:rPr>
              <w:t>品目</w:t>
            </w:r>
          </w:p>
          <w:p w14:paraId="65070020">
            <w:pPr>
              <w:keepNext w:val="0"/>
              <w:keepLines w:val="0"/>
              <w:pageBreakBefore w:val="0"/>
              <w:widowControl w:val="0"/>
              <w:kinsoku w:val="0"/>
              <w:wordWrap/>
              <w:overflowPunct/>
              <w:topLinePunct w:val="0"/>
              <w:autoSpaceDE w:val="0"/>
              <w:autoSpaceDN w:val="0"/>
              <w:bidi w:val="0"/>
              <w:adjustRightInd w:val="0"/>
              <w:snapToGrid w:val="0"/>
              <w:spacing w:line="516" w:lineRule="exact"/>
              <w:ind w:right="0"/>
              <w:jc w:val="center"/>
              <w:textAlignment w:val="baseline"/>
              <w:rPr>
                <w:rFonts w:hint="eastAsia" w:ascii="宋体" w:hAnsi="宋体" w:eastAsia="宋体" w:cs="宋体"/>
                <w:b/>
                <w:bCs/>
                <w:color w:val="auto"/>
                <w:spacing w:val="-1"/>
                <w:position w:val="17"/>
                <w:sz w:val="27"/>
                <w:szCs w:val="27"/>
                <w:highlight w:val="none"/>
                <w:lang w:val="en-US" w:eastAsia="zh-CN"/>
              </w:rPr>
            </w:pPr>
            <w:r>
              <w:rPr>
                <w:rFonts w:hint="eastAsia" w:ascii="宋体" w:hAnsi="宋体" w:eastAsia="宋体" w:cs="宋体"/>
                <w:b/>
                <w:bCs/>
                <w:color w:val="auto"/>
                <w:spacing w:val="-1"/>
                <w:position w:val="17"/>
                <w:sz w:val="27"/>
                <w:szCs w:val="27"/>
                <w:highlight w:val="none"/>
                <w:lang w:val="en-US" w:eastAsia="zh-CN"/>
              </w:rPr>
              <w:t>类别</w:t>
            </w:r>
          </w:p>
        </w:tc>
        <w:tc>
          <w:tcPr>
            <w:tcW w:w="3057" w:type="dxa"/>
            <w:noWrap w:val="0"/>
            <w:vAlign w:val="center"/>
          </w:tcPr>
          <w:p w14:paraId="5D0F7727">
            <w:pPr>
              <w:keepNext w:val="0"/>
              <w:keepLines w:val="0"/>
              <w:pageBreakBefore w:val="0"/>
              <w:widowControl w:val="0"/>
              <w:kinsoku w:val="0"/>
              <w:wordWrap/>
              <w:overflowPunct/>
              <w:topLinePunct w:val="0"/>
              <w:autoSpaceDE w:val="0"/>
              <w:autoSpaceDN w:val="0"/>
              <w:bidi w:val="0"/>
              <w:adjustRightInd w:val="0"/>
              <w:snapToGrid w:val="0"/>
              <w:spacing w:line="516" w:lineRule="exact"/>
              <w:ind w:right="0"/>
              <w:jc w:val="center"/>
              <w:textAlignment w:val="baseline"/>
              <w:rPr>
                <w:rFonts w:hint="eastAsia" w:ascii="宋体" w:hAnsi="宋体" w:eastAsia="宋体" w:cs="宋体"/>
                <w:b/>
                <w:bCs/>
                <w:color w:val="auto"/>
                <w:spacing w:val="-1"/>
                <w:position w:val="17"/>
                <w:sz w:val="27"/>
                <w:szCs w:val="27"/>
                <w:highlight w:val="none"/>
                <w:lang w:val="en-US" w:eastAsia="zh-CN"/>
              </w:rPr>
            </w:pPr>
            <w:r>
              <w:rPr>
                <w:rFonts w:hint="eastAsia" w:ascii="宋体" w:hAnsi="宋体" w:eastAsia="宋体" w:cs="宋体"/>
                <w:b/>
                <w:bCs/>
                <w:color w:val="auto"/>
                <w:spacing w:val="-1"/>
                <w:position w:val="17"/>
                <w:sz w:val="27"/>
                <w:szCs w:val="27"/>
                <w:highlight w:val="none"/>
                <w:lang w:val="en-US" w:eastAsia="zh-CN"/>
              </w:rPr>
              <w:t>采购标的对应的中小企业划分标准所属行业</w:t>
            </w:r>
          </w:p>
        </w:tc>
      </w:tr>
      <w:tr w14:paraId="3B928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1" w:hRule="atLeast"/>
        </w:trPr>
        <w:tc>
          <w:tcPr>
            <w:tcW w:w="690" w:type="dxa"/>
            <w:noWrap w:val="0"/>
            <w:vAlign w:val="center"/>
          </w:tcPr>
          <w:p w14:paraId="52DA6E64">
            <w:pPr>
              <w:keepNext w:val="0"/>
              <w:keepLines w:val="0"/>
              <w:pageBreakBefore w:val="0"/>
              <w:widowControl w:val="0"/>
              <w:kinsoku w:val="0"/>
              <w:wordWrap/>
              <w:overflowPunct/>
              <w:topLinePunct w:val="0"/>
              <w:autoSpaceDE w:val="0"/>
              <w:autoSpaceDN w:val="0"/>
              <w:bidi w:val="0"/>
              <w:adjustRightInd w:val="0"/>
              <w:snapToGrid w:val="0"/>
              <w:spacing w:line="516" w:lineRule="exact"/>
              <w:ind w:right="0"/>
              <w:jc w:val="center"/>
              <w:textAlignment w:val="baseline"/>
              <w:rPr>
                <w:rFonts w:hint="eastAsia" w:ascii="宋体" w:hAnsi="宋体" w:eastAsia="宋体" w:cs="宋体"/>
                <w:color w:val="auto"/>
                <w:spacing w:val="-1"/>
                <w:position w:val="17"/>
                <w:sz w:val="27"/>
                <w:szCs w:val="27"/>
                <w:highlight w:val="none"/>
                <w:lang w:val="en-US" w:eastAsia="zh-CN"/>
              </w:rPr>
            </w:pPr>
            <w:r>
              <w:rPr>
                <w:rFonts w:hint="eastAsia" w:ascii="宋体" w:hAnsi="宋体" w:eastAsia="宋体" w:cs="宋体"/>
                <w:color w:val="auto"/>
                <w:spacing w:val="-1"/>
                <w:position w:val="17"/>
                <w:sz w:val="27"/>
                <w:szCs w:val="27"/>
                <w:highlight w:val="none"/>
                <w:lang w:val="en-US" w:eastAsia="zh-CN"/>
              </w:rPr>
              <w:t>1</w:t>
            </w:r>
          </w:p>
        </w:tc>
        <w:tc>
          <w:tcPr>
            <w:tcW w:w="2552" w:type="dxa"/>
            <w:noWrap w:val="0"/>
            <w:vAlign w:val="center"/>
          </w:tcPr>
          <w:p w14:paraId="3E845A25">
            <w:pPr>
              <w:keepNext w:val="0"/>
              <w:keepLines w:val="0"/>
              <w:pageBreakBefore w:val="0"/>
              <w:widowControl w:val="0"/>
              <w:kinsoku w:val="0"/>
              <w:wordWrap/>
              <w:overflowPunct/>
              <w:topLinePunct w:val="0"/>
              <w:autoSpaceDE w:val="0"/>
              <w:autoSpaceDN w:val="0"/>
              <w:bidi w:val="0"/>
              <w:adjustRightInd w:val="0"/>
              <w:snapToGrid w:val="0"/>
              <w:spacing w:line="516" w:lineRule="exact"/>
              <w:ind w:right="0"/>
              <w:jc w:val="center"/>
              <w:textAlignment w:val="baseline"/>
              <w:rPr>
                <w:rFonts w:hint="eastAsia" w:ascii="宋体" w:hAnsi="宋体" w:eastAsia="宋体" w:cs="宋体"/>
                <w:color w:val="auto"/>
                <w:spacing w:val="-1"/>
                <w:position w:val="17"/>
                <w:sz w:val="27"/>
                <w:szCs w:val="27"/>
                <w:highlight w:val="none"/>
                <w:lang w:val="en-US" w:eastAsia="zh-CN"/>
              </w:rPr>
            </w:pPr>
            <w:r>
              <w:rPr>
                <w:rFonts w:hint="eastAsia" w:ascii="宋体" w:hAnsi="宋体" w:eastAsia="宋体" w:cs="宋体"/>
                <w:color w:val="auto"/>
                <w:spacing w:val="-1"/>
                <w:position w:val="17"/>
                <w:sz w:val="27"/>
                <w:szCs w:val="27"/>
                <w:highlight w:val="none"/>
                <w:lang w:val="en-US" w:eastAsia="zh-CN"/>
              </w:rPr>
              <w:t>会昌县筠门岭镇全民健身广场项目配套运动健身器材采购</w:t>
            </w:r>
          </w:p>
        </w:tc>
        <w:tc>
          <w:tcPr>
            <w:tcW w:w="988" w:type="dxa"/>
            <w:noWrap w:val="0"/>
            <w:vAlign w:val="center"/>
          </w:tcPr>
          <w:p w14:paraId="3CA33CE3">
            <w:pPr>
              <w:keepNext w:val="0"/>
              <w:keepLines w:val="0"/>
              <w:pageBreakBefore w:val="0"/>
              <w:widowControl w:val="0"/>
              <w:kinsoku w:val="0"/>
              <w:wordWrap/>
              <w:overflowPunct/>
              <w:topLinePunct w:val="0"/>
              <w:autoSpaceDE w:val="0"/>
              <w:autoSpaceDN w:val="0"/>
              <w:bidi w:val="0"/>
              <w:adjustRightInd w:val="0"/>
              <w:snapToGrid w:val="0"/>
              <w:spacing w:line="516" w:lineRule="exact"/>
              <w:ind w:right="0"/>
              <w:jc w:val="center"/>
              <w:textAlignment w:val="baseline"/>
              <w:rPr>
                <w:rFonts w:hint="eastAsia" w:ascii="宋体" w:hAnsi="宋体" w:eastAsia="宋体" w:cs="宋体"/>
                <w:color w:val="auto"/>
                <w:spacing w:val="-1"/>
                <w:position w:val="17"/>
                <w:sz w:val="27"/>
                <w:szCs w:val="27"/>
                <w:highlight w:val="none"/>
                <w:lang w:val="en-US" w:eastAsia="zh-CN"/>
              </w:rPr>
            </w:pPr>
            <w:r>
              <w:rPr>
                <w:rFonts w:hint="eastAsia" w:ascii="宋体" w:hAnsi="宋体" w:eastAsia="宋体" w:cs="宋体"/>
                <w:color w:val="auto"/>
                <w:spacing w:val="-1"/>
                <w:position w:val="17"/>
                <w:sz w:val="27"/>
                <w:szCs w:val="27"/>
                <w:highlight w:val="none"/>
                <w:lang w:val="en-US" w:eastAsia="zh-CN"/>
              </w:rPr>
              <w:t>1批</w:t>
            </w:r>
          </w:p>
        </w:tc>
        <w:tc>
          <w:tcPr>
            <w:tcW w:w="2193" w:type="dxa"/>
            <w:noWrap w:val="0"/>
            <w:vAlign w:val="center"/>
          </w:tcPr>
          <w:p w14:paraId="2AB86B8F">
            <w:pPr>
              <w:keepNext w:val="0"/>
              <w:keepLines w:val="0"/>
              <w:pageBreakBefore w:val="0"/>
              <w:widowControl w:val="0"/>
              <w:kinsoku w:val="0"/>
              <w:wordWrap/>
              <w:overflowPunct/>
              <w:topLinePunct w:val="0"/>
              <w:autoSpaceDE w:val="0"/>
              <w:autoSpaceDN w:val="0"/>
              <w:bidi w:val="0"/>
              <w:adjustRightInd w:val="0"/>
              <w:snapToGrid w:val="0"/>
              <w:spacing w:line="516" w:lineRule="exact"/>
              <w:ind w:right="0"/>
              <w:jc w:val="center"/>
              <w:textAlignment w:val="baseline"/>
              <w:rPr>
                <w:rFonts w:hint="eastAsia" w:ascii="宋体" w:hAnsi="宋体" w:eastAsia="宋体" w:cs="宋体"/>
                <w:color w:val="auto"/>
                <w:spacing w:val="-1"/>
                <w:position w:val="17"/>
                <w:sz w:val="27"/>
                <w:szCs w:val="27"/>
                <w:highlight w:val="none"/>
                <w:lang w:val="en-US" w:eastAsia="zh-CN"/>
              </w:rPr>
            </w:pPr>
            <w:r>
              <w:rPr>
                <w:rFonts w:hint="eastAsia" w:ascii="宋体" w:hAnsi="宋体" w:eastAsia="宋体" w:cs="宋体"/>
                <w:color w:val="auto"/>
                <w:spacing w:val="-1"/>
                <w:position w:val="17"/>
                <w:sz w:val="27"/>
                <w:szCs w:val="27"/>
                <w:highlight w:val="none"/>
                <w:lang w:val="en-US" w:eastAsia="zh-CN"/>
              </w:rPr>
              <w:t>A02462600健身设备</w:t>
            </w:r>
          </w:p>
        </w:tc>
        <w:tc>
          <w:tcPr>
            <w:tcW w:w="3057" w:type="dxa"/>
            <w:noWrap w:val="0"/>
            <w:vAlign w:val="center"/>
          </w:tcPr>
          <w:p w14:paraId="0C4E0C8D">
            <w:pPr>
              <w:keepNext w:val="0"/>
              <w:keepLines w:val="0"/>
              <w:pageBreakBefore w:val="0"/>
              <w:widowControl w:val="0"/>
              <w:kinsoku w:val="0"/>
              <w:wordWrap/>
              <w:overflowPunct/>
              <w:topLinePunct w:val="0"/>
              <w:autoSpaceDE w:val="0"/>
              <w:autoSpaceDN w:val="0"/>
              <w:bidi w:val="0"/>
              <w:adjustRightInd w:val="0"/>
              <w:snapToGrid w:val="0"/>
              <w:spacing w:line="516" w:lineRule="exact"/>
              <w:ind w:right="0"/>
              <w:jc w:val="center"/>
              <w:textAlignment w:val="baseline"/>
              <w:rPr>
                <w:rFonts w:hint="eastAsia" w:ascii="宋体" w:hAnsi="宋体" w:eastAsia="宋体" w:cs="宋体"/>
                <w:color w:val="auto"/>
                <w:spacing w:val="-1"/>
                <w:position w:val="17"/>
                <w:sz w:val="27"/>
                <w:szCs w:val="27"/>
                <w:highlight w:val="none"/>
                <w:lang w:val="en-US" w:eastAsia="zh-CN"/>
              </w:rPr>
            </w:pPr>
            <w:r>
              <w:rPr>
                <w:rFonts w:hint="eastAsia" w:ascii="宋体" w:hAnsi="宋体" w:eastAsia="宋体" w:cs="宋体"/>
                <w:color w:val="auto"/>
                <w:spacing w:val="-1"/>
                <w:position w:val="17"/>
                <w:sz w:val="27"/>
                <w:szCs w:val="27"/>
                <w:highlight w:val="none"/>
                <w:lang w:val="en-US" w:eastAsia="zh-CN"/>
              </w:rPr>
              <w:t>工业</w:t>
            </w:r>
          </w:p>
        </w:tc>
      </w:tr>
    </w:tbl>
    <w:p w14:paraId="009CDA9E">
      <w:pPr>
        <w:pageBreakBefore w:val="0"/>
        <w:widowControl w:val="0"/>
        <w:wordWrap/>
        <w:overflowPunct/>
        <w:topLinePunct w:val="0"/>
        <w:bidi w:val="0"/>
        <w:spacing w:line="516" w:lineRule="exact"/>
        <w:rPr>
          <w:rFonts w:hint="eastAsia" w:ascii="宋体" w:hAnsi="宋体" w:eastAsia="宋体" w:cs="宋体"/>
          <w:color w:val="auto"/>
          <w:sz w:val="27"/>
          <w:szCs w:val="27"/>
          <w:highlight w:val="none"/>
        </w:rPr>
      </w:pPr>
    </w:p>
    <w:p w14:paraId="1E0E9775">
      <w:pPr>
        <w:keepNext w:val="0"/>
        <w:keepLines w:val="0"/>
        <w:pageBreakBefore w:val="0"/>
        <w:widowControl w:val="0"/>
        <w:wordWrap/>
        <w:overflowPunct/>
        <w:topLinePunct w:val="0"/>
        <w:bidi w:val="0"/>
        <w:spacing w:before="47" w:line="516" w:lineRule="exact"/>
        <w:jc w:val="center"/>
        <w:outlineLvl w:val="1"/>
        <w:rPr>
          <w:rFonts w:hint="eastAsia" w:ascii="宋体" w:hAnsi="宋体" w:eastAsia="宋体" w:cs="宋体"/>
          <w:color w:val="auto"/>
          <w:spacing w:val="0"/>
          <w:w w:val="100"/>
          <w:position w:val="0"/>
          <w:sz w:val="27"/>
          <w:szCs w:val="27"/>
        </w:rPr>
      </w:pPr>
      <w:r>
        <w:rPr>
          <w:rFonts w:hint="eastAsia" w:ascii="宋体" w:hAnsi="宋体" w:eastAsia="宋体" w:cs="宋体"/>
          <w:color w:val="auto"/>
          <w:spacing w:val="0"/>
          <w:w w:val="100"/>
          <w:position w:val="0"/>
          <w:sz w:val="27"/>
          <w:szCs w:val="27"/>
        </w:rPr>
        <w:t>采购需求</w:t>
      </w:r>
    </w:p>
    <w:p w14:paraId="1B547FD8">
      <w:pPr>
        <w:pageBreakBefore w:val="0"/>
        <w:widowControl w:val="0"/>
        <w:wordWrap/>
        <w:overflowPunct/>
        <w:topLinePunct w:val="0"/>
        <w:bidi w:val="0"/>
        <w:spacing w:before="78" w:line="516" w:lineRule="exact"/>
        <w:rPr>
          <w:rFonts w:ascii="宋体" w:hAnsi="宋体" w:eastAsia="宋体" w:cs="宋体"/>
          <w:b/>
          <w:bCs/>
          <w:color w:val="auto"/>
          <w:spacing w:val="0"/>
          <w:w w:val="100"/>
          <w:position w:val="0"/>
          <w:sz w:val="27"/>
          <w:szCs w:val="27"/>
        </w:rPr>
      </w:pPr>
      <w:r>
        <w:rPr>
          <w:rFonts w:ascii="宋体" w:hAnsi="宋体" w:eastAsia="宋体" w:cs="宋体"/>
          <w:b/>
          <w:bCs/>
          <w:color w:val="auto"/>
          <w:spacing w:val="0"/>
          <w:w w:val="100"/>
          <w:position w:val="0"/>
          <w:sz w:val="27"/>
          <w:szCs w:val="27"/>
        </w:rPr>
        <w:t>（一）技术需求</w:t>
      </w:r>
    </w:p>
    <w:tbl>
      <w:tblPr>
        <w:tblStyle w:val="11"/>
        <w:tblpPr w:leftFromText="180" w:rightFromText="180" w:vertAnchor="text" w:horzAnchor="page" w:tblpX="708" w:tblpY="345"/>
        <w:tblOverlap w:val="never"/>
        <w:tblW w:w="106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8"/>
        <w:gridCol w:w="1200"/>
        <w:gridCol w:w="6123"/>
        <w:gridCol w:w="709"/>
        <w:gridCol w:w="791"/>
        <w:gridCol w:w="1241"/>
      </w:tblGrid>
      <w:tr w14:paraId="379B0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5A81AC1A">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b/>
                <w:bCs/>
                <w:i w:val="0"/>
                <w:iCs w:val="0"/>
                <w:color w:val="000000"/>
                <w:kern w:val="0"/>
                <w:sz w:val="27"/>
                <w:szCs w:val="27"/>
                <w:highlight w:val="none"/>
                <w:u w:val="none"/>
                <w:lang w:val="en-US" w:eastAsia="zh-CN" w:bidi="ar"/>
              </w:rPr>
              <w:t>序号</w:t>
            </w:r>
          </w:p>
        </w:tc>
        <w:tc>
          <w:tcPr>
            <w:tcW w:w="1200" w:type="dxa"/>
            <w:noWrap w:val="0"/>
            <w:vAlign w:val="center"/>
          </w:tcPr>
          <w:p w14:paraId="788205D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b/>
                <w:bCs/>
                <w:i w:val="0"/>
                <w:iCs w:val="0"/>
                <w:color w:val="000000"/>
                <w:kern w:val="0"/>
                <w:sz w:val="27"/>
                <w:szCs w:val="27"/>
                <w:highlight w:val="none"/>
                <w:u w:val="none"/>
                <w:lang w:val="en-US" w:eastAsia="zh-CN" w:bidi="ar"/>
              </w:rPr>
              <w:t>货物名称</w:t>
            </w:r>
          </w:p>
        </w:tc>
        <w:tc>
          <w:tcPr>
            <w:tcW w:w="6123" w:type="dxa"/>
            <w:noWrap w:val="0"/>
            <w:vAlign w:val="center"/>
          </w:tcPr>
          <w:p w14:paraId="2216FBA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b/>
                <w:bCs/>
                <w:i w:val="0"/>
                <w:iCs w:val="0"/>
                <w:color w:val="000000"/>
                <w:kern w:val="0"/>
                <w:sz w:val="27"/>
                <w:szCs w:val="27"/>
                <w:highlight w:val="none"/>
                <w:u w:val="none"/>
                <w:lang w:val="en-US" w:eastAsia="zh-CN" w:bidi="ar"/>
              </w:rPr>
              <w:t>技术参数</w:t>
            </w:r>
          </w:p>
        </w:tc>
        <w:tc>
          <w:tcPr>
            <w:tcW w:w="709" w:type="dxa"/>
            <w:noWrap w:val="0"/>
            <w:vAlign w:val="center"/>
          </w:tcPr>
          <w:p w14:paraId="1E410B8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b/>
                <w:bCs/>
                <w:i w:val="0"/>
                <w:iCs w:val="0"/>
                <w:color w:val="000000"/>
                <w:kern w:val="0"/>
                <w:sz w:val="27"/>
                <w:szCs w:val="27"/>
                <w:highlight w:val="none"/>
                <w:u w:val="none"/>
                <w:lang w:val="en-US" w:eastAsia="zh-CN" w:bidi="ar"/>
              </w:rPr>
              <w:t>单位</w:t>
            </w:r>
          </w:p>
        </w:tc>
        <w:tc>
          <w:tcPr>
            <w:tcW w:w="791" w:type="dxa"/>
            <w:noWrap w:val="0"/>
            <w:vAlign w:val="center"/>
          </w:tcPr>
          <w:p w14:paraId="7C9A27CB">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b/>
                <w:bCs/>
                <w:i w:val="0"/>
                <w:iCs w:val="0"/>
                <w:color w:val="000000"/>
                <w:kern w:val="0"/>
                <w:sz w:val="27"/>
                <w:szCs w:val="27"/>
                <w:highlight w:val="none"/>
                <w:u w:val="none"/>
                <w:lang w:val="en-US" w:eastAsia="zh-CN" w:bidi="ar"/>
              </w:rPr>
              <w:t>数量</w:t>
            </w:r>
          </w:p>
        </w:tc>
        <w:tc>
          <w:tcPr>
            <w:tcW w:w="1241" w:type="dxa"/>
            <w:noWrap w:val="0"/>
            <w:vAlign w:val="center"/>
          </w:tcPr>
          <w:p w14:paraId="05979B0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lang w:val="en-US"/>
              </w:rPr>
            </w:pPr>
            <w:r>
              <w:rPr>
                <w:rFonts w:hint="eastAsia" w:ascii="宋体" w:hAnsi="宋体" w:eastAsia="宋体" w:cs="宋体"/>
                <w:b/>
                <w:bCs/>
                <w:i w:val="0"/>
                <w:iCs w:val="0"/>
                <w:color w:val="000000"/>
                <w:kern w:val="0"/>
                <w:sz w:val="27"/>
                <w:szCs w:val="27"/>
                <w:highlight w:val="none"/>
                <w:u w:val="none"/>
                <w:lang w:val="en-US" w:eastAsia="zh-CN" w:bidi="ar"/>
              </w:rPr>
              <w:t>单价最高限价(元）</w:t>
            </w:r>
          </w:p>
        </w:tc>
      </w:tr>
      <w:tr w14:paraId="5B5C9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72" w:type="dxa"/>
            <w:gridSpan w:val="6"/>
            <w:noWrap w:val="0"/>
            <w:vAlign w:val="center"/>
          </w:tcPr>
          <w:p w14:paraId="359376EA">
            <w:pPr>
              <w:keepNext w:val="0"/>
              <w:keepLines w:val="0"/>
              <w:pageBreakBefore w:val="0"/>
              <w:widowControl/>
              <w:suppressLineNumbers w:val="0"/>
              <w:tabs>
                <w:tab w:val="left" w:pos="1482"/>
              </w:tabs>
              <w:kinsoku w:val="0"/>
              <w:wordWrap/>
              <w:overflowPunct/>
              <w:topLinePunct w:val="0"/>
              <w:autoSpaceDE w:val="0"/>
              <w:autoSpaceDN w:val="0"/>
              <w:bidi w:val="0"/>
              <w:adjustRightInd w:val="0"/>
              <w:snapToGrid w:val="0"/>
              <w:spacing w:line="516" w:lineRule="exact"/>
              <w:jc w:val="both"/>
              <w:textAlignment w:val="center"/>
              <w:rPr>
                <w:rFonts w:hint="eastAsia" w:ascii="宋体" w:hAnsi="宋体" w:eastAsia="宋体" w:cs="宋体"/>
                <w:b/>
                <w:bCs/>
                <w:i w:val="0"/>
                <w:iCs w:val="0"/>
                <w:color w:val="000000"/>
                <w:kern w:val="0"/>
                <w:sz w:val="27"/>
                <w:szCs w:val="27"/>
                <w:highlight w:val="none"/>
                <w:u w:val="none"/>
                <w:lang w:val="en-US" w:eastAsia="zh-CN" w:bidi="ar"/>
              </w:rPr>
            </w:pPr>
            <w:r>
              <w:rPr>
                <w:rFonts w:hint="eastAsia" w:ascii="宋体" w:hAnsi="宋体" w:eastAsia="宋体" w:cs="宋体"/>
                <w:b/>
                <w:bCs/>
                <w:i w:val="0"/>
                <w:iCs w:val="0"/>
                <w:color w:val="000000"/>
                <w:kern w:val="0"/>
                <w:sz w:val="27"/>
                <w:szCs w:val="27"/>
                <w:highlight w:val="none"/>
                <w:u w:val="none"/>
                <w:lang w:val="en-US" w:eastAsia="zh-CN" w:bidi="ar"/>
              </w:rPr>
              <w:t>一、LED大屏幕（屏幕尺寸10.2m*4.2m）</w:t>
            </w:r>
          </w:p>
        </w:tc>
      </w:tr>
      <w:tr w14:paraId="3C7ED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26FD3CD5">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w:t>
            </w:r>
          </w:p>
        </w:tc>
        <w:tc>
          <w:tcPr>
            <w:tcW w:w="1200" w:type="dxa"/>
            <w:noWrap w:val="0"/>
            <w:vAlign w:val="center"/>
          </w:tcPr>
          <w:p w14:paraId="23647F3F">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LED显示屏</w:t>
            </w:r>
          </w:p>
        </w:tc>
        <w:tc>
          <w:tcPr>
            <w:tcW w:w="6123" w:type="dxa"/>
            <w:noWrap w:val="0"/>
            <w:vAlign w:val="center"/>
          </w:tcPr>
          <w:p w14:paraId="180FF8CB">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1</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lang w:eastAsia="zh-CN"/>
              </w:rPr>
              <w:t>净尺寸（宽×高）;4.16m×9.92m=41.2672㎡，像素点间距：3mm；</w:t>
            </w:r>
          </w:p>
          <w:p w14:paraId="0A8896AB">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2.像素构成：1R1G1B；</w:t>
            </w:r>
          </w:p>
          <w:p w14:paraId="748814CE">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3.像素密度：105625Dots/㎡;</w:t>
            </w:r>
          </w:p>
          <w:p w14:paraId="7DA6CE9A">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4.单元板分辨率：5408Dots;</w:t>
            </w:r>
          </w:p>
          <w:p w14:paraId="047C4C02">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5.供电电源：在4.2×(1±10%)VDC～4.5×(1±10%)VDC范围内能正常工作;</w:t>
            </w:r>
          </w:p>
          <w:p w14:paraId="0A2354D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6.白平衡亮度：0-5000cd/m²可调;</w:t>
            </w:r>
          </w:p>
          <w:p w14:paraId="50E2295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7.亮度均匀性：≥95%;</w:t>
            </w:r>
          </w:p>
          <w:p w14:paraId="39EFBF2B">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8.色度均匀性：±0.001Cx、Cy内;</w:t>
            </w:r>
          </w:p>
          <w:p w14:paraId="7F643AF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9.水平视角：≥140°;</w:t>
            </w:r>
          </w:p>
          <w:p w14:paraId="192018C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10.垂直视角：≥130°;</w:t>
            </w:r>
          </w:p>
          <w:p w14:paraId="0D73E638">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11.对比度：≥5000：1;</w:t>
            </w:r>
          </w:p>
          <w:p w14:paraId="650E0E1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12.刷新率：≥960Hz,支持通过配套控制软件调节刷新率设置选项;</w:t>
            </w:r>
          </w:p>
          <w:p w14:paraId="68ABEB5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13.峰值功耗：≤600W/m²;</w:t>
            </w:r>
          </w:p>
          <w:p w14:paraId="188578C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14.平均功耗：≤200W/m²;</w:t>
            </w:r>
          </w:p>
          <w:p w14:paraId="48CAA18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15.防电力远程窃密技术:采用信息相关方式阻止电力通信，采用电子对抗原理，防止电磁传导辐射泄露有用信息，防止劫持相关控制设备:覆盖范围:1.1KHz~1.5GHz;输入/输出电源滤波设计抑制信号强度，具有很好的电磁兼容性；</w:t>
            </w:r>
          </w:p>
          <w:p w14:paraId="6D130943">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16.自动gamma设置：支持自动gamma校正技术，14bit自动调节，通过构造非线性校正曲线和色坐标变换系数矩阵实现了显示效果的不断改善，各项重要指标如色彩还原性、色温调节范围、亮度均匀性、色度均匀性、刷新率.换帧频率等，均符合广电级标准；</w:t>
            </w:r>
          </w:p>
          <w:p w14:paraId="098EEDC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lang w:eastAsia="zh-CN"/>
              </w:rPr>
              <w:t>17.支持PPA碗杯结构、点胶封装、出光方式为单面发光；显示面采用高强度化学防护材质，防碰撞、耐冲击、高耐磨、抗腐蚀、防划痕，可直接擦拭LED附着力≥100N；在灯珠四侧以水平夹角45°的方向施加推力15N，灯珠未破碎或脱落。</w:t>
            </w:r>
          </w:p>
        </w:tc>
        <w:tc>
          <w:tcPr>
            <w:tcW w:w="709" w:type="dxa"/>
            <w:noWrap w:val="0"/>
            <w:vAlign w:val="center"/>
          </w:tcPr>
          <w:p w14:paraId="67228DAE">
            <w:pPr>
              <w:keepNext w:val="0"/>
              <w:keepLines w:val="0"/>
              <w:pageBreakBefore w:val="0"/>
              <w:widowControl/>
              <w:suppressLineNumbers w:val="0"/>
              <w:wordWrap/>
              <w:overflowPunct/>
              <w:topLinePunct w:val="0"/>
              <w:bidi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snapToGrid w:val="0"/>
                <w:color w:val="000000"/>
                <w:kern w:val="0"/>
                <w:sz w:val="27"/>
                <w:szCs w:val="27"/>
                <w:highlight w:val="none"/>
                <w:u w:val="none"/>
                <w:lang w:val="en-US" w:eastAsia="zh-CN" w:bidi="ar"/>
              </w:rPr>
              <w:t>平米</w:t>
            </w:r>
          </w:p>
        </w:tc>
        <w:tc>
          <w:tcPr>
            <w:tcW w:w="791" w:type="dxa"/>
            <w:noWrap w:val="0"/>
            <w:vAlign w:val="center"/>
          </w:tcPr>
          <w:p w14:paraId="7945E908">
            <w:pPr>
              <w:keepNext w:val="0"/>
              <w:keepLines w:val="0"/>
              <w:pageBreakBefore w:val="0"/>
              <w:widowControl/>
              <w:suppressLineNumbers w:val="0"/>
              <w:wordWrap/>
              <w:overflowPunct/>
              <w:topLinePunct w:val="0"/>
              <w:bidi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snapToGrid w:val="0"/>
                <w:color w:val="000000"/>
                <w:kern w:val="0"/>
                <w:sz w:val="27"/>
                <w:szCs w:val="27"/>
                <w:highlight w:val="none"/>
                <w:u w:val="none"/>
                <w:lang w:val="en-US" w:eastAsia="zh-CN" w:bidi="ar"/>
              </w:rPr>
              <w:t>41.2672</w:t>
            </w:r>
          </w:p>
        </w:tc>
        <w:tc>
          <w:tcPr>
            <w:tcW w:w="1241" w:type="dxa"/>
            <w:noWrap w:val="0"/>
            <w:vAlign w:val="center"/>
          </w:tcPr>
          <w:p w14:paraId="1700E7F2">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 xml:space="preserve">5658.33 </w:t>
            </w:r>
          </w:p>
        </w:tc>
      </w:tr>
      <w:tr w14:paraId="581F4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0CAAFD3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2</w:t>
            </w:r>
          </w:p>
        </w:tc>
        <w:tc>
          <w:tcPr>
            <w:tcW w:w="1200" w:type="dxa"/>
            <w:noWrap w:val="0"/>
            <w:vAlign w:val="center"/>
          </w:tcPr>
          <w:p w14:paraId="608A5178">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无缝高清矩阵</w:t>
            </w:r>
          </w:p>
        </w:tc>
        <w:tc>
          <w:tcPr>
            <w:tcW w:w="6123" w:type="dxa"/>
            <w:noWrap w:val="0"/>
            <w:vAlign w:val="center"/>
          </w:tcPr>
          <w:p w14:paraId="79B3CC89">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1</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主机支持8信号输入8信号输出，无缝切换；</w:t>
            </w:r>
          </w:p>
          <w:p w14:paraId="3E528D32">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2</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支持VGA、CVBS、S-Video、YPbPr、DVI，HDMI，SDI任意板卡输入；</w:t>
            </w:r>
          </w:p>
          <w:p w14:paraId="38A6AFB4">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3</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支持VGA、CVBS、S-Video、YPbPr、DVI，HDMI任意板卡输出；</w:t>
            </w:r>
          </w:p>
          <w:p w14:paraId="2DFBBDAF">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4</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采用Contrex嵌入式处理器控制，运行速度更快，系统更稳定；</w:t>
            </w:r>
          </w:p>
          <w:p w14:paraId="1FADD883">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5</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采用液晶显示屏，可显示设备各通道的切换状态、支持一键快速查询功能，方便察看矩阵的切换状态；</w:t>
            </w:r>
          </w:p>
          <w:p w14:paraId="2A879ED4">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6</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具有掉电记忆功能带有断电现场保护，上电自动恢复关机前状态；</w:t>
            </w:r>
          </w:p>
          <w:p w14:paraId="399C649B">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7</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数字信号运用了点对点无损传输方式，有力保证了图像信号的高保真输出；</w:t>
            </w:r>
          </w:p>
          <w:p w14:paraId="4597557A">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8</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电讯级核心数字交换芯片，具有超强的抗干扰及全天候工作能力；</w:t>
            </w:r>
          </w:p>
          <w:p w14:paraId="75F2B7F5">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9</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采用数字同步识别处理（DSIP）技术；</w:t>
            </w:r>
          </w:p>
          <w:p w14:paraId="38037BFA">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10</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全贴片SMT工艺，特有ESD静电保护功能；</w:t>
            </w:r>
          </w:p>
          <w:p w14:paraId="5D0436C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11</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兼容市场所有同类产品的代码和指令；</w:t>
            </w:r>
          </w:p>
          <w:p w14:paraId="1540196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12</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国际通用宽电压设计，可适应交流110～240V，50/60Hz；</w:t>
            </w:r>
          </w:p>
          <w:p w14:paraId="347B799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rPr>
              <w:t>输出:直流输出电压4.5V,额定输出电流40A，输出功率200W，电压可调范围，额定输出电压±10%，电压误差±1%，线电压调整率±0.5%，负载调整率±1.0%</w:t>
            </w:r>
            <w:r>
              <w:rPr>
                <w:rFonts w:hint="eastAsia" w:ascii="宋体" w:hAnsi="宋体" w:eastAsia="宋体" w:cs="宋体"/>
                <w:sz w:val="27"/>
                <w:szCs w:val="27"/>
                <w:highlight w:val="none"/>
                <w:vertAlign w:val="baseline"/>
                <w:lang w:eastAsia="zh-CN"/>
              </w:rPr>
              <w:t>。</w:t>
            </w:r>
          </w:p>
        </w:tc>
        <w:tc>
          <w:tcPr>
            <w:tcW w:w="709" w:type="dxa"/>
            <w:noWrap w:val="0"/>
            <w:vAlign w:val="center"/>
          </w:tcPr>
          <w:p w14:paraId="6E62092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74DE402E">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1</w:t>
            </w:r>
          </w:p>
        </w:tc>
        <w:tc>
          <w:tcPr>
            <w:tcW w:w="1241" w:type="dxa"/>
            <w:noWrap w:val="0"/>
            <w:vAlign w:val="center"/>
          </w:tcPr>
          <w:p w14:paraId="2787E731">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9366.67</w:t>
            </w:r>
          </w:p>
        </w:tc>
      </w:tr>
      <w:tr w14:paraId="0929B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200A096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3</w:t>
            </w:r>
          </w:p>
        </w:tc>
        <w:tc>
          <w:tcPr>
            <w:tcW w:w="1200" w:type="dxa"/>
            <w:noWrap w:val="0"/>
            <w:vAlign w:val="center"/>
          </w:tcPr>
          <w:p w14:paraId="20157051">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电源、接收卡</w:t>
            </w:r>
          </w:p>
        </w:tc>
        <w:tc>
          <w:tcPr>
            <w:tcW w:w="6123" w:type="dxa"/>
            <w:noWrap w:val="0"/>
            <w:vAlign w:val="center"/>
          </w:tcPr>
          <w:p w14:paraId="68D4104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1.集成12个HUB75，无需再配转接板；</w:t>
            </w:r>
          </w:p>
          <w:p w14:paraId="63082111">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2.单卡最大带载192×1024像素，最多支持24组并行数据；</w:t>
            </w:r>
          </w:p>
          <w:p w14:paraId="0EAA4A98">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3.支持8bit色深视频源输入输出，单色灰阶为256，可搭配出16777216种混合色彩；</w:t>
            </w:r>
          </w:p>
          <w:p w14:paraId="56BD75F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4.支持自适应帧率技术，不仅支持23.98/24/29.97/30/50/59.94/60Hz常规及非整数帧率，还可输出显示120/240Hz高帧率画面，大幅提升画面流畅度、减少拖影；</w:t>
            </w:r>
          </w:p>
          <w:p w14:paraId="5D0F6118">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5.支持色温调节，提供调整色温，即饱和度调节，增强画面表现力；</w:t>
            </w:r>
          </w:p>
          <w:p w14:paraId="4903B80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6.支持低亮高灰；</w:t>
            </w:r>
          </w:p>
          <w:p w14:paraId="364CF5D1">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7.支持亮色度逐点校正，能有效消除灯点色差，保证整屏的颜色亮度的均匀性和一致性，提升整体显示效果；</w:t>
            </w:r>
          </w:p>
          <w:p w14:paraId="28D44A2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8.支持箱体标定和快速标序；</w:t>
            </w:r>
          </w:p>
          <w:p w14:paraId="0157808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9.支持画面旋转，单个箱体画面以90°/180°/270°角度进行旋转，配合部分主控可实现单箱体画面任意角度旋转显示；</w:t>
            </w:r>
          </w:p>
          <w:p w14:paraId="52FAB8E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10.支持数据偏移，支持误码侦测；</w:t>
            </w:r>
          </w:p>
          <w:p w14:paraId="177F91DB">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11.支持环路备份，支持固件备份。</w:t>
            </w:r>
          </w:p>
          <w:p w14:paraId="155FA785">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用于LED显示屏控制和播放的专业软件。该软件功能丰富、性能优越，兼具良好的操作界面，易学易用。支持视频、音频、图像、文字、Flash、Gif等形式的媒体文件播放;支持Microsoftoffice的Word、Excel、PPT显示;支持时钟、计时、天气预报显示;支持外部视频信号(TV、AV、S-Video、复合视频)播放;支持多页面多分区节目编辑;软件提供了丰富灵活的视频切换功能、分区特效，以及三维特效动画，让显示屏的显示效果得到完美展现。</w:t>
            </w:r>
          </w:p>
        </w:tc>
        <w:tc>
          <w:tcPr>
            <w:tcW w:w="709" w:type="dxa"/>
            <w:noWrap w:val="0"/>
            <w:vAlign w:val="center"/>
          </w:tcPr>
          <w:p w14:paraId="21AEE1A4">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批</w:t>
            </w:r>
          </w:p>
        </w:tc>
        <w:tc>
          <w:tcPr>
            <w:tcW w:w="791" w:type="dxa"/>
            <w:noWrap w:val="0"/>
            <w:vAlign w:val="center"/>
          </w:tcPr>
          <w:p w14:paraId="6D87203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1</w:t>
            </w:r>
          </w:p>
        </w:tc>
        <w:tc>
          <w:tcPr>
            <w:tcW w:w="1241" w:type="dxa"/>
            <w:noWrap w:val="0"/>
            <w:vAlign w:val="center"/>
          </w:tcPr>
          <w:p w14:paraId="081737F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25000.00</w:t>
            </w:r>
          </w:p>
        </w:tc>
      </w:tr>
      <w:tr w14:paraId="69B40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0B8CFA23">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4</w:t>
            </w:r>
          </w:p>
        </w:tc>
        <w:tc>
          <w:tcPr>
            <w:tcW w:w="1200" w:type="dxa"/>
            <w:noWrap w:val="0"/>
            <w:vAlign w:val="center"/>
          </w:tcPr>
          <w:p w14:paraId="624958A3">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控制软件</w:t>
            </w:r>
          </w:p>
        </w:tc>
        <w:tc>
          <w:tcPr>
            <w:tcW w:w="6123" w:type="dxa"/>
            <w:noWrap w:val="0"/>
            <w:vAlign w:val="center"/>
          </w:tcPr>
          <w:p w14:paraId="136DD60B">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用于LED显示屏控制和播放的专业软件。该软件功能丰富、性能优越，兼具良好的操作界面，易学易用。支持视频、音频、图像、文字、Flash、Gif等形式的媒体文件播放;支持Microsoftoffice的Word、Excel、PPT显示;支持时钟、计时、天气预报显示;支持外部视频信号(TV、AV、S-Video、复合视频)播放;支持多页面多分区节目编辑;软件提供了丰富灵活的视频切换功能、分区特效，以及三维特效动画，让显示屏的显示效果得到完美展现。</w:t>
            </w:r>
          </w:p>
        </w:tc>
        <w:tc>
          <w:tcPr>
            <w:tcW w:w="709" w:type="dxa"/>
            <w:noWrap w:val="0"/>
            <w:vAlign w:val="center"/>
          </w:tcPr>
          <w:p w14:paraId="51E1A95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套</w:t>
            </w:r>
          </w:p>
        </w:tc>
        <w:tc>
          <w:tcPr>
            <w:tcW w:w="791" w:type="dxa"/>
            <w:noWrap w:val="0"/>
            <w:vAlign w:val="center"/>
          </w:tcPr>
          <w:p w14:paraId="0348718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1</w:t>
            </w:r>
          </w:p>
        </w:tc>
        <w:tc>
          <w:tcPr>
            <w:tcW w:w="1241" w:type="dxa"/>
            <w:noWrap w:val="0"/>
            <w:vAlign w:val="center"/>
          </w:tcPr>
          <w:p w14:paraId="793644C9">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2066.67</w:t>
            </w:r>
          </w:p>
        </w:tc>
      </w:tr>
      <w:tr w14:paraId="7F604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6DEF7AE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5</w:t>
            </w:r>
          </w:p>
        </w:tc>
        <w:tc>
          <w:tcPr>
            <w:tcW w:w="1200" w:type="dxa"/>
            <w:noWrap w:val="0"/>
            <w:vAlign w:val="center"/>
          </w:tcPr>
          <w:p w14:paraId="71EC259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运维管理终端</w:t>
            </w:r>
          </w:p>
        </w:tc>
        <w:tc>
          <w:tcPr>
            <w:tcW w:w="6123" w:type="dxa"/>
            <w:noWrap w:val="0"/>
            <w:vAlign w:val="center"/>
          </w:tcPr>
          <w:p w14:paraId="7DD57A3B">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1</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显示屏：12.2英寸1920x1200像素高清电容触控屏(16:9)，支持多点触摸；支持精准音源定位，实现精准跟踪发言者；</w:t>
            </w:r>
          </w:p>
          <w:p w14:paraId="4FAEF3A2">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2</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视频编解码：H.264；视频通话分辨率：1080P、720P、VGA、4CIF、CIF；</w:t>
            </w:r>
          </w:p>
          <w:p w14:paraId="29BEFED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3</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支持SIP协议：SIP（RFC2543）、SIPv2（RFC3261）；IP地址分配模式：静态/DHCP；支持VLAN；DNS：DNS（Arecord,SRV,NAPTR）；Web服务器：HTTP，HTTPS；实时传输协议：RTP、RTCP；支持无线Wi-Fi协议；</w:t>
            </w:r>
          </w:p>
          <w:p w14:paraId="43E8186F">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4</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平台支持分配用户账号，用户无需注册，由平台分配账号进行登录，做好一对一精准服务；</w:t>
            </w:r>
          </w:p>
          <w:p w14:paraId="3D579BD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default" w:ascii="宋体" w:hAnsi="宋体" w:eastAsia="宋体" w:cs="宋体"/>
                <w:sz w:val="27"/>
                <w:szCs w:val="27"/>
                <w:highlight w:val="none"/>
                <w:vertAlign w:val="baseline"/>
                <w:lang w:val="en-US" w:eastAsia="zh-CN"/>
              </w:rPr>
            </w:pPr>
            <w:r>
              <w:rPr>
                <w:rFonts w:hint="eastAsia" w:ascii="宋体" w:hAnsi="宋体" w:eastAsia="宋体" w:cs="宋体"/>
                <w:sz w:val="27"/>
                <w:szCs w:val="27"/>
                <w:highlight w:val="none"/>
                <w:vertAlign w:val="baseline"/>
              </w:rPr>
              <w:t>2</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支持便捷登录，一次登录成功，缓存账号密码，再次打开系统可直接登陆；</w:t>
            </w:r>
            <w:r>
              <w:rPr>
                <w:rFonts w:hint="eastAsia" w:ascii="宋体" w:hAnsi="宋体" w:eastAsia="宋体" w:cs="宋体"/>
                <w:sz w:val="27"/>
                <w:szCs w:val="27"/>
                <w:highlight w:val="none"/>
                <w:vertAlign w:val="baseline"/>
                <w:lang w:val="en-US" w:eastAsia="zh-CN"/>
              </w:rPr>
              <w:t xml:space="preserve">  </w:t>
            </w:r>
          </w:p>
          <w:p w14:paraId="1BC3ABE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6</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支持查看设备清单，能够显示本项目中所使用的服务商提供的设备，并能够查看每个设备的使用数量；</w:t>
            </w:r>
          </w:p>
          <w:p w14:paraId="7C5D6F12">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7</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支持查看设备详情，能够在终端中查看运维项目中，所有使用的任意服务商提供的设备，包括设备的品牌、型号、参数、出厂日期、设备详图；</w:t>
            </w:r>
          </w:p>
          <w:p w14:paraId="22AC5C1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8</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支持查看操作指南，支持查看图文、视频等方式查看设备的使用方式和操作规范；</w:t>
            </w:r>
          </w:p>
          <w:p w14:paraId="32EC9085">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9</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支持线上快捷报修，在使用产品的过程中，出现产品故障，可使用该终端进行线上报修功能，填入故障描述、选择故障的设备等。</w:t>
            </w:r>
          </w:p>
        </w:tc>
        <w:tc>
          <w:tcPr>
            <w:tcW w:w="709" w:type="dxa"/>
            <w:noWrap w:val="0"/>
            <w:vAlign w:val="center"/>
          </w:tcPr>
          <w:p w14:paraId="0012BD68">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7704CE91">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1</w:t>
            </w:r>
          </w:p>
        </w:tc>
        <w:tc>
          <w:tcPr>
            <w:tcW w:w="1241" w:type="dxa"/>
            <w:noWrap w:val="0"/>
            <w:vAlign w:val="center"/>
          </w:tcPr>
          <w:p w14:paraId="14025423">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5416.67</w:t>
            </w:r>
          </w:p>
        </w:tc>
      </w:tr>
      <w:tr w14:paraId="1AEE4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3A8CB938">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6</w:t>
            </w:r>
          </w:p>
        </w:tc>
        <w:tc>
          <w:tcPr>
            <w:tcW w:w="1200" w:type="dxa"/>
            <w:noWrap w:val="0"/>
            <w:vAlign w:val="center"/>
          </w:tcPr>
          <w:p w14:paraId="02C07662">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钢结构箱体及组装</w:t>
            </w:r>
          </w:p>
        </w:tc>
        <w:tc>
          <w:tcPr>
            <w:tcW w:w="6123" w:type="dxa"/>
            <w:noWrap w:val="0"/>
            <w:vAlign w:val="center"/>
          </w:tcPr>
          <w:p w14:paraId="0C4C4CC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定制大屏钢结构，配套箱体及组装。</w:t>
            </w:r>
          </w:p>
        </w:tc>
        <w:tc>
          <w:tcPr>
            <w:tcW w:w="709" w:type="dxa"/>
            <w:noWrap w:val="0"/>
            <w:vAlign w:val="center"/>
          </w:tcPr>
          <w:p w14:paraId="6521CDC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w:t>
            </w:r>
          </w:p>
        </w:tc>
        <w:tc>
          <w:tcPr>
            <w:tcW w:w="791" w:type="dxa"/>
            <w:noWrap w:val="0"/>
            <w:vAlign w:val="center"/>
          </w:tcPr>
          <w:p w14:paraId="081FB2C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50.08</w:t>
            </w:r>
          </w:p>
        </w:tc>
        <w:tc>
          <w:tcPr>
            <w:tcW w:w="1241" w:type="dxa"/>
            <w:noWrap w:val="0"/>
            <w:vAlign w:val="center"/>
          </w:tcPr>
          <w:p w14:paraId="2891366F">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720.00</w:t>
            </w:r>
          </w:p>
        </w:tc>
      </w:tr>
      <w:tr w14:paraId="18F7F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5568EFBF">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7</w:t>
            </w:r>
          </w:p>
        </w:tc>
        <w:tc>
          <w:tcPr>
            <w:tcW w:w="1200" w:type="dxa"/>
            <w:noWrap w:val="0"/>
            <w:vAlign w:val="center"/>
          </w:tcPr>
          <w:p w14:paraId="63B90F9F">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防水音箱</w:t>
            </w:r>
          </w:p>
        </w:tc>
        <w:tc>
          <w:tcPr>
            <w:tcW w:w="6123" w:type="dxa"/>
            <w:noWrap w:val="0"/>
            <w:vAlign w:val="center"/>
          </w:tcPr>
          <w:p w14:paraId="559D491B">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频率响应：75Hz-20KHz；</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2.灵敏度：≥97dB；</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3.标称抗阻：≥8Ω；</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4.额定功率：≥100W；</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5.最大声压级：123dB连续,129dB峰值；</w:t>
            </w:r>
          </w:p>
          <w:p w14:paraId="6F10FB27">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6.低音单元：2×5.3＂(150mm)/1.5＂；</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7.高音单元：1＂(25mm)/1.4＂；</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8.扩散角度：100°×30°(H×V）。</w:t>
            </w:r>
          </w:p>
        </w:tc>
        <w:tc>
          <w:tcPr>
            <w:tcW w:w="709" w:type="dxa"/>
            <w:noWrap w:val="0"/>
            <w:vAlign w:val="center"/>
          </w:tcPr>
          <w:p w14:paraId="2CF64F9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只</w:t>
            </w:r>
          </w:p>
        </w:tc>
        <w:tc>
          <w:tcPr>
            <w:tcW w:w="791" w:type="dxa"/>
            <w:noWrap w:val="0"/>
            <w:vAlign w:val="center"/>
          </w:tcPr>
          <w:p w14:paraId="0EF59021">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2</w:t>
            </w:r>
          </w:p>
        </w:tc>
        <w:tc>
          <w:tcPr>
            <w:tcW w:w="1241" w:type="dxa"/>
            <w:noWrap w:val="0"/>
            <w:vAlign w:val="center"/>
          </w:tcPr>
          <w:p w14:paraId="69FF81F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 xml:space="preserve">1100.00 </w:t>
            </w:r>
          </w:p>
        </w:tc>
      </w:tr>
      <w:tr w14:paraId="5D4A8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09DEA828">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8</w:t>
            </w:r>
          </w:p>
        </w:tc>
        <w:tc>
          <w:tcPr>
            <w:tcW w:w="1200" w:type="dxa"/>
            <w:noWrap w:val="0"/>
            <w:vAlign w:val="center"/>
          </w:tcPr>
          <w:p w14:paraId="6AD8BEC9">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专业功放</w:t>
            </w:r>
          </w:p>
        </w:tc>
        <w:tc>
          <w:tcPr>
            <w:tcW w:w="6123" w:type="dxa"/>
            <w:noWrap w:val="0"/>
            <w:vAlign w:val="center"/>
          </w:tcPr>
          <w:p w14:paraId="4D574722">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1</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专业功率放大器；</w:t>
            </w:r>
          </w:p>
          <w:p w14:paraId="6480C483">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2</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连接座：XLR、TRS接口；</w:t>
            </w:r>
          </w:p>
          <w:p w14:paraId="1FBC937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3</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频响：20Hz-20kHz,±0.5dB；</w:t>
            </w:r>
          </w:p>
          <w:p w14:paraId="109741EE">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4</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输入灵敏度：0dBu(1V)；</w:t>
            </w:r>
          </w:p>
          <w:p w14:paraId="4800A0DB">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5</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平衡输入阻抗：20kΩ/平衡,10kΩ/非平衡；</w:t>
            </w:r>
          </w:p>
          <w:p w14:paraId="755D97A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6</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信噪比：≥95dB；</w:t>
            </w:r>
          </w:p>
          <w:p w14:paraId="01105D2E">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7</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失真度：≤0.03%；</w:t>
            </w:r>
          </w:p>
          <w:p w14:paraId="77D3FBD9">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8</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额定输出功率8ohm1KHz时分离度：≥70dB；</w:t>
            </w:r>
          </w:p>
          <w:p w14:paraId="6EA012B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9</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阻尼系数(@1KHz)：≥300@8ohms；</w:t>
            </w:r>
          </w:p>
          <w:p w14:paraId="392941D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10</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转换速率：15V/uS；</w:t>
            </w:r>
          </w:p>
          <w:p w14:paraId="30EF16C5">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11</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冷却系统：散热器+风冷；</w:t>
            </w:r>
          </w:p>
          <w:p w14:paraId="285C52FB">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12</w:t>
            </w:r>
            <w:r>
              <w:rPr>
                <w:rFonts w:hint="eastAsia" w:ascii="宋体" w:hAnsi="宋体" w:eastAsia="宋体" w:cs="宋体"/>
                <w:sz w:val="27"/>
                <w:szCs w:val="27"/>
                <w:highlight w:val="none"/>
                <w:vertAlign w:val="baseline"/>
                <w:lang w:val="en-US" w:eastAsia="zh-CN"/>
              </w:rPr>
              <w:t>.</w:t>
            </w:r>
            <w:r>
              <w:rPr>
                <w:rFonts w:hint="eastAsia" w:ascii="宋体" w:hAnsi="宋体" w:eastAsia="宋体" w:cs="宋体"/>
                <w:sz w:val="27"/>
                <w:szCs w:val="27"/>
                <w:highlight w:val="none"/>
                <w:vertAlign w:val="baseline"/>
              </w:rPr>
              <w:t>电源：AC:220-230V50Hz/60Hz。</w:t>
            </w:r>
          </w:p>
        </w:tc>
        <w:tc>
          <w:tcPr>
            <w:tcW w:w="709" w:type="dxa"/>
            <w:noWrap w:val="0"/>
            <w:vAlign w:val="center"/>
          </w:tcPr>
          <w:p w14:paraId="327382F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155CB74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1</w:t>
            </w:r>
          </w:p>
        </w:tc>
        <w:tc>
          <w:tcPr>
            <w:tcW w:w="1241" w:type="dxa"/>
            <w:noWrap w:val="0"/>
            <w:vAlign w:val="center"/>
          </w:tcPr>
          <w:p w14:paraId="3490607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 xml:space="preserve">1370.00 </w:t>
            </w:r>
          </w:p>
        </w:tc>
      </w:tr>
      <w:tr w14:paraId="5B1ED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176BB81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9</w:t>
            </w:r>
          </w:p>
        </w:tc>
        <w:tc>
          <w:tcPr>
            <w:tcW w:w="1200" w:type="dxa"/>
            <w:noWrap w:val="0"/>
            <w:vAlign w:val="center"/>
          </w:tcPr>
          <w:p w14:paraId="66951099">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sz w:val="27"/>
                <w:szCs w:val="27"/>
                <w:highlight w:val="none"/>
                <w:vertAlign w:val="baseline"/>
                <w:lang w:val="en-US"/>
              </w:rPr>
            </w:pPr>
            <w:r>
              <w:rPr>
                <w:rFonts w:hint="eastAsia" w:ascii="宋体" w:hAnsi="宋体" w:eastAsia="宋体" w:cs="宋体"/>
                <w:i w:val="0"/>
                <w:iCs w:val="0"/>
                <w:color w:val="000000"/>
                <w:kern w:val="0"/>
                <w:sz w:val="27"/>
                <w:szCs w:val="27"/>
                <w:highlight w:val="none"/>
                <w:u w:val="none"/>
                <w:lang w:val="en-US" w:eastAsia="zh-CN" w:bidi="ar"/>
              </w:rPr>
              <w:t>智能电源时序器</w:t>
            </w:r>
          </w:p>
        </w:tc>
        <w:tc>
          <w:tcPr>
            <w:tcW w:w="6123" w:type="dxa"/>
            <w:noWrap w:val="0"/>
            <w:vAlign w:val="center"/>
          </w:tcPr>
          <w:p w14:paraId="5BF1DD82">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1.10路电源供电接口：后面板有8路可控电源，可配合中控实现互锁、自锁、单路电源开关控制；前面板有2路常供电源；</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2.有RS232和RS485控制接口，短路信号控制接口，TCP/IP控制接口；</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3.前面板带LCD屏，可以显示电压电量，同时8路通道均有LED灯指示对应灯开启与关闭；</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4.前面板带5V的USB接口，可供其他设备上电；</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5.电源时序器具备以下功能：1:10路电源供电接口：后面板有8路可控电源，可配合中控实现互锁、自锁、单路电源开关控制；前面板有2路常供电源；</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6.有RS232和RS485控制接口，短路信号控制接口，TCP/IP控制接口；前面板带LCD屏，可以显示电压电量，同时8路通道均有LED灯指示对应灯开启与关闭；前面板带5V的USB接口，可供其他设备上电；</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7.电压保护：当电压超过260V不启动，使用中超过260V自己动跳开(断开后可⼿动和APP开启)；可循环定时开关(服务器控制)；</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8.电力输入条件(单相3线)；AC90-265V50-60HZ两相(三线:零，火，地)；</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9.继电器受控输出最大承受单路功率/总功率:3500W/7700W（总功率在显示屏上可显示）；</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10.输出电源插座规格：阻燃ABS材料，最大可承受16A电流磷铜材质，标准万用插座；</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11.每路开关间隔时间/定时时间：1.2秒输出继电器触点电流：40A240VAC。</w:t>
            </w:r>
          </w:p>
        </w:tc>
        <w:tc>
          <w:tcPr>
            <w:tcW w:w="709" w:type="dxa"/>
            <w:noWrap w:val="0"/>
            <w:vAlign w:val="center"/>
          </w:tcPr>
          <w:p w14:paraId="5BAF9B74">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4423E98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1</w:t>
            </w:r>
          </w:p>
        </w:tc>
        <w:tc>
          <w:tcPr>
            <w:tcW w:w="1241" w:type="dxa"/>
            <w:noWrap w:val="0"/>
            <w:vAlign w:val="center"/>
          </w:tcPr>
          <w:p w14:paraId="02ED7F3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 xml:space="preserve">2666.67 </w:t>
            </w:r>
          </w:p>
        </w:tc>
      </w:tr>
      <w:tr w14:paraId="7B005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66C05A3F">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10</w:t>
            </w:r>
          </w:p>
        </w:tc>
        <w:tc>
          <w:tcPr>
            <w:tcW w:w="1200" w:type="dxa"/>
            <w:noWrap w:val="0"/>
            <w:vAlign w:val="center"/>
          </w:tcPr>
          <w:p w14:paraId="66045899">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无线话筒</w:t>
            </w:r>
          </w:p>
        </w:tc>
        <w:tc>
          <w:tcPr>
            <w:tcW w:w="6123" w:type="dxa"/>
            <w:noWrap w:val="0"/>
            <w:vAlign w:val="center"/>
          </w:tcPr>
          <w:p w14:paraId="030E0E84">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1.使用UHF610-670MHz频段，避免干扰频率；</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2.操作灵活简便；</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3.全自动红外线对频，使发射机与接收机自动同步收发；</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4.采用锁相环PLL频率合成稳定系统，提供200个通道；</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5.采用最新型高频滤波器，最大限度地滤除带外干扰信号；</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6.采用二次变频的高频电路设计，具有极高的灵敏度；</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7.多重静噪控制电路，拒绝外部干扰；</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8.专门设计的语音压缩扩展电路，极大地提高信噪比；</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9.独特的电路设计，动态大，频响宽，噪音小。</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b/>
                <w:bCs/>
                <w:i w:val="0"/>
                <w:iCs w:val="0"/>
                <w:color w:val="000000"/>
                <w:kern w:val="0"/>
                <w:sz w:val="27"/>
                <w:szCs w:val="27"/>
                <w:highlight w:val="none"/>
                <w:u w:val="none"/>
                <w:lang w:val="en-US" w:eastAsia="zh-CN" w:bidi="ar"/>
              </w:rPr>
              <w:t>技术参数系统指标</w:t>
            </w:r>
            <w:r>
              <w:rPr>
                <w:rFonts w:hint="eastAsia" w:ascii="宋体" w:hAnsi="宋体" w:eastAsia="宋体" w:cs="宋体"/>
                <w:i w:val="0"/>
                <w:iCs w:val="0"/>
                <w:color w:val="000000"/>
                <w:kern w:val="0"/>
                <w:sz w:val="27"/>
                <w:szCs w:val="27"/>
                <w:highlight w:val="none"/>
                <w:u w:val="none"/>
                <w:lang w:val="en-US" w:eastAsia="zh-CN" w:bidi="ar"/>
              </w:rPr>
              <w:t>：</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1.频率范围：UHF610-670MHz；</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2.调制方式：宽频FM；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3.可调范围：30MHz；</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4.信道数目：红外线自动对频200信道；</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5.频率稳定度：±0.005%；</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6.动态范围：≥110dB；</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7.峰值频偏：±45KHz；</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8.音频响应：60Hz-18KHz（±3dB）；</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9.综合信噪比：＞105dB；</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10.综合失真：≤0.5%。</w:t>
            </w:r>
          </w:p>
        </w:tc>
        <w:tc>
          <w:tcPr>
            <w:tcW w:w="709" w:type="dxa"/>
            <w:noWrap w:val="0"/>
            <w:vAlign w:val="center"/>
          </w:tcPr>
          <w:p w14:paraId="364E82F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套</w:t>
            </w:r>
          </w:p>
        </w:tc>
        <w:tc>
          <w:tcPr>
            <w:tcW w:w="791" w:type="dxa"/>
            <w:noWrap w:val="0"/>
            <w:vAlign w:val="center"/>
          </w:tcPr>
          <w:p w14:paraId="3447BFB9">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1</w:t>
            </w:r>
          </w:p>
        </w:tc>
        <w:tc>
          <w:tcPr>
            <w:tcW w:w="1241" w:type="dxa"/>
            <w:noWrap w:val="0"/>
            <w:vAlign w:val="center"/>
          </w:tcPr>
          <w:p w14:paraId="05F80A49">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snapToGrid w:val="0"/>
                <w:color w:val="000000"/>
                <w:kern w:val="0"/>
                <w:sz w:val="27"/>
                <w:szCs w:val="27"/>
                <w:highlight w:val="none"/>
                <w:u w:val="none"/>
                <w:lang w:val="en-US" w:eastAsia="zh-CN" w:bidi="ar"/>
              </w:rPr>
              <w:t>2700.00</w:t>
            </w:r>
          </w:p>
        </w:tc>
      </w:tr>
      <w:tr w14:paraId="0CF50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43B1B47A">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11</w:t>
            </w:r>
          </w:p>
        </w:tc>
        <w:tc>
          <w:tcPr>
            <w:tcW w:w="1200" w:type="dxa"/>
            <w:noWrap w:val="0"/>
            <w:vAlign w:val="center"/>
          </w:tcPr>
          <w:p w14:paraId="3BC5C27F">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辅材配件</w:t>
            </w:r>
          </w:p>
        </w:tc>
        <w:tc>
          <w:tcPr>
            <w:tcW w:w="6123" w:type="dxa"/>
            <w:noWrap w:val="0"/>
            <w:vAlign w:val="center"/>
          </w:tcPr>
          <w:p w14:paraId="58279591">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网线、长排线、控制卡红黑线、3*2.5电源线45cm</w:t>
            </w:r>
          </w:p>
          <w:p w14:paraId="7CF7BA45">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配电柜：</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1.分步启动过流﹑过压﹑浪涌保护功能（室内屏可不用）保护功能；具有防腐、防锈、防尘的功能；</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 xml:space="preserve">2.具有远程监控和无人值守功能；          </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3.电气防护具有过流、短路、断路、过载等保护措施；</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4.输出9路32A/D型空开；</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5.箱体尺寸;500*400*160双开门；</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6.按键启动，定时开关，遥控开关；</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7.PLC电脑控制，IPAD中控控制，单台/集群配电箱控制；</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8.实时运行状态监测，实时温度监测，实时湿度监测，实时烟雾监测，高温断电，高湿继电，烟雾断电；</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9.485远程控制，TCP网口远程控制，遥控远程，开关锁屏功能，历史记录查询；</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10.设置单组时间段可以自由设置星期功能；</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11.分路延时启动/关闭；</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12.单路控制，多路控制；</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13.网络通讯-支持局域网控制，互联网控制。</w:t>
            </w:r>
          </w:p>
        </w:tc>
        <w:tc>
          <w:tcPr>
            <w:tcW w:w="709" w:type="dxa"/>
            <w:noWrap w:val="0"/>
            <w:vAlign w:val="center"/>
          </w:tcPr>
          <w:p w14:paraId="7128DB8F">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批</w:t>
            </w:r>
          </w:p>
        </w:tc>
        <w:tc>
          <w:tcPr>
            <w:tcW w:w="791" w:type="dxa"/>
            <w:noWrap w:val="0"/>
            <w:vAlign w:val="center"/>
          </w:tcPr>
          <w:p w14:paraId="148F89A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1</w:t>
            </w:r>
          </w:p>
        </w:tc>
        <w:tc>
          <w:tcPr>
            <w:tcW w:w="1241" w:type="dxa"/>
            <w:noWrap w:val="0"/>
            <w:vAlign w:val="center"/>
          </w:tcPr>
          <w:p w14:paraId="656405D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snapToGrid w:val="0"/>
                <w:color w:val="000000"/>
                <w:kern w:val="0"/>
                <w:sz w:val="27"/>
                <w:szCs w:val="27"/>
                <w:highlight w:val="none"/>
                <w:u w:val="none"/>
                <w:lang w:val="en-US" w:eastAsia="zh-CN" w:bidi="ar"/>
              </w:rPr>
              <w:t>6700.00</w:t>
            </w:r>
          </w:p>
        </w:tc>
      </w:tr>
      <w:tr w14:paraId="5CDD5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719EED4B">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12</w:t>
            </w:r>
          </w:p>
        </w:tc>
        <w:tc>
          <w:tcPr>
            <w:tcW w:w="1200" w:type="dxa"/>
            <w:noWrap w:val="0"/>
            <w:vAlign w:val="center"/>
          </w:tcPr>
          <w:p w14:paraId="36CD460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远程控制器</w:t>
            </w:r>
          </w:p>
        </w:tc>
        <w:tc>
          <w:tcPr>
            <w:tcW w:w="6123" w:type="dxa"/>
            <w:noWrap w:val="0"/>
            <w:vAlign w:val="center"/>
          </w:tcPr>
          <w:p w14:paraId="3A654003">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rPr>
              <w:t>1.国产自主品牌</w:t>
            </w:r>
            <w:r>
              <w:rPr>
                <w:rFonts w:hint="eastAsia" w:ascii="宋体" w:hAnsi="宋体" w:eastAsia="宋体" w:cs="宋体"/>
                <w:sz w:val="27"/>
                <w:szCs w:val="27"/>
                <w:highlight w:val="none"/>
                <w:vertAlign w:val="baseline"/>
                <w:lang w:eastAsia="zh-CN"/>
              </w:rPr>
              <w:t>；</w:t>
            </w:r>
          </w:p>
          <w:p w14:paraId="2C71353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 xml:space="preserve">2.处理器：采用C86架构CPU，芯片≥8核，主频≥3.0GHz，所有核心智能频率可提升至≥3.3GHz，三级缓存≥16MB，支持超线程技术； </w:t>
            </w:r>
          </w:p>
          <w:p w14:paraId="5FD5DF9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rPr>
              <w:t>3.内存：≥8GB DDR4 3200Mhz,4个内存插槽</w:t>
            </w:r>
            <w:r>
              <w:rPr>
                <w:rFonts w:hint="eastAsia" w:ascii="宋体" w:hAnsi="宋体" w:eastAsia="宋体" w:cs="宋体"/>
                <w:sz w:val="27"/>
                <w:szCs w:val="27"/>
                <w:highlight w:val="none"/>
                <w:vertAlign w:val="baseline"/>
                <w:lang w:eastAsia="zh-CN"/>
              </w:rPr>
              <w:t>；</w:t>
            </w:r>
          </w:p>
          <w:p w14:paraId="36155AB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rPr>
              <w:t>4.硬盘：≥512G M.2 NvmeSSD</w:t>
            </w:r>
            <w:r>
              <w:rPr>
                <w:rFonts w:hint="eastAsia" w:ascii="宋体" w:hAnsi="宋体" w:eastAsia="宋体" w:cs="宋体"/>
                <w:sz w:val="27"/>
                <w:szCs w:val="27"/>
                <w:highlight w:val="none"/>
                <w:vertAlign w:val="baseline"/>
                <w:lang w:eastAsia="zh-CN"/>
              </w:rPr>
              <w:t>；</w:t>
            </w:r>
          </w:p>
          <w:p w14:paraId="3CB5C5C8">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rPr>
              <w:t>5.网卡：≥1个千兆网卡</w:t>
            </w:r>
            <w:r>
              <w:rPr>
                <w:rFonts w:hint="eastAsia" w:ascii="宋体" w:hAnsi="宋体" w:eastAsia="宋体" w:cs="宋体"/>
                <w:sz w:val="27"/>
                <w:szCs w:val="27"/>
                <w:highlight w:val="none"/>
                <w:vertAlign w:val="baseline"/>
                <w:lang w:eastAsia="zh-CN"/>
              </w:rPr>
              <w:t>；</w:t>
            </w:r>
          </w:p>
          <w:p w14:paraId="355FCD13">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rPr>
              <w:t>6.显卡：≥2G国产品牌独立显卡，输出接口： VGA+HDMI</w:t>
            </w:r>
            <w:r>
              <w:rPr>
                <w:rFonts w:hint="eastAsia" w:ascii="宋体" w:hAnsi="宋体" w:eastAsia="宋体" w:cs="宋体"/>
                <w:sz w:val="27"/>
                <w:szCs w:val="27"/>
                <w:highlight w:val="none"/>
                <w:vertAlign w:val="baseline"/>
                <w:lang w:eastAsia="zh-CN"/>
              </w:rPr>
              <w:t>；</w:t>
            </w:r>
          </w:p>
          <w:p w14:paraId="5FD17D9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rPr>
              <w:t>7.电源：≤180W节能电源，电源通过80PLUS白牌认证</w:t>
            </w:r>
            <w:r>
              <w:rPr>
                <w:rFonts w:hint="eastAsia" w:ascii="宋体" w:hAnsi="宋体" w:eastAsia="宋体" w:cs="宋体"/>
                <w:sz w:val="27"/>
                <w:szCs w:val="27"/>
                <w:highlight w:val="none"/>
                <w:vertAlign w:val="baseline"/>
                <w:lang w:eastAsia="zh-CN"/>
              </w:rPr>
              <w:t>；</w:t>
            </w:r>
          </w:p>
          <w:p w14:paraId="7806738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rPr>
              <w:t>8.光驱：Slim DVD RW光驱</w:t>
            </w:r>
            <w:r>
              <w:rPr>
                <w:rFonts w:hint="eastAsia" w:ascii="宋体" w:hAnsi="宋体" w:eastAsia="宋体" w:cs="宋体"/>
                <w:sz w:val="27"/>
                <w:szCs w:val="27"/>
                <w:highlight w:val="none"/>
                <w:vertAlign w:val="baseline"/>
                <w:lang w:eastAsia="zh-CN"/>
              </w:rPr>
              <w:t>；</w:t>
            </w:r>
          </w:p>
          <w:p w14:paraId="654FED69">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rPr>
              <w:t>9.声卡：集成5.1声道声卡，前置2个音频接口，后置3个音频接口</w:t>
            </w:r>
            <w:r>
              <w:rPr>
                <w:rFonts w:hint="eastAsia" w:ascii="宋体" w:hAnsi="宋体" w:eastAsia="宋体" w:cs="宋体"/>
                <w:sz w:val="27"/>
                <w:szCs w:val="27"/>
                <w:highlight w:val="none"/>
                <w:vertAlign w:val="baseline"/>
                <w:lang w:eastAsia="zh-CN"/>
              </w:rPr>
              <w:t>；</w:t>
            </w:r>
          </w:p>
          <w:p w14:paraId="7E4758EE">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10.接口：USB接口≥8个，其中前置面板USB3.0数量≥4个；后置USB3.0接口≥4个；VGA接口≥1个、HDMI接口≥1个；M.2插槽≥个。</w:t>
            </w:r>
          </w:p>
          <w:p w14:paraId="36C86F7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rPr>
              <w:t>11.接口安全：标配BIOS中可屏蔽USB存储功能，且不影响键盘、鼠标等外设的正常使用，同时也支持只读存储模式，只能读取，不能拷贝，保证数据的安全性</w:t>
            </w:r>
            <w:r>
              <w:rPr>
                <w:rFonts w:hint="eastAsia" w:ascii="宋体" w:hAnsi="宋体" w:eastAsia="宋体" w:cs="宋体"/>
                <w:sz w:val="27"/>
                <w:szCs w:val="27"/>
                <w:highlight w:val="none"/>
                <w:vertAlign w:val="baseline"/>
                <w:lang w:eastAsia="zh-CN"/>
              </w:rPr>
              <w:t>；</w:t>
            </w:r>
          </w:p>
          <w:p w14:paraId="75BCD9E8">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rPr>
              <w:t>12.键盘鼠标：≥1.5m USB键盘；USB鼠标，支持键盘开机功能</w:t>
            </w:r>
            <w:r>
              <w:rPr>
                <w:rFonts w:hint="eastAsia" w:ascii="宋体" w:hAnsi="宋体" w:eastAsia="宋体" w:cs="宋体"/>
                <w:sz w:val="27"/>
                <w:szCs w:val="27"/>
                <w:highlight w:val="none"/>
                <w:vertAlign w:val="baseline"/>
                <w:lang w:eastAsia="zh-CN"/>
              </w:rPr>
              <w:t>；</w:t>
            </w:r>
          </w:p>
          <w:p w14:paraId="3B1291C8">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rPr>
              <w:t>13.机箱尺寸：≥13.6L,支持免工具拆卸，支持灵活放置，可立可卧</w:t>
            </w:r>
            <w:r>
              <w:rPr>
                <w:rFonts w:hint="eastAsia" w:ascii="宋体" w:hAnsi="宋体" w:eastAsia="宋体" w:cs="宋体"/>
                <w:sz w:val="27"/>
                <w:szCs w:val="27"/>
                <w:highlight w:val="none"/>
                <w:vertAlign w:val="baseline"/>
                <w:lang w:eastAsia="zh-CN"/>
              </w:rPr>
              <w:t>；</w:t>
            </w:r>
          </w:p>
          <w:p w14:paraId="23F92703">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lang w:eastAsia="zh-CN"/>
              </w:rPr>
            </w:pPr>
            <w:r>
              <w:rPr>
                <w:rFonts w:hint="eastAsia" w:ascii="宋体" w:hAnsi="宋体" w:eastAsia="宋体" w:cs="宋体"/>
                <w:sz w:val="27"/>
                <w:szCs w:val="27"/>
                <w:highlight w:val="none"/>
                <w:vertAlign w:val="baseline"/>
              </w:rPr>
              <w:t>14.显示器：≥23.8寸内置低蓝光功能，一键物理切换，分辨率1920×1080，VGA与HDMI双接口，4ms极速响应时间，与主机同一品牌</w:t>
            </w:r>
            <w:r>
              <w:rPr>
                <w:rFonts w:hint="eastAsia" w:ascii="宋体" w:hAnsi="宋体" w:eastAsia="宋体" w:cs="宋体"/>
                <w:sz w:val="27"/>
                <w:szCs w:val="27"/>
                <w:highlight w:val="none"/>
                <w:vertAlign w:val="baseline"/>
                <w:lang w:eastAsia="zh-CN"/>
              </w:rPr>
              <w:t>；</w:t>
            </w:r>
          </w:p>
          <w:p w14:paraId="61C3CCFA">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15.系统安全：标配系统恢复功能，即使系统损坏仍可恢复到出厂状态，可实现用户自定义备份恢复功能。</w:t>
            </w:r>
          </w:p>
        </w:tc>
        <w:tc>
          <w:tcPr>
            <w:tcW w:w="709" w:type="dxa"/>
            <w:noWrap w:val="0"/>
            <w:vAlign w:val="center"/>
          </w:tcPr>
          <w:p w14:paraId="01D11913">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601AFA0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1</w:t>
            </w:r>
          </w:p>
        </w:tc>
        <w:tc>
          <w:tcPr>
            <w:tcW w:w="1241" w:type="dxa"/>
            <w:noWrap w:val="0"/>
            <w:vAlign w:val="center"/>
          </w:tcPr>
          <w:p w14:paraId="440CCA9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 xml:space="preserve">9166.67 </w:t>
            </w:r>
          </w:p>
        </w:tc>
      </w:tr>
      <w:tr w14:paraId="0C15D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541766FA">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13</w:t>
            </w:r>
          </w:p>
        </w:tc>
        <w:tc>
          <w:tcPr>
            <w:tcW w:w="1200" w:type="dxa"/>
            <w:noWrap w:val="0"/>
            <w:vAlign w:val="center"/>
          </w:tcPr>
          <w:p w14:paraId="0034DAB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空调</w:t>
            </w:r>
          </w:p>
        </w:tc>
        <w:tc>
          <w:tcPr>
            <w:tcW w:w="6123" w:type="dxa"/>
            <w:noWrap w:val="0"/>
            <w:vAlign w:val="center"/>
          </w:tcPr>
          <w:p w14:paraId="1818A793">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核心配置：1.5匹变频，新一级能效，大风量，高温制冷不停机。特色功能：停电记忆功能。</w:t>
            </w:r>
          </w:p>
        </w:tc>
        <w:tc>
          <w:tcPr>
            <w:tcW w:w="709" w:type="dxa"/>
            <w:noWrap w:val="0"/>
            <w:vAlign w:val="center"/>
          </w:tcPr>
          <w:p w14:paraId="280BDD8E">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77818A19">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2</w:t>
            </w:r>
          </w:p>
        </w:tc>
        <w:tc>
          <w:tcPr>
            <w:tcW w:w="1241" w:type="dxa"/>
            <w:noWrap w:val="0"/>
            <w:vAlign w:val="center"/>
          </w:tcPr>
          <w:p w14:paraId="7720F6C3">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2733.33</w:t>
            </w:r>
          </w:p>
        </w:tc>
      </w:tr>
      <w:tr w14:paraId="2CE90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7279442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14</w:t>
            </w:r>
          </w:p>
        </w:tc>
        <w:tc>
          <w:tcPr>
            <w:tcW w:w="1200" w:type="dxa"/>
            <w:noWrap w:val="0"/>
            <w:vAlign w:val="center"/>
          </w:tcPr>
          <w:p w14:paraId="1DB15655">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网络接入</w:t>
            </w:r>
          </w:p>
        </w:tc>
        <w:tc>
          <w:tcPr>
            <w:tcW w:w="6123" w:type="dxa"/>
            <w:noWrap w:val="0"/>
            <w:vAlign w:val="center"/>
          </w:tcPr>
          <w:p w14:paraId="2A975238">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提供3年网络接入服务。</w:t>
            </w:r>
          </w:p>
        </w:tc>
        <w:tc>
          <w:tcPr>
            <w:tcW w:w="709" w:type="dxa"/>
            <w:noWrap w:val="0"/>
            <w:vAlign w:val="center"/>
          </w:tcPr>
          <w:p w14:paraId="6748ED8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项</w:t>
            </w:r>
          </w:p>
        </w:tc>
        <w:tc>
          <w:tcPr>
            <w:tcW w:w="791" w:type="dxa"/>
            <w:noWrap w:val="0"/>
            <w:vAlign w:val="center"/>
          </w:tcPr>
          <w:p w14:paraId="2CDDF46E">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1</w:t>
            </w:r>
          </w:p>
        </w:tc>
        <w:tc>
          <w:tcPr>
            <w:tcW w:w="1241" w:type="dxa"/>
            <w:noWrap w:val="0"/>
            <w:vAlign w:val="center"/>
          </w:tcPr>
          <w:p w14:paraId="1AA41DAF">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snapToGrid w:val="0"/>
                <w:color w:val="000000"/>
                <w:kern w:val="0"/>
                <w:sz w:val="27"/>
                <w:szCs w:val="27"/>
                <w:highlight w:val="none"/>
                <w:u w:val="none"/>
                <w:lang w:val="en-US" w:eastAsia="zh-CN" w:bidi="ar"/>
              </w:rPr>
              <w:t>1400.00</w:t>
            </w:r>
          </w:p>
        </w:tc>
      </w:tr>
      <w:tr w14:paraId="0CBE2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10672" w:type="dxa"/>
            <w:gridSpan w:val="6"/>
            <w:noWrap w:val="0"/>
            <w:vAlign w:val="center"/>
          </w:tcPr>
          <w:p w14:paraId="2FB6134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b/>
                <w:bCs/>
                <w:i w:val="0"/>
                <w:iCs w:val="0"/>
                <w:color w:val="000000"/>
                <w:kern w:val="0"/>
                <w:sz w:val="27"/>
                <w:szCs w:val="27"/>
                <w:highlight w:val="none"/>
                <w:u w:val="none"/>
                <w:lang w:val="en-US" w:eastAsia="zh-CN" w:bidi="ar"/>
              </w:rPr>
              <w:t>二、室外可伸缩悬空电动棚</w:t>
            </w:r>
          </w:p>
        </w:tc>
      </w:tr>
      <w:tr w14:paraId="4C28C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516E4F0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15</w:t>
            </w:r>
          </w:p>
        </w:tc>
        <w:tc>
          <w:tcPr>
            <w:tcW w:w="1200" w:type="dxa"/>
            <w:noWrap w:val="0"/>
            <w:vAlign w:val="center"/>
          </w:tcPr>
          <w:p w14:paraId="71DC9DB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室外可伸缩悬空电动棚</w:t>
            </w:r>
          </w:p>
        </w:tc>
        <w:tc>
          <w:tcPr>
            <w:tcW w:w="6123" w:type="dxa"/>
            <w:noWrap w:val="0"/>
            <w:vAlign w:val="center"/>
          </w:tcPr>
          <w:p w14:paraId="24F55F0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sz w:val="27"/>
                <w:szCs w:val="27"/>
                <w:highlight w:val="none"/>
                <w:vertAlign w:val="baseline"/>
              </w:rPr>
              <w:t>骨架弧梁50*25*1.5mm扁通，骨架横梁50*50*1.5mm方通，骨架竖撑50*25*1.5mm扁通，骨架斜撑6分镀锌管，顶面伸缩架50*25*1.5mm扁通87条，立柱伸缩架50*25*1.5mm扁通58条，立柱75*1.5mm圆管60条，工业承重防风轮60个（所有骨架均为Q235内外镀锌管，存在0.1正常范围内误差）；轨道电机4组，电缆线1卷，电箱1台，顶布布料722平方，两侧长围布144平方。</w:t>
            </w:r>
          </w:p>
        </w:tc>
        <w:tc>
          <w:tcPr>
            <w:tcW w:w="709" w:type="dxa"/>
            <w:noWrap w:val="0"/>
            <w:vAlign w:val="center"/>
          </w:tcPr>
          <w:p w14:paraId="11BF5D98">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套</w:t>
            </w:r>
          </w:p>
        </w:tc>
        <w:tc>
          <w:tcPr>
            <w:tcW w:w="791" w:type="dxa"/>
            <w:noWrap w:val="0"/>
            <w:vAlign w:val="center"/>
          </w:tcPr>
          <w:p w14:paraId="737C65AF">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1</w:t>
            </w:r>
          </w:p>
        </w:tc>
        <w:tc>
          <w:tcPr>
            <w:tcW w:w="1241" w:type="dxa"/>
            <w:noWrap w:val="0"/>
            <w:vAlign w:val="center"/>
          </w:tcPr>
          <w:p w14:paraId="27B6E85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 xml:space="preserve">164666.67 </w:t>
            </w:r>
          </w:p>
        </w:tc>
      </w:tr>
      <w:tr w14:paraId="06B7F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trPr>
        <w:tc>
          <w:tcPr>
            <w:tcW w:w="10672" w:type="dxa"/>
            <w:gridSpan w:val="6"/>
            <w:noWrap w:val="0"/>
            <w:vAlign w:val="center"/>
          </w:tcPr>
          <w:p w14:paraId="55292FDD">
            <w:pPr>
              <w:keepNext w:val="0"/>
              <w:keepLines w:val="0"/>
              <w:pageBreakBefore w:val="0"/>
              <w:widowControl/>
              <w:numPr>
                <w:ilvl w:val="0"/>
                <w:numId w:val="2"/>
              </w:numPr>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b/>
                <w:bCs/>
                <w:color w:val="auto"/>
                <w:sz w:val="27"/>
                <w:szCs w:val="27"/>
                <w:highlight w:val="none"/>
                <w:lang w:val="en-US" w:eastAsia="zh-CN"/>
              </w:rPr>
            </w:pPr>
            <w:r>
              <w:rPr>
                <w:rFonts w:hint="eastAsia" w:ascii="宋体" w:hAnsi="宋体" w:eastAsia="宋体" w:cs="宋体"/>
                <w:b/>
                <w:bCs/>
                <w:i w:val="0"/>
                <w:iCs w:val="0"/>
                <w:color w:val="000000"/>
                <w:kern w:val="0"/>
                <w:sz w:val="27"/>
                <w:szCs w:val="27"/>
                <w:highlight w:val="none"/>
                <w:u w:val="none"/>
                <w:lang w:val="en-US" w:eastAsia="zh-CN" w:bidi="ar"/>
              </w:rPr>
              <w:t>室外健身器材</w:t>
            </w:r>
          </w:p>
        </w:tc>
      </w:tr>
      <w:tr w14:paraId="09568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6D4C0D65">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16</w:t>
            </w:r>
          </w:p>
        </w:tc>
        <w:tc>
          <w:tcPr>
            <w:tcW w:w="1200" w:type="dxa"/>
            <w:noWrap w:val="0"/>
            <w:vAlign w:val="center"/>
          </w:tcPr>
          <w:p w14:paraId="03DDF22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平步训练器</w:t>
            </w:r>
            <w:r>
              <w:rPr>
                <w:rFonts w:hint="eastAsia" w:ascii="宋体" w:hAnsi="宋体" w:eastAsia="宋体" w:cs="宋体"/>
                <w:i w:val="0"/>
                <w:iCs w:val="0"/>
                <w:color w:val="000000"/>
                <w:kern w:val="0"/>
                <w:sz w:val="27"/>
                <w:szCs w:val="27"/>
                <w:highlight w:val="none"/>
                <w:u w:val="none"/>
                <w:lang w:val="en-US" w:eastAsia="zh-CN" w:bidi="ar"/>
              </w:rPr>
              <w:br w:type="textWrapping"/>
            </w:r>
          </w:p>
        </w:tc>
        <w:tc>
          <w:tcPr>
            <w:tcW w:w="6123" w:type="dxa"/>
            <w:noWrap w:val="0"/>
            <w:vAlign w:val="center"/>
          </w:tcPr>
          <w:p w14:paraId="296CB20F">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产品所采用国标优质Q235钢材，产品经过抛丸除锈机表面处理后采用全天候防紫外线户外塑粉静电喷涂烘烤至220度而成，踏板采用4mm钢板一次冲压成型，摆腿内置限位装置，最大摆幅85°，防盗件采用不锈钢配件。</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1.①外形规格≥长1040mm×宽668mm×高1522mm；</w:t>
            </w:r>
            <w:r>
              <w:rPr>
                <w:rFonts w:hint="eastAsia" w:ascii="宋体" w:hAnsi="宋体" w:eastAsia="宋体" w:cs="宋体"/>
                <w:b/>
                <w:bCs/>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②主要承载立柱尺寸≥φ114mm×3.0mm；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③主要承载横梁尺寸≥40mm×80×3.0mm；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2.主要材料：钢管；</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3.表面处理工艺：脱脂—抛丸—静电喷涂；</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4.安装方式：采用直埋式。</w:t>
            </w:r>
          </w:p>
        </w:tc>
        <w:tc>
          <w:tcPr>
            <w:tcW w:w="709" w:type="dxa"/>
            <w:noWrap w:val="0"/>
            <w:vAlign w:val="center"/>
          </w:tcPr>
          <w:p w14:paraId="524DCC75">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3C5868A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2</w:t>
            </w:r>
          </w:p>
        </w:tc>
        <w:tc>
          <w:tcPr>
            <w:tcW w:w="1241" w:type="dxa"/>
            <w:noWrap w:val="0"/>
            <w:vAlign w:val="center"/>
          </w:tcPr>
          <w:p w14:paraId="0968AD5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snapToGrid w:val="0"/>
                <w:color w:val="000000"/>
                <w:sz w:val="27"/>
                <w:szCs w:val="27"/>
                <w:highlight w:val="none"/>
                <w:u w:val="none"/>
                <w:lang w:val="en-US" w:eastAsia="zh-CN" w:bidi="ar-SA"/>
              </w:rPr>
            </w:pPr>
            <w:r>
              <w:rPr>
                <w:rFonts w:hint="default" w:ascii="宋体" w:hAnsi="宋体" w:eastAsia="宋体" w:cs="宋体"/>
                <w:i w:val="0"/>
                <w:iCs w:val="0"/>
                <w:snapToGrid w:val="0"/>
                <w:color w:val="000000"/>
                <w:sz w:val="27"/>
                <w:szCs w:val="27"/>
                <w:highlight w:val="none"/>
                <w:u w:val="none"/>
                <w:lang w:val="en-US" w:eastAsia="zh-CN" w:bidi="ar-SA"/>
              </w:rPr>
              <w:t xml:space="preserve">1633.33  </w:t>
            </w:r>
          </w:p>
        </w:tc>
      </w:tr>
      <w:tr w14:paraId="5D435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711D6D1E">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17</w:t>
            </w:r>
          </w:p>
        </w:tc>
        <w:tc>
          <w:tcPr>
            <w:tcW w:w="1200" w:type="dxa"/>
            <w:noWrap w:val="0"/>
            <w:vAlign w:val="center"/>
          </w:tcPr>
          <w:p w14:paraId="1F5F735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健骑机</w:t>
            </w:r>
          </w:p>
        </w:tc>
        <w:tc>
          <w:tcPr>
            <w:tcW w:w="6123" w:type="dxa"/>
            <w:noWrap w:val="0"/>
            <w:vAlign w:val="center"/>
          </w:tcPr>
          <w:p w14:paraId="3A86558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产品所采用国标优质Q235钢材，产品经过抛丸除锈机表面处理后采用全天候防紫外线户外塑粉静电喷涂烘烤至220度而成，凳面采用4mm钢板一次冲压成型，内置限位装置，最大摆幅≤50°，防盗件采用不锈钢配件；</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1.①外形规格≥长1563mm×宽450mm×高1136mm；②主要承载立柱尺寸≥φ114mm×3.0mm；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③主要承载横梁尺寸≥φ60mm×3.0mm；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2.主要材料：钢管；</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3.表面处理工艺：脱脂—抛丸—静电喷涂；</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4.安装方式：采用直埋式。</w:t>
            </w:r>
          </w:p>
        </w:tc>
        <w:tc>
          <w:tcPr>
            <w:tcW w:w="709" w:type="dxa"/>
            <w:noWrap w:val="0"/>
            <w:vAlign w:val="center"/>
          </w:tcPr>
          <w:p w14:paraId="32637751">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414B8583">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2</w:t>
            </w:r>
          </w:p>
        </w:tc>
        <w:tc>
          <w:tcPr>
            <w:tcW w:w="1241" w:type="dxa"/>
            <w:noWrap w:val="0"/>
            <w:vAlign w:val="center"/>
          </w:tcPr>
          <w:p w14:paraId="47432D52">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 xml:space="preserve">1373.33 </w:t>
            </w:r>
          </w:p>
        </w:tc>
      </w:tr>
      <w:tr w14:paraId="67A4D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57CACACA">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18</w:t>
            </w:r>
          </w:p>
        </w:tc>
        <w:tc>
          <w:tcPr>
            <w:tcW w:w="1200" w:type="dxa"/>
            <w:noWrap w:val="0"/>
            <w:vAlign w:val="center"/>
          </w:tcPr>
          <w:p w14:paraId="7DDD9EE4">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腰背按摩器</w:t>
            </w:r>
            <w:r>
              <w:rPr>
                <w:rFonts w:hint="eastAsia" w:ascii="宋体" w:hAnsi="宋体" w:eastAsia="宋体" w:cs="宋体"/>
                <w:i w:val="0"/>
                <w:iCs w:val="0"/>
                <w:color w:val="000000"/>
                <w:kern w:val="0"/>
                <w:sz w:val="27"/>
                <w:szCs w:val="27"/>
                <w:highlight w:val="none"/>
                <w:u w:val="none"/>
                <w:lang w:val="en-US" w:eastAsia="zh-CN" w:bidi="ar"/>
              </w:rPr>
              <w:br w:type="textWrapping"/>
            </w:r>
          </w:p>
        </w:tc>
        <w:tc>
          <w:tcPr>
            <w:tcW w:w="6123" w:type="dxa"/>
            <w:noWrap w:val="0"/>
            <w:vAlign w:val="center"/>
          </w:tcPr>
          <w:p w14:paraId="6143394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产品所采用国标优质Q235钢材，产品经过抛丸除锈机表面处理后采用全天候防紫外线户外塑粉静电喷涂烘烤至220度而成，腰背扶手内置限位装置，最大摆幅≤50°，防盗件采用不锈钢配件。</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 xml:space="preserve">1.①外形规格≥长1380mm×宽760mm×高1540mm；②主要承载立柱尺寸≥φ114mm×3.0mm；   </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③主要承载横梁尺寸≥φ89mm×3.0mm；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 xml:space="preserve">2.主要材料：钢管；  </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3.表面处理工艺：脱脂—抛丸—静电喷涂；</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4.安装方式：采用直埋式。</w:t>
            </w:r>
          </w:p>
        </w:tc>
        <w:tc>
          <w:tcPr>
            <w:tcW w:w="709" w:type="dxa"/>
            <w:noWrap w:val="0"/>
            <w:vAlign w:val="center"/>
          </w:tcPr>
          <w:p w14:paraId="7B1FB4A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7C6566E4">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2</w:t>
            </w:r>
          </w:p>
        </w:tc>
        <w:tc>
          <w:tcPr>
            <w:tcW w:w="1241" w:type="dxa"/>
            <w:noWrap w:val="0"/>
            <w:vAlign w:val="center"/>
          </w:tcPr>
          <w:p w14:paraId="566EBB5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1800.00</w:t>
            </w:r>
          </w:p>
        </w:tc>
      </w:tr>
      <w:tr w14:paraId="39C13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46475679">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19</w:t>
            </w:r>
          </w:p>
        </w:tc>
        <w:tc>
          <w:tcPr>
            <w:tcW w:w="1200" w:type="dxa"/>
            <w:noWrap w:val="0"/>
            <w:vAlign w:val="center"/>
          </w:tcPr>
          <w:p w14:paraId="1BD11A6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上肢牵引器</w:t>
            </w:r>
          </w:p>
        </w:tc>
        <w:tc>
          <w:tcPr>
            <w:tcW w:w="6123" w:type="dxa"/>
            <w:noWrap w:val="0"/>
            <w:vAlign w:val="center"/>
          </w:tcPr>
          <w:p w14:paraId="0DFBEE1F">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产品所采用国标优质Q235钢材，产品经过抛丸除锈机表面处理后采用全天候防紫外线户外塑粉静电喷涂烘烤至220度而成，内置限位装置，最大摆幅≤85°，牵引绳采用尼龙编织，防盗件采用不锈钢配件。</w:t>
            </w:r>
          </w:p>
          <w:p w14:paraId="17A0C00B">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1.①外形规格≥长723mm×宽668mm×高2440mm；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②主要承载立柱尺寸≥φ114mm×3.0mm；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③主要承载横梁尺寸≥φ60mm×3.0mm；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2.主要材料：钢管；</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3.表面处理工艺：脱脂—抛丸—静电喷涂；</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4.安装方式：采用直埋式。</w:t>
            </w:r>
          </w:p>
        </w:tc>
        <w:tc>
          <w:tcPr>
            <w:tcW w:w="709" w:type="dxa"/>
            <w:noWrap w:val="0"/>
            <w:vAlign w:val="center"/>
          </w:tcPr>
          <w:p w14:paraId="23032E32">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1D7D7AF4">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2</w:t>
            </w:r>
          </w:p>
        </w:tc>
        <w:tc>
          <w:tcPr>
            <w:tcW w:w="1241" w:type="dxa"/>
            <w:noWrap w:val="0"/>
            <w:vAlign w:val="center"/>
          </w:tcPr>
          <w:p w14:paraId="211DD284">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1933.33</w:t>
            </w:r>
            <w:r>
              <w:rPr>
                <w:rFonts w:hint="default" w:ascii="宋体" w:hAnsi="宋体" w:eastAsia="宋体" w:cs="宋体"/>
                <w:i w:val="0"/>
                <w:iCs w:val="0"/>
                <w:color w:val="000000"/>
                <w:kern w:val="0"/>
                <w:sz w:val="27"/>
                <w:szCs w:val="27"/>
                <w:highlight w:val="none"/>
                <w:u w:val="none"/>
                <w:lang w:val="en-US" w:eastAsia="zh-CN" w:bidi="ar"/>
              </w:rPr>
              <w:t xml:space="preserve"> </w:t>
            </w:r>
          </w:p>
        </w:tc>
      </w:tr>
      <w:tr w14:paraId="04AC8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03B99A8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20</w:t>
            </w:r>
          </w:p>
        </w:tc>
        <w:tc>
          <w:tcPr>
            <w:tcW w:w="1200" w:type="dxa"/>
            <w:noWrap w:val="0"/>
            <w:vAlign w:val="center"/>
          </w:tcPr>
          <w:p w14:paraId="0448D964">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双位钟摆器</w:t>
            </w:r>
            <w:r>
              <w:rPr>
                <w:rFonts w:hint="eastAsia" w:ascii="宋体" w:hAnsi="宋体" w:eastAsia="宋体" w:cs="宋体"/>
                <w:i w:val="0"/>
                <w:iCs w:val="0"/>
                <w:color w:val="000000"/>
                <w:kern w:val="0"/>
                <w:sz w:val="27"/>
                <w:szCs w:val="27"/>
                <w:highlight w:val="none"/>
                <w:u w:val="none"/>
                <w:lang w:val="en-US" w:eastAsia="zh-CN" w:bidi="ar"/>
              </w:rPr>
              <w:br w:type="textWrapping"/>
            </w:r>
          </w:p>
        </w:tc>
        <w:tc>
          <w:tcPr>
            <w:tcW w:w="6123" w:type="dxa"/>
            <w:noWrap w:val="0"/>
            <w:vAlign w:val="center"/>
          </w:tcPr>
          <w:p w14:paraId="02D1ACB9">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产品所采用国标优质Q235钢材，产品经过抛丸除锈机表面处理后采用全天候防紫外线户外塑粉静电喷涂烘烤至220度而成，踏板采用4mm钢板一次冲压成型，踏板带防撞护套，摆腿内置限位装置，最大摆幅≤65°，防盗件采用不锈钢配件。</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1.①外形规格≥：长1026mm×宽720mm×高1040mm；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②主要承载立柱尺寸≥：φ114mm×3.0mm；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③主要承载横梁尺寸≥：φ60mm×3.0mm；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2.主要材料：钢管；</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3.表面处理工艺：脱脂—抛丸—静电喷涂；</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4.安装方式：采用直埋式。</w:t>
            </w:r>
          </w:p>
        </w:tc>
        <w:tc>
          <w:tcPr>
            <w:tcW w:w="709" w:type="dxa"/>
            <w:noWrap w:val="0"/>
            <w:vAlign w:val="center"/>
          </w:tcPr>
          <w:p w14:paraId="6DEE5EBE">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0424E222">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2</w:t>
            </w:r>
          </w:p>
        </w:tc>
        <w:tc>
          <w:tcPr>
            <w:tcW w:w="1241" w:type="dxa"/>
            <w:noWrap w:val="0"/>
            <w:vAlign w:val="center"/>
          </w:tcPr>
          <w:p w14:paraId="3143DAB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 xml:space="preserve">1916.67 </w:t>
            </w:r>
          </w:p>
        </w:tc>
      </w:tr>
      <w:tr w14:paraId="1A8A4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482249E3">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21</w:t>
            </w:r>
          </w:p>
        </w:tc>
        <w:tc>
          <w:tcPr>
            <w:tcW w:w="1200" w:type="dxa"/>
            <w:noWrap w:val="0"/>
            <w:vAlign w:val="center"/>
          </w:tcPr>
          <w:p w14:paraId="259C790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三位扭腰器</w:t>
            </w:r>
            <w:r>
              <w:rPr>
                <w:rFonts w:hint="eastAsia" w:ascii="宋体" w:hAnsi="宋体" w:eastAsia="宋体" w:cs="宋体"/>
                <w:i w:val="0"/>
                <w:iCs w:val="0"/>
                <w:color w:val="000000"/>
                <w:kern w:val="0"/>
                <w:sz w:val="27"/>
                <w:szCs w:val="27"/>
                <w:highlight w:val="none"/>
                <w:u w:val="none"/>
                <w:lang w:val="en-US" w:eastAsia="zh-CN" w:bidi="ar"/>
              </w:rPr>
              <w:br w:type="textWrapping"/>
            </w:r>
          </w:p>
        </w:tc>
        <w:tc>
          <w:tcPr>
            <w:tcW w:w="6123" w:type="dxa"/>
            <w:noWrap w:val="0"/>
            <w:vAlign w:val="center"/>
          </w:tcPr>
          <w:p w14:paraId="7CD543BE">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产品所采用国标Q235钢材，产品经过抛丸除锈机表面处理后采用全天候防紫外线户外塑粉静电喷涂烘烤至220度而成，扭腰盘采用4mm钢板一次冲压成型，扭腰盘内置阻尼装置，防盗件采用不锈钢配件。</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1.①外形规格≥：长1530mm×宽1370mm×高1170mm；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②主要承载立柱尺寸≥：φ114mm×3.0mm；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③主要承载横梁尺寸≥：φ32mm×3.0mm；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2.主要材料：钢管；</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3.表面处理工艺：脱脂—抛丸—静电喷涂；</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4.安装方式：采用直埋式。</w:t>
            </w:r>
          </w:p>
        </w:tc>
        <w:tc>
          <w:tcPr>
            <w:tcW w:w="709" w:type="dxa"/>
            <w:noWrap w:val="0"/>
            <w:vAlign w:val="center"/>
          </w:tcPr>
          <w:p w14:paraId="57091865">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105652A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2</w:t>
            </w:r>
          </w:p>
        </w:tc>
        <w:tc>
          <w:tcPr>
            <w:tcW w:w="1241" w:type="dxa"/>
            <w:noWrap w:val="0"/>
            <w:vAlign w:val="center"/>
          </w:tcPr>
          <w:p w14:paraId="4DF0974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 xml:space="preserve">1900.00 </w:t>
            </w:r>
          </w:p>
        </w:tc>
      </w:tr>
      <w:tr w14:paraId="4417E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7DD4510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22</w:t>
            </w:r>
          </w:p>
        </w:tc>
        <w:tc>
          <w:tcPr>
            <w:tcW w:w="1200" w:type="dxa"/>
            <w:noWrap w:val="0"/>
            <w:vAlign w:val="center"/>
          </w:tcPr>
          <w:p w14:paraId="07D28B41">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太极揉推器</w:t>
            </w:r>
            <w:r>
              <w:rPr>
                <w:rFonts w:hint="eastAsia" w:ascii="宋体" w:hAnsi="宋体" w:eastAsia="宋体" w:cs="宋体"/>
                <w:i w:val="0"/>
                <w:iCs w:val="0"/>
                <w:color w:val="000000"/>
                <w:kern w:val="0"/>
                <w:sz w:val="27"/>
                <w:szCs w:val="27"/>
                <w:highlight w:val="none"/>
                <w:u w:val="none"/>
                <w:lang w:val="en-US" w:eastAsia="zh-CN" w:bidi="ar"/>
              </w:rPr>
              <w:br w:type="textWrapping"/>
            </w:r>
          </w:p>
        </w:tc>
        <w:tc>
          <w:tcPr>
            <w:tcW w:w="6123" w:type="dxa"/>
            <w:noWrap w:val="0"/>
            <w:vAlign w:val="center"/>
          </w:tcPr>
          <w:p w14:paraId="38AC7F5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产品所采用国标Q235钢材，产品经过抛丸除锈机表面处理后采用全天候防紫外线户外塑粉静电喷涂烘烤至220度而成，揉推盘采用2mm钢板一次冲压四周回边10mm成型，揉推盘内置阻尼装置，防盗件采用不锈钢配件。</w:t>
            </w:r>
          </w:p>
          <w:p w14:paraId="2DDD65D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1.①外形规格≥：长1190mm×宽1052mm×高1400mm②主要承载立柱尺寸≥：φ114mm×3.0mm；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③主要承载横梁尺寸≥：φ60mm×3.0mm；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2.主要材料：钢管，转盘为铁盘。</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3.表面处理工艺：脱脂—抛丸—静电喷涂；</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4.安装方式：采用直埋式。</w:t>
            </w:r>
          </w:p>
        </w:tc>
        <w:tc>
          <w:tcPr>
            <w:tcW w:w="709" w:type="dxa"/>
            <w:noWrap w:val="0"/>
            <w:vAlign w:val="center"/>
          </w:tcPr>
          <w:p w14:paraId="61F832BE">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7EC164CA">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2</w:t>
            </w:r>
          </w:p>
        </w:tc>
        <w:tc>
          <w:tcPr>
            <w:tcW w:w="1241" w:type="dxa"/>
            <w:noWrap w:val="0"/>
            <w:vAlign w:val="center"/>
          </w:tcPr>
          <w:p w14:paraId="1A8636B4">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2000.00</w:t>
            </w:r>
          </w:p>
        </w:tc>
      </w:tr>
      <w:tr w14:paraId="7DF64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520842A5">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23</w:t>
            </w:r>
          </w:p>
        </w:tc>
        <w:tc>
          <w:tcPr>
            <w:tcW w:w="1200" w:type="dxa"/>
            <w:noWrap w:val="0"/>
            <w:vAlign w:val="center"/>
          </w:tcPr>
          <w:p w14:paraId="3861D0A2">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双人漫步机</w:t>
            </w:r>
            <w:r>
              <w:rPr>
                <w:rFonts w:hint="eastAsia" w:ascii="宋体" w:hAnsi="宋体" w:eastAsia="宋体" w:cs="宋体"/>
                <w:i w:val="0"/>
                <w:iCs w:val="0"/>
                <w:color w:val="000000"/>
                <w:kern w:val="0"/>
                <w:sz w:val="27"/>
                <w:szCs w:val="27"/>
                <w:highlight w:val="none"/>
                <w:u w:val="none"/>
                <w:lang w:val="en-US" w:eastAsia="zh-CN" w:bidi="ar"/>
              </w:rPr>
              <w:br w:type="textWrapping"/>
            </w:r>
          </w:p>
        </w:tc>
        <w:tc>
          <w:tcPr>
            <w:tcW w:w="6123" w:type="dxa"/>
            <w:noWrap w:val="0"/>
            <w:vAlign w:val="center"/>
          </w:tcPr>
          <w:p w14:paraId="19BB0DC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产品所采用国标Q235钢材，产品经过抛丸除锈机表面处理后采用全天候防紫外线户外塑粉静电喷涂烘烤至220度而成，踏板采用4mm钢板一次冲压成型，踏板带防撞护套，摆腿内置限位装置，最大摆幅≤65°，防盗件采用不锈钢配件。</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1.①外形规格≥：长1832mm×宽588mm×高1129mm②主要承载立柱尺寸≥：φ114mm×3.0mm；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③主要承载横梁尺寸≥：φ60mm×3.0mm；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2.主要材料：钢管；</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3.表面处理工艺：脱脂—抛丸—静电喷涂；</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4.安装方式：采用直埋式。</w:t>
            </w:r>
          </w:p>
        </w:tc>
        <w:tc>
          <w:tcPr>
            <w:tcW w:w="709" w:type="dxa"/>
            <w:noWrap w:val="0"/>
            <w:vAlign w:val="center"/>
          </w:tcPr>
          <w:p w14:paraId="191EB4C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777460E8">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2</w:t>
            </w:r>
          </w:p>
        </w:tc>
        <w:tc>
          <w:tcPr>
            <w:tcW w:w="1241" w:type="dxa"/>
            <w:noWrap w:val="0"/>
            <w:vAlign w:val="center"/>
          </w:tcPr>
          <w:p w14:paraId="32DA041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1916.67</w:t>
            </w:r>
          </w:p>
        </w:tc>
      </w:tr>
      <w:tr w14:paraId="72CC8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3A6E3549">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24</w:t>
            </w:r>
          </w:p>
        </w:tc>
        <w:tc>
          <w:tcPr>
            <w:tcW w:w="1200" w:type="dxa"/>
            <w:noWrap w:val="0"/>
            <w:vAlign w:val="center"/>
          </w:tcPr>
          <w:p w14:paraId="653F746A">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四位压腿按摩器</w:t>
            </w:r>
          </w:p>
        </w:tc>
        <w:tc>
          <w:tcPr>
            <w:tcW w:w="6123" w:type="dxa"/>
            <w:noWrap w:val="0"/>
            <w:vAlign w:val="center"/>
          </w:tcPr>
          <w:p w14:paraId="17DE1965">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产品所采用国标Q235钢材，产品经过抛丸除锈机表面处理后采用全天候防紫外线户外塑粉静电喷涂烘烤至220度而成，按摩轮采用进口环保塑料一次注塑成型，防盗件采用不锈钢配件。</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1.①外形规格≥：长998mm×宽998mm×高838mm；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②主要承载立柱尺寸≥：φ114mm×3.0mm；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③主要承载横梁尺寸≥：φ60mm×3.0mm；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2.主要材料：钢管；</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3.表面处理工艺：脱脂—抛丸—静电喷涂；</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4.安装方式：采用直埋式。</w:t>
            </w:r>
          </w:p>
        </w:tc>
        <w:tc>
          <w:tcPr>
            <w:tcW w:w="709" w:type="dxa"/>
            <w:noWrap w:val="0"/>
            <w:vAlign w:val="center"/>
          </w:tcPr>
          <w:p w14:paraId="3F3CEFE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62E24AF5">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2</w:t>
            </w:r>
          </w:p>
        </w:tc>
        <w:tc>
          <w:tcPr>
            <w:tcW w:w="1241" w:type="dxa"/>
            <w:noWrap w:val="0"/>
            <w:vAlign w:val="center"/>
          </w:tcPr>
          <w:p w14:paraId="2803F0B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1883.33</w:t>
            </w:r>
          </w:p>
        </w:tc>
      </w:tr>
      <w:tr w14:paraId="1832D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72C6DB0F">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25</w:t>
            </w:r>
          </w:p>
        </w:tc>
        <w:tc>
          <w:tcPr>
            <w:tcW w:w="1200" w:type="dxa"/>
            <w:noWrap w:val="0"/>
            <w:vAlign w:val="center"/>
          </w:tcPr>
          <w:p w14:paraId="49A0B213">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腿部侧展训练器</w:t>
            </w:r>
          </w:p>
        </w:tc>
        <w:tc>
          <w:tcPr>
            <w:tcW w:w="6123" w:type="dxa"/>
            <w:noWrap w:val="0"/>
            <w:vAlign w:val="center"/>
          </w:tcPr>
          <w:p w14:paraId="4D26C4D8">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产品所采用国标Q235钢材，产品经过抛丸除锈机表面处理后采用全天候防紫外线户外塑粉静电喷涂烘烤至220度而成，内置限位装置，最大摆≤85°，防盗件采用不锈钢配件。</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1.①外形规格≥：长1125mm×宽770mm×高1125mm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②主要承载立柱尺寸≥：φ114mm×3.0mm；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③主要承载横梁尺寸≥：φ60mm×3.0mm；</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2.主要材料：钢管；</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3.表面处理工艺：脱脂—抛丸—静电喷涂；</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4.安装方式：采用直埋式。</w:t>
            </w:r>
          </w:p>
        </w:tc>
        <w:tc>
          <w:tcPr>
            <w:tcW w:w="709" w:type="dxa"/>
            <w:noWrap w:val="0"/>
            <w:vAlign w:val="center"/>
          </w:tcPr>
          <w:p w14:paraId="6670D579">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18F97A71">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2</w:t>
            </w:r>
          </w:p>
        </w:tc>
        <w:tc>
          <w:tcPr>
            <w:tcW w:w="1241" w:type="dxa"/>
            <w:noWrap w:val="0"/>
            <w:vAlign w:val="center"/>
          </w:tcPr>
          <w:p w14:paraId="3EE53962">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 xml:space="preserve">1383.33 </w:t>
            </w:r>
          </w:p>
        </w:tc>
      </w:tr>
      <w:tr w14:paraId="54033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0672" w:type="dxa"/>
            <w:gridSpan w:val="6"/>
            <w:noWrap w:val="0"/>
            <w:vAlign w:val="center"/>
          </w:tcPr>
          <w:p w14:paraId="6BDC5B8C">
            <w:pPr>
              <w:keepNext w:val="0"/>
              <w:keepLines w:val="0"/>
              <w:pageBreakBefore w:val="0"/>
              <w:widowControl/>
              <w:suppressLineNumbers w:val="0"/>
              <w:tabs>
                <w:tab w:val="left" w:pos="1971"/>
              </w:tabs>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b/>
                <w:bCs/>
                <w:i w:val="0"/>
                <w:iCs w:val="0"/>
                <w:color w:val="000000"/>
                <w:kern w:val="0"/>
                <w:sz w:val="27"/>
                <w:szCs w:val="27"/>
                <w:highlight w:val="none"/>
                <w:u w:val="none"/>
                <w:lang w:val="en-US" w:eastAsia="zh-CN" w:bidi="ar"/>
              </w:rPr>
              <w:t>四、健身器材</w:t>
            </w:r>
          </w:p>
        </w:tc>
      </w:tr>
      <w:tr w14:paraId="5826C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2F6DDC73">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26</w:t>
            </w:r>
          </w:p>
        </w:tc>
        <w:tc>
          <w:tcPr>
            <w:tcW w:w="1200" w:type="dxa"/>
            <w:noWrap w:val="0"/>
            <w:vAlign w:val="center"/>
          </w:tcPr>
          <w:p w14:paraId="6BD4456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跑步机</w:t>
            </w:r>
          </w:p>
        </w:tc>
        <w:tc>
          <w:tcPr>
            <w:tcW w:w="6123" w:type="dxa"/>
            <w:noWrap w:val="0"/>
            <w:vAlign w:val="center"/>
          </w:tcPr>
          <w:p w14:paraId="00C791E2">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无刷电机，跑带≥48cm，最大承重≥150kg，速度1-18km/h可调，支持正负坡度、智能调速，搭配自研APP提供专业课程与实景游戏，噪音≤45dB，可折叠收纳，室内使用。</w:t>
            </w:r>
          </w:p>
        </w:tc>
        <w:tc>
          <w:tcPr>
            <w:tcW w:w="709" w:type="dxa"/>
            <w:noWrap w:val="0"/>
            <w:vAlign w:val="center"/>
          </w:tcPr>
          <w:p w14:paraId="5DD06DF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05C7EA96">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w:t>
            </w:r>
          </w:p>
        </w:tc>
        <w:tc>
          <w:tcPr>
            <w:tcW w:w="1241" w:type="dxa"/>
            <w:noWrap w:val="0"/>
            <w:vAlign w:val="center"/>
          </w:tcPr>
          <w:p w14:paraId="4A9B20F9">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3833.33</w:t>
            </w:r>
          </w:p>
        </w:tc>
      </w:tr>
      <w:tr w14:paraId="0E555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168C6079">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27</w:t>
            </w:r>
          </w:p>
        </w:tc>
        <w:tc>
          <w:tcPr>
            <w:tcW w:w="1200" w:type="dxa"/>
            <w:noWrap w:val="0"/>
            <w:vAlign w:val="center"/>
          </w:tcPr>
          <w:p w14:paraId="7B2F7E0B">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椭圆机</w:t>
            </w:r>
          </w:p>
        </w:tc>
        <w:tc>
          <w:tcPr>
            <w:tcW w:w="6123" w:type="dxa"/>
            <w:noWrap w:val="0"/>
            <w:vAlign w:val="center"/>
          </w:tcPr>
          <w:p w14:paraId="4FD29338">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采用磁控阻力调节≥32档，每档区间更小更细致一点，飞轮≥10KG磁控静音飞轮最大阻力≥45kg，步距≥40CM，搭配飞梭智能触摸显示屏更高级，实时显示运动数据以及心率检测，并且智能调阻更方便；同时可以蓝牙连手机记录数据；最大承重＞240斤，配有手机支架可以放置手机或平板，靠运动发电；室内使用。</w:t>
            </w:r>
          </w:p>
        </w:tc>
        <w:tc>
          <w:tcPr>
            <w:tcW w:w="709" w:type="dxa"/>
            <w:noWrap w:val="0"/>
            <w:vAlign w:val="center"/>
          </w:tcPr>
          <w:p w14:paraId="0C439EB1">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07CCA41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w:t>
            </w:r>
          </w:p>
        </w:tc>
        <w:tc>
          <w:tcPr>
            <w:tcW w:w="1241" w:type="dxa"/>
            <w:noWrap w:val="0"/>
            <w:vAlign w:val="center"/>
          </w:tcPr>
          <w:p w14:paraId="7FC52071">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default" w:ascii="宋体" w:hAnsi="宋体" w:eastAsia="宋体" w:cs="宋体"/>
                <w:i w:val="0"/>
                <w:iCs w:val="0"/>
                <w:color w:val="000000"/>
                <w:kern w:val="0"/>
                <w:sz w:val="27"/>
                <w:szCs w:val="27"/>
                <w:highlight w:val="none"/>
                <w:u w:val="none"/>
                <w:lang w:val="en-US" w:eastAsia="zh-CN" w:bidi="ar"/>
              </w:rPr>
            </w:pPr>
            <w:r>
              <w:rPr>
                <w:rFonts w:hint="default" w:ascii="宋体" w:hAnsi="宋体" w:eastAsia="宋体" w:cs="宋体"/>
                <w:i w:val="0"/>
                <w:iCs w:val="0"/>
                <w:color w:val="000000"/>
                <w:kern w:val="0"/>
                <w:sz w:val="27"/>
                <w:szCs w:val="27"/>
                <w:highlight w:val="none"/>
                <w:u w:val="none"/>
                <w:lang w:val="en-US" w:eastAsia="zh-CN" w:bidi="ar"/>
              </w:rPr>
              <w:t xml:space="preserve">4066.67 </w:t>
            </w:r>
          </w:p>
        </w:tc>
      </w:tr>
      <w:tr w14:paraId="095B4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8" w:type="dxa"/>
            <w:noWrap w:val="0"/>
            <w:vAlign w:val="center"/>
          </w:tcPr>
          <w:p w14:paraId="6459CFE0">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28</w:t>
            </w:r>
          </w:p>
        </w:tc>
        <w:tc>
          <w:tcPr>
            <w:tcW w:w="1200" w:type="dxa"/>
            <w:noWrap w:val="0"/>
            <w:vAlign w:val="center"/>
          </w:tcPr>
          <w:p w14:paraId="38451332">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划船机</w:t>
            </w:r>
          </w:p>
        </w:tc>
        <w:tc>
          <w:tcPr>
            <w:tcW w:w="6123" w:type="dxa"/>
            <w:noWrap w:val="0"/>
            <w:vAlign w:val="center"/>
          </w:tcPr>
          <w:p w14:paraId="7E79E398">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1.静音铝合金双轨，0摩擦磁阻飞轮，静音降噪≤45db；</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2.占地空间≤0.3m²，不用时靠墙放置释放空间；</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3.≥36档阻力满足各项训练需求；≤48kg瞬间拉力；</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4.≥300斤机身承重；</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5.可以锻炼肩部、背部、腰部、手臂等多个部位；</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6.全新低能耗自发电，无线免插电，动能转化储电超长待机≥300天；</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 xml:space="preserve">7.新一代铝飞轮无损耗，使用寿命更长；      </w:t>
            </w:r>
            <w:r>
              <w:rPr>
                <w:rFonts w:hint="eastAsia" w:ascii="宋体" w:hAnsi="宋体" w:eastAsia="宋体" w:cs="宋体"/>
                <w:i w:val="0"/>
                <w:iCs w:val="0"/>
                <w:color w:val="000000"/>
                <w:kern w:val="0"/>
                <w:sz w:val="27"/>
                <w:szCs w:val="27"/>
                <w:highlight w:val="none"/>
                <w:u w:val="none"/>
                <w:lang w:val="en-US" w:eastAsia="zh-CN" w:bidi="ar"/>
              </w:rPr>
              <w:br w:type="textWrapping"/>
            </w:r>
            <w:r>
              <w:rPr>
                <w:rFonts w:hint="eastAsia" w:ascii="宋体" w:hAnsi="宋体" w:eastAsia="宋体" w:cs="宋体"/>
                <w:i w:val="0"/>
                <w:iCs w:val="0"/>
                <w:color w:val="000000"/>
                <w:kern w:val="0"/>
                <w:sz w:val="27"/>
                <w:szCs w:val="27"/>
                <w:highlight w:val="none"/>
                <w:u w:val="none"/>
                <w:lang w:val="en-US" w:eastAsia="zh-CN" w:bidi="ar"/>
              </w:rPr>
              <w:t>8、室内使用。</w:t>
            </w:r>
          </w:p>
        </w:tc>
        <w:tc>
          <w:tcPr>
            <w:tcW w:w="709" w:type="dxa"/>
            <w:noWrap w:val="0"/>
            <w:vAlign w:val="center"/>
          </w:tcPr>
          <w:p w14:paraId="03FF8761">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台</w:t>
            </w:r>
          </w:p>
        </w:tc>
        <w:tc>
          <w:tcPr>
            <w:tcW w:w="791" w:type="dxa"/>
            <w:noWrap w:val="0"/>
            <w:vAlign w:val="center"/>
          </w:tcPr>
          <w:p w14:paraId="3D610947">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sz w:val="27"/>
                <w:szCs w:val="27"/>
                <w:highlight w:val="none"/>
                <w:vertAlign w:val="baseline"/>
              </w:rPr>
            </w:pPr>
            <w:r>
              <w:rPr>
                <w:rFonts w:hint="eastAsia" w:ascii="宋体" w:hAnsi="宋体" w:eastAsia="宋体" w:cs="宋体"/>
                <w:i w:val="0"/>
                <w:iCs w:val="0"/>
                <w:color w:val="000000"/>
                <w:kern w:val="0"/>
                <w:sz w:val="27"/>
                <w:szCs w:val="27"/>
                <w:highlight w:val="none"/>
                <w:u w:val="none"/>
                <w:lang w:val="en-US" w:eastAsia="zh-CN" w:bidi="ar"/>
              </w:rPr>
              <w:t>1</w:t>
            </w:r>
          </w:p>
        </w:tc>
        <w:tc>
          <w:tcPr>
            <w:tcW w:w="1241" w:type="dxa"/>
            <w:noWrap w:val="0"/>
            <w:vAlign w:val="center"/>
          </w:tcPr>
          <w:p w14:paraId="4DF35AEB">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 xml:space="preserve">3700.00 </w:t>
            </w:r>
          </w:p>
        </w:tc>
      </w:tr>
      <w:tr w14:paraId="4A094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31" w:type="dxa"/>
            <w:gridSpan w:val="3"/>
            <w:noWrap w:val="0"/>
            <w:vAlign w:val="center"/>
          </w:tcPr>
          <w:p w14:paraId="005B243E">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left"/>
              <w:textAlignment w:val="center"/>
              <w:rPr>
                <w:rFonts w:hint="eastAsia" w:ascii="宋体" w:hAnsi="宋体" w:eastAsia="宋体" w:cs="宋体"/>
                <w:b w:val="0"/>
                <w:bCs w:val="0"/>
                <w:i w:val="0"/>
                <w:iCs w:val="0"/>
                <w:color w:val="000000"/>
                <w:kern w:val="0"/>
                <w:sz w:val="27"/>
                <w:szCs w:val="27"/>
                <w:highlight w:val="none"/>
                <w:u w:val="none"/>
                <w:lang w:val="en-US" w:eastAsia="zh-CN" w:bidi="ar"/>
              </w:rPr>
            </w:pPr>
            <w:r>
              <w:rPr>
                <w:rFonts w:hint="eastAsia" w:ascii="宋体" w:hAnsi="宋体" w:eastAsia="宋体" w:cs="宋体"/>
                <w:b w:val="0"/>
                <w:bCs w:val="0"/>
                <w:i w:val="0"/>
                <w:iCs w:val="0"/>
                <w:color w:val="000000"/>
                <w:kern w:val="0"/>
                <w:sz w:val="27"/>
                <w:szCs w:val="27"/>
                <w:highlight w:val="none"/>
                <w:u w:val="none"/>
                <w:lang w:val="en-US" w:eastAsia="zh-CN" w:bidi="ar"/>
              </w:rPr>
              <w:t>五、设备运营维护费用（质保期过后运营维护3年）</w:t>
            </w:r>
          </w:p>
        </w:tc>
        <w:tc>
          <w:tcPr>
            <w:tcW w:w="709" w:type="dxa"/>
            <w:noWrap w:val="0"/>
            <w:vAlign w:val="center"/>
          </w:tcPr>
          <w:p w14:paraId="47C43B3A">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项</w:t>
            </w:r>
          </w:p>
        </w:tc>
        <w:tc>
          <w:tcPr>
            <w:tcW w:w="791" w:type="dxa"/>
            <w:noWrap w:val="0"/>
            <w:vAlign w:val="center"/>
          </w:tcPr>
          <w:p w14:paraId="63CC650F">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1</w:t>
            </w:r>
          </w:p>
        </w:tc>
        <w:tc>
          <w:tcPr>
            <w:tcW w:w="1241" w:type="dxa"/>
            <w:noWrap w:val="0"/>
            <w:vAlign w:val="center"/>
          </w:tcPr>
          <w:p w14:paraId="302BB3BF">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color w:val="000000"/>
                <w:kern w:val="0"/>
                <w:sz w:val="27"/>
                <w:szCs w:val="27"/>
                <w:highlight w:val="none"/>
                <w:u w:val="none"/>
                <w:lang w:val="en-US" w:eastAsia="zh-CN" w:bidi="ar"/>
              </w:rPr>
              <w:t xml:space="preserve">61000.00 </w:t>
            </w:r>
          </w:p>
        </w:tc>
      </w:tr>
      <w:tr w14:paraId="2EB93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31" w:type="dxa"/>
            <w:gridSpan w:val="3"/>
            <w:noWrap w:val="0"/>
            <w:vAlign w:val="center"/>
          </w:tcPr>
          <w:p w14:paraId="653188D3">
            <w:pPr>
              <w:keepNext w:val="0"/>
              <w:keepLines w:val="0"/>
              <w:pageBreakBefore w:val="0"/>
              <w:widowControl/>
              <w:suppressLineNumbers w:val="0"/>
              <w:wordWrap/>
              <w:overflowPunct/>
              <w:topLinePunct w:val="0"/>
              <w:bidi w:val="0"/>
              <w:spacing w:line="516" w:lineRule="exact"/>
              <w:jc w:val="left"/>
              <w:textAlignment w:val="center"/>
              <w:rPr>
                <w:rFonts w:hint="eastAsia" w:ascii="宋体" w:hAnsi="宋体" w:eastAsia="宋体" w:cs="宋体"/>
                <w:b w:val="0"/>
                <w:bCs w:val="0"/>
                <w:i w:val="0"/>
                <w:iCs w:val="0"/>
                <w:color w:val="000000"/>
                <w:kern w:val="0"/>
                <w:sz w:val="27"/>
                <w:szCs w:val="27"/>
                <w:highlight w:val="none"/>
                <w:u w:val="none"/>
                <w:lang w:val="en-US" w:eastAsia="zh-CN" w:bidi="ar"/>
              </w:rPr>
            </w:pPr>
            <w:r>
              <w:rPr>
                <w:rFonts w:hint="eastAsia" w:ascii="宋体" w:hAnsi="宋体" w:eastAsia="宋体" w:cs="宋体"/>
                <w:b w:val="0"/>
                <w:bCs w:val="0"/>
                <w:i w:val="0"/>
                <w:iCs w:val="0"/>
                <w:snapToGrid w:val="0"/>
                <w:color w:val="000000"/>
                <w:kern w:val="0"/>
                <w:sz w:val="27"/>
                <w:szCs w:val="27"/>
                <w:highlight w:val="none"/>
                <w:u w:val="none"/>
                <w:lang w:val="en-US" w:eastAsia="zh-CN" w:bidi="ar"/>
              </w:rPr>
              <w:t>六、健身器材基础及安装费</w:t>
            </w:r>
          </w:p>
        </w:tc>
        <w:tc>
          <w:tcPr>
            <w:tcW w:w="709" w:type="dxa"/>
            <w:noWrap w:val="0"/>
            <w:vAlign w:val="center"/>
          </w:tcPr>
          <w:p w14:paraId="2F7FEB1A">
            <w:pPr>
              <w:keepNext w:val="0"/>
              <w:keepLines w:val="0"/>
              <w:pageBreakBefore w:val="0"/>
              <w:widowControl/>
              <w:suppressLineNumbers w:val="0"/>
              <w:wordWrap/>
              <w:overflowPunct/>
              <w:topLinePunct w:val="0"/>
              <w:bidi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snapToGrid w:val="0"/>
                <w:color w:val="000000"/>
                <w:kern w:val="0"/>
                <w:sz w:val="27"/>
                <w:szCs w:val="27"/>
                <w:highlight w:val="none"/>
                <w:u w:val="none"/>
                <w:lang w:val="en-US" w:eastAsia="zh-CN" w:bidi="ar"/>
              </w:rPr>
              <w:t>套</w:t>
            </w:r>
          </w:p>
        </w:tc>
        <w:tc>
          <w:tcPr>
            <w:tcW w:w="791" w:type="dxa"/>
            <w:noWrap w:val="0"/>
            <w:vAlign w:val="center"/>
          </w:tcPr>
          <w:p w14:paraId="7750EB91">
            <w:pPr>
              <w:keepNext w:val="0"/>
              <w:keepLines w:val="0"/>
              <w:pageBreakBefore w:val="0"/>
              <w:widowControl/>
              <w:suppressLineNumbers w:val="0"/>
              <w:wordWrap/>
              <w:overflowPunct/>
              <w:topLinePunct w:val="0"/>
              <w:bidi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snapToGrid w:val="0"/>
                <w:color w:val="000000"/>
                <w:kern w:val="0"/>
                <w:sz w:val="27"/>
                <w:szCs w:val="27"/>
                <w:highlight w:val="none"/>
                <w:u w:val="none"/>
                <w:lang w:val="en-US" w:eastAsia="zh-CN" w:bidi="ar"/>
              </w:rPr>
              <w:t>20</w:t>
            </w:r>
          </w:p>
        </w:tc>
        <w:tc>
          <w:tcPr>
            <w:tcW w:w="1241" w:type="dxa"/>
            <w:noWrap w:val="0"/>
            <w:vAlign w:val="center"/>
          </w:tcPr>
          <w:p w14:paraId="703E98DD">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snapToGrid w:val="0"/>
                <w:color w:val="000000"/>
                <w:kern w:val="0"/>
                <w:sz w:val="27"/>
                <w:szCs w:val="27"/>
                <w:highlight w:val="none"/>
                <w:u w:val="none"/>
                <w:lang w:val="en-US" w:eastAsia="zh-CN" w:bidi="ar"/>
              </w:rPr>
              <w:t xml:space="preserve">500.00 </w:t>
            </w:r>
          </w:p>
        </w:tc>
      </w:tr>
      <w:tr w14:paraId="3C3D5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trPr>
        <w:tc>
          <w:tcPr>
            <w:tcW w:w="7931" w:type="dxa"/>
            <w:gridSpan w:val="3"/>
            <w:noWrap w:val="0"/>
            <w:vAlign w:val="center"/>
          </w:tcPr>
          <w:p w14:paraId="48037E06">
            <w:pPr>
              <w:keepNext w:val="0"/>
              <w:keepLines w:val="0"/>
              <w:pageBreakBefore w:val="0"/>
              <w:widowControl/>
              <w:suppressLineNumbers w:val="0"/>
              <w:wordWrap/>
              <w:overflowPunct/>
              <w:topLinePunct w:val="0"/>
              <w:bidi w:val="0"/>
              <w:spacing w:line="516" w:lineRule="exact"/>
              <w:jc w:val="left"/>
              <w:textAlignment w:val="center"/>
              <w:rPr>
                <w:rFonts w:hint="eastAsia" w:ascii="宋体" w:hAnsi="宋体" w:eastAsia="宋体" w:cs="宋体"/>
                <w:b w:val="0"/>
                <w:bCs w:val="0"/>
                <w:i w:val="0"/>
                <w:iCs w:val="0"/>
                <w:color w:val="000000"/>
                <w:kern w:val="0"/>
                <w:sz w:val="27"/>
                <w:szCs w:val="27"/>
                <w:highlight w:val="none"/>
                <w:u w:val="none"/>
                <w:lang w:val="en-US" w:eastAsia="zh-CN" w:bidi="ar"/>
              </w:rPr>
            </w:pPr>
            <w:r>
              <w:rPr>
                <w:rFonts w:hint="eastAsia" w:ascii="宋体" w:hAnsi="宋体" w:eastAsia="宋体" w:cs="宋体"/>
                <w:b w:val="0"/>
                <w:bCs w:val="0"/>
                <w:i w:val="0"/>
                <w:iCs w:val="0"/>
                <w:snapToGrid w:val="0"/>
                <w:color w:val="000000"/>
                <w:kern w:val="0"/>
                <w:sz w:val="27"/>
                <w:szCs w:val="27"/>
                <w:highlight w:val="none"/>
                <w:u w:val="none"/>
                <w:lang w:val="en-US" w:eastAsia="zh-CN" w:bidi="ar"/>
              </w:rPr>
              <w:t>七、LED大屏控制电缆，型号暂按YJV-4*16+1*10，工程量暂按100m</w:t>
            </w:r>
          </w:p>
        </w:tc>
        <w:tc>
          <w:tcPr>
            <w:tcW w:w="709" w:type="dxa"/>
            <w:noWrap w:val="0"/>
            <w:vAlign w:val="center"/>
          </w:tcPr>
          <w:p w14:paraId="752C6951">
            <w:pPr>
              <w:keepNext w:val="0"/>
              <w:keepLines w:val="0"/>
              <w:pageBreakBefore w:val="0"/>
              <w:widowControl/>
              <w:suppressLineNumbers w:val="0"/>
              <w:wordWrap/>
              <w:overflowPunct/>
              <w:topLinePunct w:val="0"/>
              <w:bidi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snapToGrid w:val="0"/>
                <w:color w:val="000000"/>
                <w:kern w:val="0"/>
                <w:sz w:val="27"/>
                <w:szCs w:val="27"/>
                <w:highlight w:val="none"/>
                <w:u w:val="none"/>
                <w:lang w:val="en-US" w:eastAsia="zh-CN" w:bidi="ar"/>
              </w:rPr>
              <w:t>m</w:t>
            </w:r>
          </w:p>
        </w:tc>
        <w:tc>
          <w:tcPr>
            <w:tcW w:w="791" w:type="dxa"/>
            <w:noWrap w:val="0"/>
            <w:vAlign w:val="center"/>
          </w:tcPr>
          <w:p w14:paraId="47FE3CB4">
            <w:pPr>
              <w:keepNext w:val="0"/>
              <w:keepLines w:val="0"/>
              <w:pageBreakBefore w:val="0"/>
              <w:widowControl/>
              <w:suppressLineNumbers w:val="0"/>
              <w:wordWrap/>
              <w:overflowPunct/>
              <w:topLinePunct w:val="0"/>
              <w:bidi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snapToGrid w:val="0"/>
                <w:color w:val="000000"/>
                <w:kern w:val="0"/>
                <w:sz w:val="27"/>
                <w:szCs w:val="27"/>
                <w:highlight w:val="none"/>
                <w:u w:val="none"/>
                <w:lang w:val="en-US" w:eastAsia="zh-CN" w:bidi="ar"/>
              </w:rPr>
              <w:t>100</w:t>
            </w:r>
          </w:p>
        </w:tc>
        <w:tc>
          <w:tcPr>
            <w:tcW w:w="1241" w:type="dxa"/>
            <w:noWrap w:val="0"/>
            <w:vAlign w:val="center"/>
          </w:tcPr>
          <w:p w14:paraId="6BD8B91C">
            <w:pPr>
              <w:keepNext w:val="0"/>
              <w:keepLines w:val="0"/>
              <w:pageBreakBefore w:val="0"/>
              <w:widowControl/>
              <w:suppressLineNumbers w:val="0"/>
              <w:kinsoku w:val="0"/>
              <w:wordWrap/>
              <w:overflowPunct/>
              <w:topLinePunct w:val="0"/>
              <w:autoSpaceDE w:val="0"/>
              <w:autoSpaceDN w:val="0"/>
              <w:bidi w:val="0"/>
              <w:adjustRightInd w:val="0"/>
              <w:snapToGrid w:val="0"/>
              <w:spacing w:line="516" w:lineRule="exact"/>
              <w:jc w:val="center"/>
              <w:textAlignment w:val="center"/>
              <w:rPr>
                <w:rFonts w:hint="eastAsia" w:ascii="宋体" w:hAnsi="宋体" w:eastAsia="宋体" w:cs="宋体"/>
                <w:i w:val="0"/>
                <w:iCs w:val="0"/>
                <w:color w:val="000000"/>
                <w:kern w:val="0"/>
                <w:sz w:val="27"/>
                <w:szCs w:val="27"/>
                <w:highlight w:val="none"/>
                <w:u w:val="none"/>
                <w:lang w:val="en-US" w:eastAsia="zh-CN" w:bidi="ar"/>
              </w:rPr>
            </w:pPr>
            <w:r>
              <w:rPr>
                <w:rFonts w:hint="eastAsia" w:ascii="宋体" w:hAnsi="宋体" w:eastAsia="宋体" w:cs="宋体"/>
                <w:i w:val="0"/>
                <w:iCs w:val="0"/>
                <w:snapToGrid w:val="0"/>
                <w:color w:val="000000"/>
                <w:kern w:val="0"/>
                <w:sz w:val="27"/>
                <w:szCs w:val="27"/>
                <w:highlight w:val="none"/>
                <w:u w:val="none"/>
                <w:lang w:val="en-US" w:eastAsia="zh-CN" w:bidi="ar"/>
              </w:rPr>
              <w:t xml:space="preserve">150.00 </w:t>
            </w:r>
          </w:p>
        </w:tc>
      </w:tr>
    </w:tbl>
    <w:p w14:paraId="3C8103AE">
      <w:pPr>
        <w:keepNext w:val="0"/>
        <w:keepLines w:val="0"/>
        <w:pageBreakBefore w:val="0"/>
        <w:widowControl w:val="0"/>
        <w:numPr>
          <w:ilvl w:val="0"/>
          <w:numId w:val="0"/>
        </w:numPr>
        <w:kinsoku/>
        <w:wordWrap/>
        <w:overflowPunct/>
        <w:topLinePunct w:val="0"/>
        <w:autoSpaceDE/>
        <w:autoSpaceDN/>
        <w:bidi w:val="0"/>
        <w:adjustRightInd w:val="0"/>
        <w:snapToGrid/>
        <w:spacing w:line="460" w:lineRule="exact"/>
        <w:ind w:firstLine="542" w:firstLineChars="200"/>
        <w:jc w:val="left"/>
        <w:textAlignment w:val="auto"/>
        <w:rPr>
          <w:rFonts w:hint="eastAsia" w:ascii="宋体" w:hAnsi="宋体" w:eastAsia="宋体" w:cs="宋体"/>
          <w:b/>
          <w:bCs/>
          <w:color w:val="auto"/>
          <w:kern w:val="2"/>
          <w:sz w:val="27"/>
          <w:szCs w:val="27"/>
          <w:highlight w:val="none"/>
          <w:lang w:val="en-US" w:eastAsia="zh-CN"/>
        </w:rPr>
      </w:pPr>
      <w:r>
        <w:rPr>
          <w:rFonts w:hint="eastAsia" w:ascii="宋体" w:hAnsi="宋体" w:eastAsia="宋体" w:cs="宋体"/>
          <w:b/>
          <w:bCs/>
          <w:color w:val="auto"/>
          <w:kern w:val="2"/>
          <w:sz w:val="27"/>
          <w:szCs w:val="27"/>
          <w:highlight w:val="none"/>
          <w:lang w:val="en-US" w:eastAsia="zh-CN"/>
        </w:rPr>
        <w:t>注：以上技术“参数要求”及采购需求为实质性要求，必须完全满足或优于，否则投标无效。</w:t>
      </w:r>
    </w:p>
    <w:sectPr>
      <w:footerReference r:id="rId3" w:type="default"/>
      <w:pgSz w:w="11906" w:h="16838"/>
      <w:pgMar w:top="1440" w:right="1800" w:bottom="1440" w:left="1800" w:header="851"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93A92D">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9CC6178">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ql5uc8AAAAFAQAADwAAAAAAAAABACAA&#10;AAAiAAAAZHJzL2Rvd25yZXYueG1sUEsBAhQAFAAAAAgAh07iQG15XmjdAQAAvgMAAA4AAAAAAAAA&#10;AQAgAAAAHgEAAGRycy9lMm9Eb2MueG1sUEsFBgAAAAAGAAYAWQEAAG0FAAAAAA==&#10;">
              <v:fill on="f" focussize="0,0"/>
              <v:stroke on="f"/>
              <v:imagedata o:title=""/>
              <o:lock v:ext="edit" aspectratio="f"/>
              <v:textbox inset="0mm,0mm,0mm,0mm" style="mso-fit-shape-to-text:t;">
                <w:txbxContent>
                  <w:p w14:paraId="79CC6178">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29F4DA"/>
    <w:multiLevelType w:val="singleLevel"/>
    <w:tmpl w:val="8C29F4DA"/>
    <w:lvl w:ilvl="0" w:tentative="0">
      <w:start w:val="1"/>
      <w:numFmt w:val="decimal"/>
      <w:lvlText w:val="%1."/>
      <w:lvlJc w:val="left"/>
      <w:pPr>
        <w:tabs>
          <w:tab w:val="left" w:pos="312"/>
        </w:tabs>
      </w:pPr>
    </w:lvl>
  </w:abstractNum>
  <w:abstractNum w:abstractNumId="1">
    <w:nsid w:val="59999CA7"/>
    <w:multiLevelType w:val="singleLevel"/>
    <w:tmpl w:val="59999CA7"/>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bordersDoNotSurroundHeader w:val="1"/>
  <w:bordersDoNotSurroundFooter w:val="1"/>
  <w:attachedTemplate r:id="rId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M0MTg0NDg4MzY0MmQyYjE3MDI3NjBiYTQwM2U1NTMifQ=="/>
  </w:docVars>
  <w:rsids>
    <w:rsidRoot w:val="16805E65"/>
    <w:rsid w:val="04A97D6A"/>
    <w:rsid w:val="050B35C2"/>
    <w:rsid w:val="0A740CC1"/>
    <w:rsid w:val="0CE83FFD"/>
    <w:rsid w:val="11FF27F2"/>
    <w:rsid w:val="16611042"/>
    <w:rsid w:val="16805E65"/>
    <w:rsid w:val="17623C07"/>
    <w:rsid w:val="186F0C5F"/>
    <w:rsid w:val="1BC57A4C"/>
    <w:rsid w:val="23C44815"/>
    <w:rsid w:val="246A2E31"/>
    <w:rsid w:val="28710B3C"/>
    <w:rsid w:val="2A9C2048"/>
    <w:rsid w:val="31496359"/>
    <w:rsid w:val="314C5D81"/>
    <w:rsid w:val="322F37A1"/>
    <w:rsid w:val="328A51AB"/>
    <w:rsid w:val="3D1A4E4F"/>
    <w:rsid w:val="3DDC43DB"/>
    <w:rsid w:val="3EDD0743"/>
    <w:rsid w:val="424A0EC5"/>
    <w:rsid w:val="43CF3E4D"/>
    <w:rsid w:val="44EE3048"/>
    <w:rsid w:val="4782115C"/>
    <w:rsid w:val="50CD78EE"/>
    <w:rsid w:val="538C5F06"/>
    <w:rsid w:val="578C2978"/>
    <w:rsid w:val="5BB927F4"/>
    <w:rsid w:val="5D0068CE"/>
    <w:rsid w:val="5EEB5190"/>
    <w:rsid w:val="62495F51"/>
    <w:rsid w:val="625C4413"/>
    <w:rsid w:val="66AF150A"/>
    <w:rsid w:val="68D74BB9"/>
    <w:rsid w:val="698F4AC7"/>
    <w:rsid w:val="6A2353BE"/>
    <w:rsid w:val="6C02085F"/>
    <w:rsid w:val="708741CD"/>
    <w:rsid w:val="73612AB3"/>
    <w:rsid w:val="76016EC0"/>
    <w:rsid w:val="79B871A5"/>
    <w:rsid w:val="7CFB3B45"/>
    <w:rsid w:val="7F5B0CF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2"/>
    <w:basedOn w:val="1"/>
    <w:next w:val="1"/>
    <w:qFormat/>
    <w:uiPriority w:val="9"/>
    <w:pPr>
      <w:keepNext/>
      <w:keepLines/>
      <w:spacing w:before="260" w:after="260" w:line="413" w:lineRule="auto"/>
      <w:ind w:firstLine="628"/>
      <w:jc w:val="center"/>
      <w:outlineLvl w:val="1"/>
    </w:pPr>
    <w:rPr>
      <w:rFonts w:ascii="Arial" w:hAnsi="Arial" w:eastAsia="黑体"/>
      <w:b/>
      <w:bCs/>
      <w:kern w:val="0"/>
      <w:sz w:val="32"/>
      <w:szCs w:val="32"/>
    </w:rPr>
  </w:style>
  <w:style w:type="character" w:default="1" w:styleId="12">
    <w:name w:val="Default Paragraph Font"/>
    <w:semiHidden/>
    <w:qFormat/>
    <w:uiPriority w:val="0"/>
  </w:style>
  <w:style w:type="table" w:default="1" w:styleId="10">
    <w:name w:val="Normal Table"/>
    <w:semiHidden/>
    <w:uiPriority w:val="0"/>
    <w:tblPr>
      <w:tblStyle w:val="10"/>
      <w:tblCellMar>
        <w:top w:w="0" w:type="dxa"/>
        <w:left w:w="108" w:type="dxa"/>
        <w:bottom w:w="0" w:type="dxa"/>
        <w:right w:w="108" w:type="dxa"/>
      </w:tblCellMar>
    </w:tblPr>
  </w:style>
  <w:style w:type="paragraph" w:styleId="3">
    <w:name w:val="Body Text"/>
    <w:basedOn w:val="1"/>
    <w:next w:val="4"/>
    <w:qFormat/>
    <w:uiPriority w:val="0"/>
    <w:rPr>
      <w:rFonts w:ascii="仿宋" w:hAnsi="仿宋" w:eastAsia="仿宋" w:cs="仿宋"/>
      <w:sz w:val="30"/>
      <w:szCs w:val="30"/>
    </w:rPr>
  </w:style>
  <w:style w:type="paragraph" w:styleId="4">
    <w:name w:val="Body Text First Indent"/>
    <w:basedOn w:val="3"/>
    <w:qFormat/>
    <w:uiPriority w:val="0"/>
    <w:pPr>
      <w:ind w:firstLine="420" w:firstLineChars="100"/>
    </w:pPr>
  </w:style>
  <w:style w:type="paragraph" w:styleId="5">
    <w:name w:val="Body Text Indent"/>
    <w:basedOn w:val="1"/>
    <w:next w:val="6"/>
    <w:uiPriority w:val="0"/>
    <w:pPr>
      <w:spacing w:after="120"/>
      <w:ind w:left="420" w:leftChars="200"/>
    </w:pPr>
    <w:rPr>
      <w:rFonts w:ascii="Times New Roman" w:hAnsi="Times New Roman"/>
      <w:kern w:val="0"/>
      <w:sz w:val="20"/>
      <w:szCs w:val="24"/>
    </w:rPr>
  </w:style>
  <w:style w:type="paragraph" w:styleId="6">
    <w:name w:val="envelope return"/>
    <w:basedOn w:val="1"/>
    <w:qFormat/>
    <w:uiPriority w:val="0"/>
    <w:pPr>
      <w:snapToGrid w:val="0"/>
      <w:spacing w:line="360" w:lineRule="auto"/>
      <w:jc w:val="both"/>
    </w:pPr>
    <w:rPr>
      <w:rFonts w:ascii="Arial" w:hAnsi="Arial" w:eastAsia="仿宋_GB2312" w:cs="Arial"/>
      <w:sz w:val="24"/>
      <w:szCs w:val="24"/>
    </w:rPr>
  </w:style>
  <w:style w:type="paragraph" w:styleId="7">
    <w:name w:val="footer"/>
    <w:basedOn w:val="1"/>
    <w:uiPriority w:val="0"/>
    <w:pPr>
      <w:tabs>
        <w:tab w:val="center" w:pos="4153"/>
        <w:tab w:val="right" w:pos="8306"/>
      </w:tabs>
      <w:snapToGrid w:val="0"/>
      <w:jc w:val="left"/>
    </w:pPr>
    <w:rPr>
      <w:sz w:val="18"/>
    </w:rPr>
  </w:style>
  <w:style w:type="paragraph" w:styleId="8">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Body Text First Indent 2"/>
    <w:basedOn w:val="5"/>
    <w:next w:val="1"/>
    <w:uiPriority w:val="0"/>
    <w:pPr>
      <w:ind w:firstLine="420" w:firstLineChars="200"/>
    </w:pPr>
    <w:rPr>
      <w:szCs w:val="20"/>
    </w:rPr>
  </w:style>
  <w:style w:type="table" w:styleId="11">
    <w:name w:val="Table Grid"/>
    <w:basedOn w:val="10"/>
    <w:qFormat/>
    <w:uiPriority w:val="59"/>
    <w:rPr>
      <w:kern w:val="2"/>
      <w:sz w:val="21"/>
      <w:szCs w:val="22"/>
    </w:rPr>
    <w:tblPr>
      <w:tblStyle w:val="10"/>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3">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37049;&#23159;&#20849;&#20139;\2026&#24180;&#37049;&#23159;&#39033;&#30446;\2026&#24180;&#25919;&#24220;&#37319;&#36141;&#39033;&#30446;\&#26410;&#24320;\JXGY2026-HC-G004-1&#20250;&#26124;&#21439;&#31584;&#38376;&#23725;&#38215;&#20840;&#27665;&#20581;&#36523;&#24191;&#22330;&#39033;&#30446;&#37197;&#22871;&#36816;&#21160;&#20581;&#36523;&#22120;&#26448;&#37319;&#36141;\&#37319;&#36141;&#38656;&#27714;.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采购需求.dot</Template>
  <Pages>17</Pages>
  <Words>6681</Words>
  <Characters>8562</Characters>
  <Lines>0</Lines>
  <Paragraphs>0</Paragraphs>
  <TotalTime>6</TotalTime>
  <ScaleCrop>false</ScaleCrop>
  <LinksUpToDate>false</LinksUpToDate>
  <CharactersWithSpaces>8612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2026-07-01T08:15:00Z</dcterms:created>
  <dc:creator>1</dc:creator>
  <cp:lastModifiedBy>1</cp:lastModifiedBy>
  <dcterms:modified xsi:type="dcterms:W3CDTF">2026-07-01T08:16:00Z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590F840F5C7440669532365B585C6806_11</vt:lpwstr>
  </property>
  <property fmtid="{D5CDD505-2E9C-101B-9397-08002B2CF9AE}" pid="4" name="KSOTemplateDocerSaveRecord">
    <vt:lpwstr>eyJoZGlkIjoiYTEwYzkxOTRiOTI3N2YxOTFhZWU1MjEyZGQyNDc3OTAiLCJ1c2VySWQiOiI0MDk2ODMyODcifQ==</vt:lpwstr>
  </property>
</Properties>
</file>