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14:textOutline w14:w="4356" w14:cap="sq" w14:cmpd="sng">
            <w14:solidFill>
              <w14:srgbClr w14:val="000000"/>
            </w14:solidFill>
            <w14:prstDash w14:val="solid"/>
            <w14:bevel/>
          </w14:textOutline>
        </w:rPr>
        <w:t>采购需求</w:t>
      </w:r>
    </w:p>
    <w:p w14:paraId="3493BC45">
      <w:pPr>
        <w:pageBreakBefore w:val="0"/>
        <w:widowControl w:val="0"/>
        <w:wordWrap/>
        <w:overflowPunct/>
        <w:topLinePunct w:val="0"/>
        <w:bidi w:val="0"/>
        <w:spacing w:line="257" w:lineRule="auto"/>
        <w:rPr>
          <w:color w:val="auto"/>
          <w:spacing w:val="0"/>
          <w:w w:val="100"/>
          <w:position w:val="0"/>
          <w:highlight w:val="none"/>
        </w:rPr>
      </w:pPr>
    </w:p>
    <w:p w14:paraId="79EFFA9B">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（一） 技术需求</w:t>
      </w:r>
    </w:p>
    <w:p w14:paraId="27A5C741">
      <w:pPr>
        <w:pageBreakBefore w:val="0"/>
        <w:widowControl w:val="0"/>
        <w:wordWrap/>
        <w:overflowPunct/>
        <w:topLinePunct w:val="0"/>
        <w:bidi w:val="0"/>
        <w:spacing w:line="242" w:lineRule="auto"/>
        <w:rPr>
          <w:color w:val="auto"/>
          <w:spacing w:val="0"/>
          <w:w w:val="100"/>
          <w:position w:val="0"/>
          <w:highlight w:val="none"/>
        </w:rPr>
      </w:pPr>
    </w:p>
    <w:p w14:paraId="545030F0">
      <w:pPr>
        <w:spacing w:line="360" w:lineRule="auto"/>
        <w:rPr>
          <w:rFonts w:hint="eastAsia" w:ascii="宋体" w:hAnsi="宋体" w:eastAsia="宋体" w:cs="宋体"/>
          <w:sz w:val="24"/>
          <w:szCs w:val="24"/>
        </w:rPr>
      </w:pPr>
      <w:r>
        <w:rPr>
          <w:rFonts w:hint="eastAsia" w:ascii="宋体" w:hAnsi="宋体" w:eastAsia="宋体" w:cs="宋体"/>
          <w:sz w:val="24"/>
          <w:szCs w:val="24"/>
        </w:rPr>
        <w:t>1.轿厢规格：宽2200mm×深2400mm×高2300mm;</w:t>
      </w:r>
    </w:p>
    <w:p w14:paraId="698197A5">
      <w:pPr>
        <w:spacing w:line="360" w:lineRule="auto"/>
        <w:rPr>
          <w:rFonts w:hint="eastAsia" w:ascii="宋体" w:hAnsi="宋体" w:eastAsia="宋体" w:cs="宋体"/>
          <w:sz w:val="24"/>
          <w:szCs w:val="24"/>
        </w:rPr>
      </w:pPr>
      <w:r>
        <w:rPr>
          <w:rFonts w:hint="eastAsia" w:ascii="宋体" w:hAnsi="宋体" w:eastAsia="宋体" w:cs="宋体"/>
          <w:sz w:val="24"/>
          <w:szCs w:val="24"/>
        </w:rPr>
        <w:t>2.层数:三层三站</w:t>
      </w:r>
      <w:r>
        <w:rPr>
          <w:rFonts w:hint="default" w:ascii="宋体" w:hAnsi="宋体" w:eastAsia="宋体" w:cs="宋体"/>
          <w:sz w:val="24"/>
          <w:szCs w:val="24"/>
          <w:lang w:val="en-US"/>
        </w:rPr>
        <w:t>四门，一层两门，二层三层各一门</w:t>
      </w:r>
      <w:r>
        <w:rPr>
          <w:rFonts w:hint="eastAsia" w:ascii="宋体" w:hAnsi="宋体" w:eastAsia="宋体" w:cs="宋体"/>
          <w:sz w:val="24"/>
          <w:szCs w:val="24"/>
        </w:rPr>
        <w:t>;</w:t>
      </w:r>
    </w:p>
    <w:p w14:paraId="5F760F39">
      <w:pPr>
        <w:spacing w:line="360" w:lineRule="auto"/>
        <w:rPr>
          <w:rFonts w:hint="eastAsia" w:ascii="宋体" w:hAnsi="宋体" w:eastAsia="宋体" w:cs="宋体"/>
          <w:sz w:val="24"/>
          <w:szCs w:val="24"/>
        </w:rPr>
      </w:pPr>
      <w:r>
        <w:rPr>
          <w:rFonts w:hint="eastAsia" w:ascii="宋体" w:hAnsi="宋体" w:eastAsia="宋体" w:cs="宋体"/>
          <w:sz w:val="24"/>
          <w:szCs w:val="24"/>
        </w:rPr>
        <w:t>3.开门方式:中分对开门</w:t>
      </w:r>
      <w:r>
        <w:rPr>
          <w:rFonts w:hint="default" w:ascii="宋体" w:hAnsi="宋体" w:cs="宋体"/>
          <w:sz w:val="24"/>
          <w:szCs w:val="24"/>
          <w:lang w:val="en-US"/>
        </w:rPr>
        <w:t>，开门宽度不小于1800mm</w:t>
      </w:r>
      <w:r>
        <w:rPr>
          <w:rFonts w:hint="eastAsia" w:ascii="宋体" w:hAnsi="宋体" w:eastAsia="宋体" w:cs="宋体"/>
          <w:sz w:val="24"/>
          <w:szCs w:val="24"/>
        </w:rPr>
        <w:t>;</w:t>
      </w:r>
    </w:p>
    <w:p w14:paraId="337C64FA">
      <w:pPr>
        <w:spacing w:line="360" w:lineRule="auto"/>
        <w:rPr>
          <w:rFonts w:hint="eastAsia" w:ascii="宋体" w:hAnsi="宋体" w:eastAsia="宋体" w:cs="宋体"/>
          <w:sz w:val="24"/>
          <w:szCs w:val="24"/>
        </w:rPr>
      </w:pPr>
      <w:r>
        <w:rPr>
          <w:rFonts w:hint="eastAsia" w:ascii="宋体" w:hAnsi="宋体" w:eastAsia="宋体" w:cs="宋体"/>
          <w:sz w:val="24"/>
          <w:szCs w:val="24"/>
        </w:rPr>
        <w:t>4.速度: 0.5m/s及以上;</w:t>
      </w:r>
    </w:p>
    <w:p w14:paraId="1C5485B2">
      <w:pPr>
        <w:spacing w:line="360" w:lineRule="auto"/>
        <w:rPr>
          <w:rFonts w:hint="eastAsia" w:ascii="宋体" w:hAnsi="宋体" w:eastAsia="宋体" w:cs="宋体"/>
          <w:sz w:val="24"/>
          <w:szCs w:val="24"/>
        </w:rPr>
      </w:pPr>
      <w:r>
        <w:rPr>
          <w:rFonts w:hint="eastAsia" w:ascii="宋体" w:hAnsi="宋体" w:eastAsia="宋体" w:cs="宋体"/>
          <w:sz w:val="24"/>
          <w:szCs w:val="24"/>
        </w:rPr>
        <w:t>5.井道: 钢结构 立柱200*200 厚度8mm及以上；</w:t>
      </w:r>
    </w:p>
    <w:p w14:paraId="217F5020">
      <w:pPr>
        <w:spacing w:line="360" w:lineRule="auto"/>
        <w:rPr>
          <w:rFonts w:hint="eastAsia" w:ascii="宋体" w:hAnsi="宋体" w:eastAsia="宋体" w:cs="宋体"/>
          <w:sz w:val="24"/>
          <w:szCs w:val="24"/>
        </w:rPr>
      </w:pPr>
      <w:r>
        <w:rPr>
          <w:rFonts w:hint="eastAsia" w:ascii="宋体" w:hAnsi="宋体" w:eastAsia="宋体" w:cs="宋体"/>
          <w:sz w:val="24"/>
          <w:szCs w:val="24"/>
        </w:rPr>
        <w:t>6.外立面:钢化玻璃 厚度12mm及以上；</w:t>
      </w:r>
    </w:p>
    <w:p w14:paraId="1341C6A6">
      <w:pPr>
        <w:spacing w:line="360" w:lineRule="auto"/>
        <w:rPr>
          <w:rFonts w:hint="eastAsia" w:ascii="宋体" w:hAnsi="宋体" w:eastAsia="宋体" w:cs="宋体"/>
          <w:sz w:val="24"/>
          <w:szCs w:val="24"/>
        </w:rPr>
      </w:pPr>
      <w:r>
        <w:rPr>
          <w:rFonts w:hint="eastAsia" w:ascii="宋体" w:hAnsi="宋体" w:eastAsia="宋体" w:cs="宋体"/>
          <w:sz w:val="24"/>
          <w:szCs w:val="24"/>
        </w:rPr>
        <w:t>7.地坑土建:深度1500mm；</w:t>
      </w:r>
    </w:p>
    <w:p w14:paraId="76C2F96D">
      <w:pPr>
        <w:spacing w:line="360" w:lineRule="auto"/>
        <w:rPr>
          <w:rFonts w:hint="eastAsia" w:ascii="宋体" w:hAnsi="宋体" w:eastAsia="宋体" w:cs="宋体"/>
          <w:sz w:val="24"/>
          <w:szCs w:val="24"/>
        </w:rPr>
      </w:pPr>
      <w:r>
        <w:rPr>
          <w:rFonts w:hint="eastAsia" w:ascii="宋体" w:hAnsi="宋体" w:eastAsia="宋体" w:cs="宋体"/>
          <w:sz w:val="24"/>
          <w:szCs w:val="24"/>
        </w:rPr>
        <w:t>8.连廊: 4.0花纹板；</w:t>
      </w:r>
    </w:p>
    <w:p w14:paraId="65CB2DAD">
      <w:pPr>
        <w:spacing w:line="360" w:lineRule="auto"/>
        <w:rPr>
          <w:rFonts w:hint="eastAsia" w:ascii="宋体" w:hAnsi="宋体" w:eastAsia="宋体" w:cs="宋体"/>
          <w:sz w:val="24"/>
          <w:szCs w:val="24"/>
        </w:rPr>
      </w:pPr>
      <w:r>
        <w:rPr>
          <w:rFonts w:hint="eastAsia" w:ascii="宋体" w:hAnsi="宋体" w:eastAsia="宋体" w:cs="宋体"/>
          <w:sz w:val="24"/>
          <w:szCs w:val="24"/>
        </w:rPr>
        <w:t>9.门套:304不锈钢；</w:t>
      </w:r>
    </w:p>
    <w:p w14:paraId="1EFB8A03">
      <w:pPr>
        <w:spacing w:line="360" w:lineRule="auto"/>
        <w:rPr>
          <w:rFonts w:hint="eastAsia" w:ascii="宋体" w:hAnsi="宋体" w:eastAsia="宋体" w:cs="宋体"/>
          <w:sz w:val="24"/>
          <w:szCs w:val="24"/>
        </w:rPr>
      </w:pPr>
      <w:r>
        <w:rPr>
          <w:rFonts w:hint="eastAsia" w:ascii="宋体" w:hAnsi="宋体" w:eastAsia="宋体" w:cs="宋体"/>
          <w:sz w:val="24"/>
          <w:szCs w:val="24"/>
        </w:rPr>
        <w:t>10.载货量:3吨及以上；</w:t>
      </w:r>
    </w:p>
    <w:p w14:paraId="494D7DB3">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11.</w:t>
      </w:r>
      <w:r>
        <w:rPr>
          <w:rFonts w:hint="eastAsia" w:ascii="宋体" w:hAnsi="宋体" w:eastAsia="宋体" w:cs="宋体"/>
          <w:sz w:val="24"/>
          <w:szCs w:val="24"/>
        </w:rPr>
        <w:t>功能配置</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0"/>
        <w:gridCol w:w="2146"/>
        <w:gridCol w:w="2107"/>
        <w:gridCol w:w="2589"/>
      </w:tblGrid>
      <w:tr w14:paraId="34E9B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000" w:type="pct"/>
            <w:gridSpan w:val="4"/>
            <w:tcBorders>
              <w:top w:val="single" w:color="auto" w:sz="4" w:space="0"/>
              <w:left w:val="single" w:color="auto" w:sz="4" w:space="0"/>
              <w:bottom w:val="single" w:color="auto" w:sz="4" w:space="0"/>
              <w:right w:val="single" w:color="auto" w:sz="4" w:space="0"/>
            </w:tcBorders>
            <w:vAlign w:val="center"/>
          </w:tcPr>
          <w:p w14:paraId="56651F63">
            <w:pPr>
              <w:spacing w:line="360" w:lineRule="auto"/>
              <w:rPr>
                <w:rFonts w:hint="eastAsia" w:ascii="宋体" w:hAnsi="宋体" w:eastAsia="宋体" w:cs="宋体"/>
                <w:b/>
                <w:sz w:val="24"/>
                <w:szCs w:val="24"/>
              </w:rPr>
            </w:pPr>
            <w:r>
              <w:rPr>
                <w:rFonts w:hint="eastAsia" w:ascii="宋体" w:hAnsi="宋体" w:eastAsia="宋体" w:cs="宋体"/>
                <w:b/>
                <w:sz w:val="24"/>
                <w:szCs w:val="24"/>
              </w:rPr>
              <w:t>安全功能</w:t>
            </w:r>
          </w:p>
        </w:tc>
      </w:tr>
      <w:tr w14:paraId="11FE4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297127D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上行超速保护</w:t>
            </w:r>
          </w:p>
        </w:tc>
        <w:tc>
          <w:tcPr>
            <w:tcW w:w="1259" w:type="pct"/>
            <w:tcBorders>
              <w:top w:val="single" w:color="auto" w:sz="4" w:space="0"/>
              <w:left w:val="single" w:color="auto" w:sz="4" w:space="0"/>
              <w:bottom w:val="single" w:color="auto" w:sz="4" w:space="0"/>
              <w:right w:val="single" w:color="auto" w:sz="4" w:space="0"/>
            </w:tcBorders>
            <w:vAlign w:val="center"/>
          </w:tcPr>
          <w:p w14:paraId="1D322E3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缓冲器检测</w:t>
            </w:r>
          </w:p>
        </w:tc>
        <w:tc>
          <w:tcPr>
            <w:tcW w:w="1236" w:type="pct"/>
            <w:tcBorders>
              <w:top w:val="single" w:color="auto" w:sz="4" w:space="0"/>
              <w:left w:val="single" w:color="auto" w:sz="4" w:space="0"/>
              <w:bottom w:val="single" w:color="auto" w:sz="4" w:space="0"/>
              <w:right w:val="single" w:color="auto" w:sz="4" w:space="0"/>
            </w:tcBorders>
            <w:vAlign w:val="center"/>
          </w:tcPr>
          <w:p w14:paraId="7F6A0F5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电阻制动</w:t>
            </w:r>
          </w:p>
        </w:tc>
        <w:tc>
          <w:tcPr>
            <w:tcW w:w="1517" w:type="pct"/>
            <w:tcBorders>
              <w:top w:val="single" w:color="auto" w:sz="4" w:space="0"/>
              <w:left w:val="single" w:color="auto" w:sz="4" w:space="0"/>
              <w:bottom w:val="single" w:color="auto" w:sz="4" w:space="0"/>
              <w:right w:val="single" w:color="auto" w:sz="4" w:space="0"/>
            </w:tcBorders>
            <w:vAlign w:val="center"/>
          </w:tcPr>
          <w:p w14:paraId="0C8F717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控制柜内呼</w:t>
            </w:r>
          </w:p>
        </w:tc>
      </w:tr>
      <w:tr w14:paraId="1396D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7428E54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轿门检测</w:t>
            </w:r>
          </w:p>
        </w:tc>
        <w:tc>
          <w:tcPr>
            <w:tcW w:w="1259" w:type="pct"/>
            <w:tcBorders>
              <w:top w:val="single" w:color="auto" w:sz="4" w:space="0"/>
              <w:left w:val="single" w:color="auto" w:sz="4" w:space="0"/>
              <w:bottom w:val="single" w:color="auto" w:sz="4" w:space="0"/>
              <w:right w:val="single" w:color="auto" w:sz="4" w:space="0"/>
            </w:tcBorders>
            <w:vAlign w:val="center"/>
          </w:tcPr>
          <w:p w14:paraId="5E7845F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轿门限位</w:t>
            </w:r>
          </w:p>
        </w:tc>
        <w:tc>
          <w:tcPr>
            <w:tcW w:w="1236" w:type="pct"/>
            <w:tcBorders>
              <w:top w:val="single" w:color="auto" w:sz="4" w:space="0"/>
              <w:left w:val="single" w:color="auto" w:sz="4" w:space="0"/>
              <w:bottom w:val="single" w:color="auto" w:sz="4" w:space="0"/>
              <w:right w:val="single" w:color="auto" w:sz="4" w:space="0"/>
            </w:tcBorders>
            <w:vAlign w:val="center"/>
          </w:tcPr>
          <w:p w14:paraId="7550ACF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轿厢照明开关</w:t>
            </w:r>
          </w:p>
        </w:tc>
        <w:tc>
          <w:tcPr>
            <w:tcW w:w="1517" w:type="pct"/>
            <w:tcBorders>
              <w:top w:val="single" w:color="auto" w:sz="4" w:space="0"/>
              <w:left w:val="single" w:color="auto" w:sz="4" w:space="0"/>
              <w:bottom w:val="single" w:color="auto" w:sz="4" w:space="0"/>
              <w:right w:val="single" w:color="auto" w:sz="4" w:space="0"/>
            </w:tcBorders>
            <w:vAlign w:val="center"/>
          </w:tcPr>
          <w:p w14:paraId="049E9D8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修正运行</w:t>
            </w:r>
          </w:p>
        </w:tc>
      </w:tr>
      <w:tr w14:paraId="5FBC7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6738F95C">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门锁检测</w:t>
            </w:r>
          </w:p>
        </w:tc>
        <w:tc>
          <w:tcPr>
            <w:tcW w:w="1259" w:type="pct"/>
            <w:tcBorders>
              <w:top w:val="single" w:color="auto" w:sz="4" w:space="0"/>
              <w:left w:val="single" w:color="auto" w:sz="4" w:space="0"/>
              <w:bottom w:val="single" w:color="auto" w:sz="4" w:space="0"/>
              <w:right w:val="single" w:color="auto" w:sz="4" w:space="0"/>
            </w:tcBorders>
            <w:vAlign w:val="center"/>
          </w:tcPr>
          <w:p w14:paraId="0B911E8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禁止开门</w:t>
            </w:r>
          </w:p>
        </w:tc>
        <w:tc>
          <w:tcPr>
            <w:tcW w:w="1236" w:type="pct"/>
            <w:tcBorders>
              <w:top w:val="single" w:color="auto" w:sz="4" w:space="0"/>
              <w:left w:val="single" w:color="auto" w:sz="4" w:space="0"/>
              <w:bottom w:val="single" w:color="auto" w:sz="4" w:space="0"/>
              <w:right w:val="single" w:color="auto" w:sz="4" w:space="0"/>
            </w:tcBorders>
            <w:vAlign w:val="center"/>
          </w:tcPr>
          <w:p w14:paraId="1A34370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下行超速保护</w:t>
            </w:r>
          </w:p>
        </w:tc>
        <w:tc>
          <w:tcPr>
            <w:tcW w:w="1517" w:type="pct"/>
            <w:tcBorders>
              <w:top w:val="single" w:color="auto" w:sz="4" w:space="0"/>
              <w:left w:val="single" w:color="auto" w:sz="4" w:space="0"/>
              <w:bottom w:val="single" w:color="auto" w:sz="4" w:space="0"/>
              <w:right w:val="single" w:color="auto" w:sz="4" w:space="0"/>
            </w:tcBorders>
            <w:vAlign w:val="center"/>
          </w:tcPr>
          <w:p w14:paraId="59B2045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运行时间检测</w:t>
            </w:r>
          </w:p>
        </w:tc>
      </w:tr>
      <w:tr w14:paraId="221C2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37E5CE4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轿厢出口检测</w:t>
            </w:r>
          </w:p>
        </w:tc>
        <w:tc>
          <w:tcPr>
            <w:tcW w:w="1259" w:type="pct"/>
            <w:tcBorders>
              <w:top w:val="single" w:color="auto" w:sz="4" w:space="0"/>
              <w:left w:val="single" w:color="auto" w:sz="4" w:space="0"/>
              <w:bottom w:val="single" w:color="auto" w:sz="4" w:space="0"/>
              <w:right w:val="single" w:color="auto" w:sz="4" w:space="0"/>
            </w:tcBorders>
            <w:vAlign w:val="center"/>
          </w:tcPr>
          <w:p w14:paraId="5F79D23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井道出口检测</w:t>
            </w:r>
          </w:p>
        </w:tc>
        <w:tc>
          <w:tcPr>
            <w:tcW w:w="1236" w:type="pct"/>
            <w:tcBorders>
              <w:top w:val="single" w:color="auto" w:sz="4" w:space="0"/>
              <w:left w:val="single" w:color="auto" w:sz="4" w:space="0"/>
              <w:bottom w:val="single" w:color="auto" w:sz="4" w:space="0"/>
              <w:right w:val="single" w:color="auto" w:sz="4" w:space="0"/>
            </w:tcBorders>
            <w:vAlign w:val="center"/>
          </w:tcPr>
          <w:p w14:paraId="5410262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底坑急停</w:t>
            </w:r>
          </w:p>
        </w:tc>
        <w:tc>
          <w:tcPr>
            <w:tcW w:w="1517" w:type="pct"/>
            <w:tcBorders>
              <w:top w:val="single" w:color="auto" w:sz="4" w:space="0"/>
              <w:left w:val="single" w:color="auto" w:sz="4" w:space="0"/>
              <w:bottom w:val="single" w:color="auto" w:sz="4" w:space="0"/>
              <w:right w:val="single" w:color="auto" w:sz="4" w:space="0"/>
            </w:tcBorders>
            <w:vAlign w:val="center"/>
          </w:tcPr>
          <w:p w14:paraId="562E74A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轿顶急停</w:t>
            </w:r>
          </w:p>
        </w:tc>
      </w:tr>
      <w:tr w14:paraId="77AEC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7D4D5A5F">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通讯评价</w:t>
            </w:r>
          </w:p>
        </w:tc>
        <w:tc>
          <w:tcPr>
            <w:tcW w:w="1259" w:type="pct"/>
            <w:tcBorders>
              <w:top w:val="single" w:color="auto" w:sz="4" w:space="0"/>
              <w:left w:val="single" w:color="auto" w:sz="4" w:space="0"/>
              <w:bottom w:val="single" w:color="auto" w:sz="4" w:space="0"/>
              <w:right w:val="single" w:color="auto" w:sz="4" w:space="0"/>
            </w:tcBorders>
            <w:vAlign w:val="center"/>
          </w:tcPr>
          <w:p w14:paraId="309F964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换站停靠</w:t>
            </w:r>
          </w:p>
        </w:tc>
        <w:tc>
          <w:tcPr>
            <w:tcW w:w="1236" w:type="pct"/>
            <w:tcBorders>
              <w:top w:val="single" w:color="auto" w:sz="4" w:space="0"/>
              <w:left w:val="single" w:color="auto" w:sz="4" w:space="0"/>
              <w:bottom w:val="single" w:color="auto" w:sz="4" w:space="0"/>
              <w:right w:val="single" w:color="auto" w:sz="4" w:space="0"/>
            </w:tcBorders>
            <w:vAlign w:val="center"/>
          </w:tcPr>
          <w:p w14:paraId="3CBF7FA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控制柜外呼</w:t>
            </w:r>
          </w:p>
        </w:tc>
        <w:tc>
          <w:tcPr>
            <w:tcW w:w="1517" w:type="pct"/>
            <w:tcBorders>
              <w:top w:val="single" w:color="auto" w:sz="4" w:space="0"/>
              <w:left w:val="single" w:color="auto" w:sz="4" w:space="0"/>
              <w:bottom w:val="single" w:color="auto" w:sz="4" w:space="0"/>
              <w:right w:val="single" w:color="auto" w:sz="4" w:space="0"/>
            </w:tcBorders>
            <w:vAlign w:val="center"/>
          </w:tcPr>
          <w:p w14:paraId="4F4D785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井道主安全开关</w:t>
            </w:r>
          </w:p>
        </w:tc>
      </w:tr>
      <w:tr w14:paraId="5F99C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6420F30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过热保护</w:t>
            </w:r>
          </w:p>
        </w:tc>
        <w:tc>
          <w:tcPr>
            <w:tcW w:w="1259" w:type="pct"/>
            <w:tcBorders>
              <w:top w:val="single" w:color="auto" w:sz="4" w:space="0"/>
              <w:left w:val="single" w:color="auto" w:sz="4" w:space="0"/>
              <w:bottom w:val="single" w:color="auto" w:sz="4" w:space="0"/>
              <w:right w:val="single" w:color="auto" w:sz="4" w:space="0"/>
            </w:tcBorders>
            <w:vAlign w:val="center"/>
          </w:tcPr>
          <w:p w14:paraId="149B5EF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行程保护</w:t>
            </w:r>
          </w:p>
        </w:tc>
        <w:tc>
          <w:tcPr>
            <w:tcW w:w="1236" w:type="pct"/>
            <w:tcBorders>
              <w:top w:val="single" w:color="auto" w:sz="4" w:space="0"/>
              <w:left w:val="single" w:color="auto" w:sz="4" w:space="0"/>
              <w:bottom w:val="single" w:color="auto" w:sz="4" w:space="0"/>
              <w:right w:val="single" w:color="auto" w:sz="4" w:space="0"/>
            </w:tcBorders>
            <w:vAlign w:val="center"/>
          </w:tcPr>
          <w:p w14:paraId="15F4F3B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限速器安全开关</w:t>
            </w:r>
          </w:p>
        </w:tc>
        <w:tc>
          <w:tcPr>
            <w:tcW w:w="1517" w:type="pct"/>
            <w:tcBorders>
              <w:top w:val="single" w:color="auto" w:sz="4" w:space="0"/>
              <w:left w:val="single" w:color="auto" w:sz="4" w:space="0"/>
              <w:bottom w:val="single" w:color="auto" w:sz="4" w:space="0"/>
              <w:right w:val="single" w:color="auto" w:sz="4" w:space="0"/>
            </w:tcBorders>
            <w:vAlign w:val="center"/>
          </w:tcPr>
          <w:p w14:paraId="2F9A6A9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优先放人</w:t>
            </w:r>
          </w:p>
        </w:tc>
      </w:tr>
      <w:tr w14:paraId="7058D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633EFF5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相位检测</w:t>
            </w:r>
          </w:p>
        </w:tc>
        <w:tc>
          <w:tcPr>
            <w:tcW w:w="1259" w:type="pct"/>
            <w:tcBorders>
              <w:top w:val="single" w:color="auto" w:sz="4" w:space="0"/>
              <w:left w:val="single" w:color="auto" w:sz="4" w:space="0"/>
              <w:bottom w:val="single" w:color="auto" w:sz="4" w:space="0"/>
              <w:right w:val="single" w:color="auto" w:sz="4" w:space="0"/>
            </w:tcBorders>
            <w:vAlign w:val="center"/>
          </w:tcPr>
          <w:p w14:paraId="1A75932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重复开关门</w:t>
            </w:r>
          </w:p>
        </w:tc>
        <w:tc>
          <w:tcPr>
            <w:tcW w:w="1236" w:type="pct"/>
            <w:tcBorders>
              <w:top w:val="single" w:color="auto" w:sz="4" w:space="0"/>
              <w:left w:val="single" w:color="auto" w:sz="4" w:space="0"/>
              <w:bottom w:val="single" w:color="auto" w:sz="4" w:space="0"/>
              <w:right w:val="single" w:color="auto" w:sz="4" w:space="0"/>
            </w:tcBorders>
            <w:vAlign w:val="center"/>
          </w:tcPr>
          <w:p w14:paraId="159B029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救援运行</w:t>
            </w:r>
          </w:p>
        </w:tc>
        <w:tc>
          <w:tcPr>
            <w:tcW w:w="1517" w:type="pct"/>
            <w:tcBorders>
              <w:top w:val="single" w:color="auto" w:sz="4" w:space="0"/>
              <w:left w:val="single" w:color="auto" w:sz="4" w:space="0"/>
              <w:bottom w:val="single" w:color="auto" w:sz="4" w:space="0"/>
              <w:right w:val="single" w:color="auto" w:sz="4" w:space="0"/>
            </w:tcBorders>
            <w:vAlign w:val="center"/>
          </w:tcPr>
          <w:p w14:paraId="790BC2A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故障自诊</w:t>
            </w:r>
          </w:p>
        </w:tc>
      </w:tr>
      <w:tr w14:paraId="699DD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582FCF5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安全钳安全开关</w:t>
            </w:r>
          </w:p>
        </w:tc>
        <w:tc>
          <w:tcPr>
            <w:tcW w:w="1259" w:type="pct"/>
            <w:tcBorders>
              <w:top w:val="single" w:color="auto" w:sz="4" w:space="0"/>
              <w:left w:val="single" w:color="auto" w:sz="4" w:space="0"/>
              <w:bottom w:val="single" w:color="auto" w:sz="4" w:space="0"/>
              <w:right w:val="single" w:color="auto" w:sz="4" w:space="0"/>
            </w:tcBorders>
            <w:vAlign w:val="center"/>
          </w:tcPr>
          <w:p w14:paraId="12A4177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故障分级</w:t>
            </w:r>
          </w:p>
        </w:tc>
        <w:tc>
          <w:tcPr>
            <w:tcW w:w="1236" w:type="pct"/>
            <w:tcBorders>
              <w:top w:val="single" w:color="auto" w:sz="4" w:space="0"/>
              <w:left w:val="single" w:color="auto" w:sz="4" w:space="0"/>
              <w:bottom w:val="single" w:color="auto" w:sz="4" w:space="0"/>
              <w:right w:val="single" w:color="auto" w:sz="4" w:space="0"/>
            </w:tcBorders>
            <w:vAlign w:val="center"/>
          </w:tcPr>
          <w:p w14:paraId="7881673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轿厢限速器绳</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涨紧安全开关</w:t>
            </w:r>
          </w:p>
        </w:tc>
        <w:tc>
          <w:tcPr>
            <w:tcW w:w="1517" w:type="pct"/>
            <w:tcBorders>
              <w:top w:val="single" w:color="auto" w:sz="4" w:space="0"/>
              <w:left w:val="single" w:color="auto" w:sz="4" w:space="0"/>
              <w:bottom w:val="single" w:color="auto" w:sz="4" w:space="0"/>
              <w:right w:val="single" w:color="auto" w:sz="4" w:space="0"/>
            </w:tcBorders>
            <w:vAlign w:val="center"/>
          </w:tcPr>
          <w:p w14:paraId="23B16EE0">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轿厢意外移动防护</w:t>
            </w:r>
          </w:p>
        </w:tc>
      </w:tr>
      <w:tr w14:paraId="41B5F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0152BDD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消防待用</w:t>
            </w:r>
          </w:p>
        </w:tc>
        <w:tc>
          <w:tcPr>
            <w:tcW w:w="1259" w:type="pct"/>
            <w:tcBorders>
              <w:top w:val="single" w:color="auto" w:sz="4" w:space="0"/>
              <w:left w:val="single" w:color="auto" w:sz="4" w:space="0"/>
              <w:bottom w:val="single" w:color="auto" w:sz="4" w:space="0"/>
              <w:right w:val="single" w:color="auto" w:sz="4" w:space="0"/>
            </w:tcBorders>
            <w:vAlign w:val="center"/>
          </w:tcPr>
          <w:p w14:paraId="33C93BB7">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消防停用</w:t>
            </w:r>
          </w:p>
        </w:tc>
        <w:tc>
          <w:tcPr>
            <w:tcW w:w="1236" w:type="pct"/>
            <w:tcBorders>
              <w:top w:val="single" w:color="auto" w:sz="4" w:space="0"/>
              <w:left w:val="single" w:color="auto" w:sz="4" w:space="0"/>
              <w:bottom w:val="single" w:color="auto" w:sz="4" w:space="0"/>
              <w:right w:val="single" w:color="auto" w:sz="4" w:space="0"/>
            </w:tcBorders>
            <w:vAlign w:val="center"/>
          </w:tcPr>
          <w:p w14:paraId="7BA0E64C">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消防运行</w:t>
            </w:r>
          </w:p>
        </w:tc>
        <w:tc>
          <w:tcPr>
            <w:tcW w:w="1517" w:type="pct"/>
            <w:tcBorders>
              <w:top w:val="single" w:color="auto" w:sz="4" w:space="0"/>
              <w:left w:val="single" w:color="auto" w:sz="4" w:space="0"/>
              <w:bottom w:val="single" w:color="auto" w:sz="4" w:space="0"/>
              <w:right w:val="single" w:color="auto" w:sz="4" w:space="0"/>
            </w:tcBorders>
            <w:vAlign w:val="center"/>
          </w:tcPr>
          <w:p w14:paraId="2399019E">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同步运行</w:t>
            </w:r>
          </w:p>
        </w:tc>
      </w:tr>
      <w:tr w14:paraId="7BD82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4A6CAD7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应急照明</w:t>
            </w:r>
          </w:p>
        </w:tc>
        <w:tc>
          <w:tcPr>
            <w:tcW w:w="1259" w:type="pct"/>
            <w:tcBorders>
              <w:top w:val="single" w:color="auto" w:sz="4" w:space="0"/>
              <w:left w:val="single" w:color="auto" w:sz="4" w:space="0"/>
              <w:bottom w:val="single" w:color="auto" w:sz="4" w:space="0"/>
              <w:right w:val="single" w:color="auto" w:sz="4" w:space="0"/>
            </w:tcBorders>
            <w:vAlign w:val="center"/>
          </w:tcPr>
          <w:p w14:paraId="213CAD81">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应急电源</w:t>
            </w:r>
          </w:p>
        </w:tc>
        <w:tc>
          <w:tcPr>
            <w:tcW w:w="1236" w:type="pct"/>
            <w:tcBorders>
              <w:top w:val="single" w:color="auto" w:sz="4" w:space="0"/>
              <w:left w:val="single" w:color="auto" w:sz="4" w:space="0"/>
              <w:bottom w:val="single" w:color="auto" w:sz="4" w:space="0"/>
              <w:right w:val="single" w:color="auto" w:sz="4" w:space="0"/>
            </w:tcBorders>
            <w:vAlign w:val="center"/>
          </w:tcPr>
          <w:p w14:paraId="712606FD">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紧急电源</w:t>
            </w:r>
          </w:p>
        </w:tc>
        <w:tc>
          <w:tcPr>
            <w:tcW w:w="1517" w:type="pct"/>
            <w:tcBorders>
              <w:top w:val="single" w:color="auto" w:sz="4" w:space="0"/>
              <w:left w:val="single" w:color="auto" w:sz="4" w:space="0"/>
              <w:bottom w:val="single" w:color="auto" w:sz="4" w:space="0"/>
              <w:right w:val="single" w:color="auto" w:sz="4" w:space="0"/>
            </w:tcBorders>
            <w:vAlign w:val="center"/>
          </w:tcPr>
          <w:p w14:paraId="14F56028">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应急平层</w:t>
            </w:r>
          </w:p>
        </w:tc>
      </w:tr>
      <w:tr w14:paraId="58F78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4280099A">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轿顶警铃</w:t>
            </w:r>
          </w:p>
        </w:tc>
        <w:tc>
          <w:tcPr>
            <w:tcW w:w="1259" w:type="pct"/>
            <w:tcBorders>
              <w:top w:val="single" w:color="auto" w:sz="4" w:space="0"/>
              <w:left w:val="single" w:color="auto" w:sz="4" w:space="0"/>
              <w:bottom w:val="single" w:color="auto" w:sz="4" w:space="0"/>
              <w:right w:val="single" w:color="auto" w:sz="4" w:space="0"/>
            </w:tcBorders>
            <w:vAlign w:val="center"/>
          </w:tcPr>
          <w:p w14:paraId="474AB801">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五方通话</w:t>
            </w:r>
          </w:p>
        </w:tc>
        <w:tc>
          <w:tcPr>
            <w:tcW w:w="1236" w:type="pct"/>
            <w:tcBorders>
              <w:top w:val="single" w:color="auto" w:sz="4" w:space="0"/>
              <w:left w:val="single" w:color="auto" w:sz="4" w:space="0"/>
              <w:bottom w:val="single" w:color="auto" w:sz="4" w:space="0"/>
              <w:right w:val="single" w:color="auto" w:sz="4" w:space="0"/>
            </w:tcBorders>
            <w:vAlign w:val="center"/>
          </w:tcPr>
          <w:p w14:paraId="383BD65C">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多方通话</w:t>
            </w:r>
          </w:p>
        </w:tc>
        <w:tc>
          <w:tcPr>
            <w:tcW w:w="1517" w:type="pct"/>
            <w:tcBorders>
              <w:top w:val="single" w:color="auto" w:sz="4" w:space="0"/>
              <w:left w:val="single" w:color="auto" w:sz="4" w:space="0"/>
              <w:bottom w:val="single" w:color="auto" w:sz="4" w:space="0"/>
              <w:right w:val="single" w:color="auto" w:sz="4" w:space="0"/>
            </w:tcBorders>
            <w:vAlign w:val="center"/>
          </w:tcPr>
          <w:p w14:paraId="00C16FF9">
            <w:pPr>
              <w:spacing w:line="360" w:lineRule="auto"/>
              <w:jc w:val="center"/>
              <w:rPr>
                <w:rFonts w:hint="eastAsia" w:ascii="宋体" w:hAnsi="宋体" w:eastAsia="宋体" w:cs="宋体"/>
                <w:sz w:val="24"/>
                <w:szCs w:val="24"/>
                <w:lang w:eastAsia="zh-CN"/>
              </w:rPr>
            </w:pPr>
          </w:p>
        </w:tc>
      </w:tr>
      <w:tr w14:paraId="02A1F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000" w:type="pct"/>
            <w:gridSpan w:val="4"/>
            <w:tcBorders>
              <w:top w:val="single" w:color="auto" w:sz="4" w:space="0"/>
              <w:left w:val="single" w:color="auto" w:sz="4" w:space="0"/>
              <w:bottom w:val="single" w:color="auto" w:sz="4" w:space="0"/>
              <w:right w:val="single" w:color="auto" w:sz="4" w:space="0"/>
            </w:tcBorders>
            <w:vAlign w:val="center"/>
          </w:tcPr>
          <w:p w14:paraId="610FD932">
            <w:pPr>
              <w:spacing w:line="360" w:lineRule="auto"/>
              <w:rPr>
                <w:rFonts w:hint="eastAsia" w:ascii="宋体" w:hAnsi="宋体" w:eastAsia="宋体" w:cs="宋体"/>
                <w:b/>
                <w:sz w:val="24"/>
                <w:szCs w:val="24"/>
                <w:lang w:eastAsia="zh-CN"/>
              </w:rPr>
            </w:pPr>
            <w:r>
              <w:rPr>
                <w:rFonts w:hint="eastAsia" w:ascii="宋体" w:hAnsi="宋体" w:eastAsia="宋体" w:cs="宋体"/>
                <w:b/>
                <w:sz w:val="24"/>
                <w:szCs w:val="24"/>
                <w:lang w:eastAsia="zh-CN"/>
              </w:rPr>
              <w:t>乘客舒适功能</w:t>
            </w:r>
          </w:p>
        </w:tc>
      </w:tr>
      <w:tr w14:paraId="18536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56DB7164">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精确再平层</w:t>
            </w:r>
          </w:p>
        </w:tc>
        <w:tc>
          <w:tcPr>
            <w:tcW w:w="1259" w:type="pct"/>
            <w:tcBorders>
              <w:top w:val="single" w:color="auto" w:sz="4" w:space="0"/>
              <w:left w:val="single" w:color="auto" w:sz="4" w:space="0"/>
              <w:bottom w:val="single" w:color="auto" w:sz="4" w:space="0"/>
              <w:right w:val="single" w:color="auto" w:sz="4" w:space="0"/>
            </w:tcBorders>
            <w:vAlign w:val="center"/>
          </w:tcPr>
          <w:p w14:paraId="0A12A73D">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提前开门</w:t>
            </w:r>
          </w:p>
        </w:tc>
        <w:tc>
          <w:tcPr>
            <w:tcW w:w="1236" w:type="pct"/>
            <w:tcBorders>
              <w:top w:val="single" w:color="auto" w:sz="4" w:space="0"/>
              <w:left w:val="single" w:color="auto" w:sz="4" w:space="0"/>
              <w:bottom w:val="single" w:color="auto" w:sz="4" w:space="0"/>
              <w:right w:val="single" w:color="auto" w:sz="4" w:space="0"/>
            </w:tcBorders>
            <w:vAlign w:val="center"/>
          </w:tcPr>
          <w:p w14:paraId="7FDF9415">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检修开关门</w:t>
            </w:r>
          </w:p>
        </w:tc>
        <w:tc>
          <w:tcPr>
            <w:tcW w:w="1517" w:type="pct"/>
            <w:tcBorders>
              <w:top w:val="single" w:color="auto" w:sz="4" w:space="0"/>
              <w:left w:val="single" w:color="auto" w:sz="4" w:space="0"/>
              <w:bottom w:val="single" w:color="auto" w:sz="4" w:space="0"/>
              <w:right w:val="single" w:color="auto" w:sz="4" w:space="0"/>
            </w:tcBorders>
            <w:vAlign w:val="center"/>
          </w:tcPr>
          <w:p w14:paraId="1D3FC294">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轿内关门</w:t>
            </w:r>
          </w:p>
        </w:tc>
      </w:tr>
      <w:tr w14:paraId="7DB3A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0FB10069">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轿内开门</w:t>
            </w:r>
          </w:p>
        </w:tc>
        <w:tc>
          <w:tcPr>
            <w:tcW w:w="1259" w:type="pct"/>
            <w:tcBorders>
              <w:top w:val="single" w:color="auto" w:sz="4" w:space="0"/>
              <w:left w:val="single" w:color="auto" w:sz="4" w:space="0"/>
              <w:bottom w:val="single" w:color="auto" w:sz="4" w:space="0"/>
              <w:right w:val="single" w:color="auto" w:sz="4" w:space="0"/>
            </w:tcBorders>
            <w:vAlign w:val="center"/>
          </w:tcPr>
          <w:p w14:paraId="625C13DA">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强制关门</w:t>
            </w:r>
          </w:p>
        </w:tc>
        <w:tc>
          <w:tcPr>
            <w:tcW w:w="1236" w:type="pct"/>
            <w:tcBorders>
              <w:top w:val="single" w:color="auto" w:sz="4" w:space="0"/>
              <w:left w:val="single" w:color="auto" w:sz="4" w:space="0"/>
              <w:bottom w:val="single" w:color="auto" w:sz="4" w:space="0"/>
              <w:right w:val="single" w:color="auto" w:sz="4" w:space="0"/>
            </w:tcBorders>
            <w:vAlign w:val="center"/>
          </w:tcPr>
          <w:p w14:paraId="2D2E16DC">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快速关门</w:t>
            </w:r>
          </w:p>
        </w:tc>
        <w:tc>
          <w:tcPr>
            <w:tcW w:w="1517" w:type="pct"/>
            <w:tcBorders>
              <w:top w:val="single" w:color="auto" w:sz="4" w:space="0"/>
              <w:left w:val="single" w:color="auto" w:sz="4" w:space="0"/>
              <w:bottom w:val="single" w:color="auto" w:sz="4" w:space="0"/>
              <w:right w:val="single" w:color="auto" w:sz="4" w:space="0"/>
            </w:tcBorders>
            <w:vAlign w:val="center"/>
          </w:tcPr>
          <w:p w14:paraId="01101B67">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启动外呼响应</w:t>
            </w:r>
          </w:p>
        </w:tc>
      </w:tr>
      <w:tr w14:paraId="70AD0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7BE859B4">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外呼重开门</w:t>
            </w:r>
          </w:p>
        </w:tc>
        <w:tc>
          <w:tcPr>
            <w:tcW w:w="1259" w:type="pct"/>
            <w:tcBorders>
              <w:top w:val="single" w:color="auto" w:sz="4" w:space="0"/>
              <w:left w:val="single" w:color="auto" w:sz="4" w:space="0"/>
              <w:bottom w:val="single" w:color="auto" w:sz="4" w:space="0"/>
              <w:right w:val="single" w:color="auto" w:sz="4" w:space="0"/>
            </w:tcBorders>
            <w:vAlign w:val="center"/>
          </w:tcPr>
          <w:p w14:paraId="5713037A">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光幕检测</w:t>
            </w:r>
          </w:p>
        </w:tc>
        <w:tc>
          <w:tcPr>
            <w:tcW w:w="1236" w:type="pct"/>
            <w:tcBorders>
              <w:top w:val="single" w:color="auto" w:sz="4" w:space="0"/>
              <w:left w:val="single" w:color="auto" w:sz="4" w:space="0"/>
              <w:bottom w:val="single" w:color="auto" w:sz="4" w:space="0"/>
              <w:right w:val="single" w:color="auto" w:sz="4" w:space="0"/>
            </w:tcBorders>
            <w:vAlign w:val="center"/>
          </w:tcPr>
          <w:p w14:paraId="2E284AAE">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自救运行</w:t>
            </w:r>
          </w:p>
        </w:tc>
        <w:tc>
          <w:tcPr>
            <w:tcW w:w="1517" w:type="pct"/>
            <w:tcBorders>
              <w:top w:val="single" w:color="auto" w:sz="4" w:space="0"/>
              <w:left w:val="single" w:color="auto" w:sz="4" w:space="0"/>
              <w:bottom w:val="single" w:color="auto" w:sz="4" w:space="0"/>
              <w:right w:val="single" w:color="auto" w:sz="4" w:space="0"/>
            </w:tcBorders>
            <w:vAlign w:val="center"/>
          </w:tcPr>
          <w:p w14:paraId="2E321232">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反向内呼</w:t>
            </w:r>
          </w:p>
        </w:tc>
      </w:tr>
      <w:tr w14:paraId="52E78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05F0E915">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指令消除</w:t>
            </w:r>
          </w:p>
        </w:tc>
        <w:tc>
          <w:tcPr>
            <w:tcW w:w="1259" w:type="pct"/>
            <w:tcBorders>
              <w:top w:val="single" w:color="auto" w:sz="4" w:space="0"/>
              <w:left w:val="single" w:color="auto" w:sz="4" w:space="0"/>
              <w:bottom w:val="single" w:color="auto" w:sz="4" w:space="0"/>
              <w:right w:val="single" w:color="auto" w:sz="4" w:space="0"/>
            </w:tcBorders>
            <w:vAlign w:val="center"/>
          </w:tcPr>
          <w:p w14:paraId="5620F14E">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内呼防捣乱</w:t>
            </w:r>
          </w:p>
        </w:tc>
        <w:tc>
          <w:tcPr>
            <w:tcW w:w="1236" w:type="pct"/>
            <w:tcBorders>
              <w:top w:val="single" w:color="auto" w:sz="4" w:space="0"/>
              <w:left w:val="single" w:color="auto" w:sz="4" w:space="0"/>
              <w:bottom w:val="single" w:color="auto" w:sz="4" w:space="0"/>
              <w:right w:val="single" w:color="auto" w:sz="4" w:space="0"/>
            </w:tcBorders>
            <w:vAlign w:val="center"/>
          </w:tcPr>
          <w:p w14:paraId="5D416093">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外呼互锁</w:t>
            </w:r>
          </w:p>
        </w:tc>
        <w:tc>
          <w:tcPr>
            <w:tcW w:w="1517" w:type="pct"/>
            <w:tcBorders>
              <w:top w:val="single" w:color="auto" w:sz="4" w:space="0"/>
              <w:left w:val="single" w:color="auto" w:sz="4" w:space="0"/>
              <w:bottom w:val="single" w:color="auto" w:sz="4" w:space="0"/>
              <w:right w:val="single" w:color="auto" w:sz="4" w:space="0"/>
            </w:tcBorders>
            <w:vAlign w:val="center"/>
          </w:tcPr>
          <w:p w14:paraId="285E7B57">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按钮防粘连</w:t>
            </w:r>
          </w:p>
        </w:tc>
      </w:tr>
      <w:tr w14:paraId="631CC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2125EC4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自动生成曲线</w:t>
            </w:r>
          </w:p>
        </w:tc>
        <w:tc>
          <w:tcPr>
            <w:tcW w:w="1259" w:type="pct"/>
            <w:tcBorders>
              <w:top w:val="single" w:color="auto" w:sz="4" w:space="0"/>
              <w:left w:val="single" w:color="auto" w:sz="4" w:space="0"/>
              <w:bottom w:val="single" w:color="auto" w:sz="4" w:space="0"/>
              <w:right w:val="single" w:color="auto" w:sz="4" w:space="0"/>
            </w:tcBorders>
            <w:vAlign w:val="center"/>
          </w:tcPr>
          <w:p w14:paraId="634E4D4E">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直接停靠</w:t>
            </w:r>
          </w:p>
        </w:tc>
        <w:tc>
          <w:tcPr>
            <w:tcW w:w="1236" w:type="pct"/>
            <w:tcBorders>
              <w:top w:val="single" w:color="auto" w:sz="4" w:space="0"/>
              <w:left w:val="single" w:color="auto" w:sz="4" w:space="0"/>
              <w:bottom w:val="single" w:color="auto" w:sz="4" w:space="0"/>
              <w:right w:val="single" w:color="auto" w:sz="4" w:space="0"/>
            </w:tcBorders>
            <w:vAlign w:val="center"/>
          </w:tcPr>
          <w:p w14:paraId="0B0917B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轿厢照明节能</w:t>
            </w:r>
          </w:p>
        </w:tc>
        <w:tc>
          <w:tcPr>
            <w:tcW w:w="1517" w:type="pct"/>
            <w:tcBorders>
              <w:top w:val="single" w:color="auto" w:sz="4" w:space="0"/>
              <w:left w:val="single" w:color="auto" w:sz="4" w:space="0"/>
              <w:bottom w:val="single" w:color="auto" w:sz="4" w:space="0"/>
              <w:right w:val="single" w:color="auto" w:sz="4" w:space="0"/>
            </w:tcBorders>
            <w:vAlign w:val="center"/>
          </w:tcPr>
          <w:p w14:paraId="4AE608C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轿厢通风节能</w:t>
            </w:r>
          </w:p>
        </w:tc>
      </w:tr>
      <w:tr w14:paraId="2C2A5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25D5B7F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启动补偿</w:t>
            </w:r>
          </w:p>
        </w:tc>
        <w:tc>
          <w:tcPr>
            <w:tcW w:w="1259" w:type="pct"/>
            <w:tcBorders>
              <w:top w:val="single" w:color="auto" w:sz="4" w:space="0"/>
              <w:left w:val="single" w:color="auto" w:sz="4" w:space="0"/>
              <w:bottom w:val="single" w:color="auto" w:sz="4" w:space="0"/>
              <w:right w:val="single" w:color="auto" w:sz="4" w:space="0"/>
            </w:tcBorders>
            <w:vAlign w:val="center"/>
          </w:tcPr>
          <w:p w14:paraId="19305537">
            <w:pPr>
              <w:spacing w:line="360" w:lineRule="auto"/>
              <w:jc w:val="center"/>
              <w:rPr>
                <w:rFonts w:hint="eastAsia" w:ascii="宋体" w:hAnsi="宋体" w:eastAsia="宋体" w:cs="宋体"/>
                <w:sz w:val="24"/>
                <w:szCs w:val="24"/>
                <w:lang w:eastAsia="zh-CN"/>
              </w:rPr>
            </w:pPr>
          </w:p>
        </w:tc>
        <w:tc>
          <w:tcPr>
            <w:tcW w:w="1236" w:type="pct"/>
            <w:tcBorders>
              <w:top w:val="single" w:color="auto" w:sz="4" w:space="0"/>
              <w:left w:val="single" w:color="auto" w:sz="4" w:space="0"/>
              <w:bottom w:val="single" w:color="auto" w:sz="4" w:space="0"/>
              <w:right w:val="single" w:color="auto" w:sz="4" w:space="0"/>
            </w:tcBorders>
            <w:vAlign w:val="center"/>
          </w:tcPr>
          <w:p w14:paraId="70E24C51">
            <w:pPr>
              <w:spacing w:line="360" w:lineRule="auto"/>
              <w:jc w:val="center"/>
              <w:rPr>
                <w:rFonts w:hint="eastAsia" w:ascii="宋体" w:hAnsi="宋体" w:eastAsia="宋体" w:cs="宋体"/>
                <w:sz w:val="24"/>
                <w:szCs w:val="24"/>
                <w:lang w:eastAsia="zh-CN"/>
              </w:rPr>
            </w:pPr>
          </w:p>
        </w:tc>
        <w:tc>
          <w:tcPr>
            <w:tcW w:w="1517" w:type="pct"/>
            <w:tcBorders>
              <w:top w:val="single" w:color="auto" w:sz="4" w:space="0"/>
              <w:left w:val="single" w:color="auto" w:sz="4" w:space="0"/>
              <w:bottom w:val="single" w:color="auto" w:sz="4" w:space="0"/>
              <w:right w:val="single" w:color="auto" w:sz="4" w:space="0"/>
            </w:tcBorders>
            <w:vAlign w:val="center"/>
          </w:tcPr>
          <w:p w14:paraId="70FC537E">
            <w:pPr>
              <w:spacing w:line="360" w:lineRule="auto"/>
              <w:jc w:val="center"/>
              <w:rPr>
                <w:rFonts w:hint="eastAsia" w:ascii="宋体" w:hAnsi="宋体" w:eastAsia="宋体" w:cs="宋体"/>
                <w:sz w:val="24"/>
                <w:szCs w:val="24"/>
                <w:lang w:eastAsia="zh-CN"/>
              </w:rPr>
            </w:pPr>
          </w:p>
        </w:tc>
      </w:tr>
      <w:tr w14:paraId="15948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000" w:type="pct"/>
            <w:gridSpan w:val="4"/>
            <w:tcBorders>
              <w:top w:val="single" w:color="auto" w:sz="4" w:space="0"/>
              <w:left w:val="single" w:color="auto" w:sz="4" w:space="0"/>
              <w:bottom w:val="single" w:color="auto" w:sz="4" w:space="0"/>
              <w:right w:val="single" w:color="auto" w:sz="4" w:space="0"/>
            </w:tcBorders>
            <w:vAlign w:val="center"/>
          </w:tcPr>
          <w:p w14:paraId="028B33B6">
            <w:pPr>
              <w:spacing w:line="360" w:lineRule="auto"/>
              <w:rPr>
                <w:rFonts w:hint="eastAsia" w:ascii="宋体" w:hAnsi="宋体" w:eastAsia="宋体" w:cs="宋体"/>
                <w:b/>
                <w:sz w:val="24"/>
                <w:szCs w:val="24"/>
                <w:lang w:eastAsia="zh-CN"/>
              </w:rPr>
            </w:pPr>
            <w:r>
              <w:rPr>
                <w:rFonts w:hint="eastAsia" w:ascii="宋体" w:hAnsi="宋体" w:eastAsia="宋体" w:cs="宋体"/>
                <w:b/>
                <w:sz w:val="24"/>
                <w:szCs w:val="24"/>
                <w:lang w:eastAsia="zh-CN"/>
              </w:rPr>
              <w:t>控制功能</w:t>
            </w:r>
          </w:p>
        </w:tc>
      </w:tr>
      <w:tr w14:paraId="3ACF3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329F4DD1">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司机功能</w:t>
            </w:r>
          </w:p>
        </w:tc>
        <w:tc>
          <w:tcPr>
            <w:tcW w:w="1259" w:type="pct"/>
            <w:tcBorders>
              <w:top w:val="single" w:color="auto" w:sz="4" w:space="0"/>
              <w:left w:val="single" w:color="auto" w:sz="4" w:space="0"/>
              <w:bottom w:val="single" w:color="auto" w:sz="4" w:space="0"/>
              <w:right w:val="single" w:color="auto" w:sz="4" w:space="0"/>
            </w:tcBorders>
            <w:vAlign w:val="center"/>
          </w:tcPr>
          <w:p w14:paraId="3769C90C">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音频接口</w:t>
            </w:r>
          </w:p>
        </w:tc>
        <w:tc>
          <w:tcPr>
            <w:tcW w:w="1236" w:type="pct"/>
            <w:tcBorders>
              <w:top w:val="single" w:color="auto" w:sz="4" w:space="0"/>
              <w:left w:val="single" w:color="auto" w:sz="4" w:space="0"/>
              <w:bottom w:val="single" w:color="auto" w:sz="4" w:space="0"/>
              <w:right w:val="single" w:color="auto" w:sz="4" w:space="0"/>
            </w:tcBorders>
            <w:vAlign w:val="center"/>
          </w:tcPr>
          <w:p w14:paraId="0DF719B3">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IC卡</w:t>
            </w:r>
          </w:p>
        </w:tc>
        <w:tc>
          <w:tcPr>
            <w:tcW w:w="1517" w:type="pct"/>
            <w:tcBorders>
              <w:top w:val="single" w:color="auto" w:sz="4" w:space="0"/>
              <w:left w:val="single" w:color="auto" w:sz="4" w:space="0"/>
              <w:bottom w:val="single" w:color="auto" w:sz="4" w:space="0"/>
              <w:right w:val="single" w:color="auto" w:sz="4" w:space="0"/>
            </w:tcBorders>
            <w:vAlign w:val="center"/>
          </w:tcPr>
          <w:p w14:paraId="462BDE4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强制停靠</w:t>
            </w:r>
          </w:p>
        </w:tc>
      </w:tr>
      <w:tr w14:paraId="283E0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6E851F62">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视频接口</w:t>
            </w:r>
          </w:p>
        </w:tc>
        <w:tc>
          <w:tcPr>
            <w:tcW w:w="1259" w:type="pct"/>
            <w:tcBorders>
              <w:top w:val="single" w:color="auto" w:sz="4" w:space="0"/>
              <w:left w:val="single" w:color="auto" w:sz="4" w:space="0"/>
              <w:bottom w:val="single" w:color="auto" w:sz="4" w:space="0"/>
              <w:right w:val="single" w:color="auto" w:sz="4" w:space="0"/>
            </w:tcBorders>
            <w:vAlign w:val="center"/>
          </w:tcPr>
          <w:p w14:paraId="4D95752F">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开门延时</w:t>
            </w:r>
          </w:p>
        </w:tc>
        <w:tc>
          <w:tcPr>
            <w:tcW w:w="1236" w:type="pct"/>
            <w:tcBorders>
              <w:top w:val="single" w:color="auto" w:sz="4" w:space="0"/>
              <w:left w:val="single" w:color="auto" w:sz="4" w:space="0"/>
              <w:bottom w:val="single" w:color="auto" w:sz="4" w:space="0"/>
              <w:right w:val="single" w:color="auto" w:sz="4" w:space="0"/>
            </w:tcBorders>
            <w:vAlign w:val="center"/>
          </w:tcPr>
          <w:p w14:paraId="34784E10">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地震检测</w:t>
            </w:r>
          </w:p>
        </w:tc>
        <w:tc>
          <w:tcPr>
            <w:tcW w:w="1517" w:type="pct"/>
            <w:tcBorders>
              <w:top w:val="single" w:color="auto" w:sz="4" w:space="0"/>
              <w:left w:val="single" w:color="auto" w:sz="4" w:space="0"/>
              <w:bottom w:val="single" w:color="auto" w:sz="4" w:space="0"/>
              <w:right w:val="single" w:color="auto" w:sz="4" w:space="0"/>
            </w:tcBorders>
            <w:vAlign w:val="center"/>
          </w:tcPr>
          <w:p w14:paraId="06025EBE">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能量反馈</w:t>
            </w:r>
          </w:p>
        </w:tc>
      </w:tr>
      <w:tr w14:paraId="0537B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2872CD28">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快速召回</w:t>
            </w:r>
          </w:p>
        </w:tc>
        <w:tc>
          <w:tcPr>
            <w:tcW w:w="1259" w:type="pct"/>
            <w:tcBorders>
              <w:top w:val="single" w:color="auto" w:sz="4" w:space="0"/>
              <w:left w:val="single" w:color="auto" w:sz="4" w:space="0"/>
              <w:bottom w:val="single" w:color="auto" w:sz="4" w:space="0"/>
              <w:right w:val="single" w:color="auto" w:sz="4" w:space="0"/>
            </w:tcBorders>
            <w:vAlign w:val="center"/>
          </w:tcPr>
          <w:p w14:paraId="69D9A683">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内呼锁定</w:t>
            </w:r>
          </w:p>
        </w:tc>
        <w:tc>
          <w:tcPr>
            <w:tcW w:w="1236" w:type="pct"/>
            <w:tcBorders>
              <w:top w:val="single" w:color="auto" w:sz="4" w:space="0"/>
              <w:left w:val="single" w:color="auto" w:sz="4" w:space="0"/>
              <w:bottom w:val="single" w:color="auto" w:sz="4" w:space="0"/>
              <w:right w:val="single" w:color="auto" w:sz="4" w:space="0"/>
            </w:tcBorders>
            <w:vAlign w:val="center"/>
          </w:tcPr>
          <w:p w14:paraId="75480ADF">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外呼锁定</w:t>
            </w:r>
          </w:p>
        </w:tc>
        <w:tc>
          <w:tcPr>
            <w:tcW w:w="1517" w:type="pct"/>
            <w:tcBorders>
              <w:top w:val="single" w:color="auto" w:sz="4" w:space="0"/>
              <w:left w:val="single" w:color="auto" w:sz="4" w:space="0"/>
              <w:bottom w:val="single" w:color="auto" w:sz="4" w:space="0"/>
              <w:right w:val="single" w:color="auto" w:sz="4" w:space="0"/>
            </w:tcBorders>
            <w:vAlign w:val="center"/>
          </w:tcPr>
          <w:p w14:paraId="1C0D070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轿厢退出</w:t>
            </w:r>
          </w:p>
        </w:tc>
      </w:tr>
      <w:tr w14:paraId="0052D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76B58233">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层站退出</w:t>
            </w:r>
          </w:p>
        </w:tc>
        <w:tc>
          <w:tcPr>
            <w:tcW w:w="1259" w:type="pct"/>
            <w:tcBorders>
              <w:top w:val="single" w:color="auto" w:sz="4" w:space="0"/>
              <w:left w:val="single" w:color="auto" w:sz="4" w:space="0"/>
              <w:bottom w:val="single" w:color="auto" w:sz="4" w:space="0"/>
              <w:right w:val="single" w:color="auto" w:sz="4" w:space="0"/>
            </w:tcBorders>
            <w:vAlign w:val="center"/>
          </w:tcPr>
          <w:p w14:paraId="4FC60C4E">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优先服务</w:t>
            </w:r>
          </w:p>
        </w:tc>
        <w:tc>
          <w:tcPr>
            <w:tcW w:w="1236" w:type="pct"/>
            <w:tcBorders>
              <w:top w:val="single" w:color="auto" w:sz="4" w:space="0"/>
              <w:left w:val="single" w:color="auto" w:sz="4" w:space="0"/>
              <w:bottom w:val="single" w:color="auto" w:sz="4" w:space="0"/>
              <w:right w:val="single" w:color="auto" w:sz="4" w:space="0"/>
            </w:tcBorders>
            <w:vAlign w:val="center"/>
          </w:tcPr>
          <w:p w14:paraId="1BB2B57E">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内呼优先（连续）</w:t>
            </w:r>
          </w:p>
        </w:tc>
        <w:tc>
          <w:tcPr>
            <w:tcW w:w="1517" w:type="pct"/>
            <w:tcBorders>
              <w:top w:val="single" w:color="auto" w:sz="4" w:space="0"/>
              <w:left w:val="single" w:color="auto" w:sz="4" w:space="0"/>
              <w:bottom w:val="single" w:color="auto" w:sz="4" w:space="0"/>
              <w:right w:val="single" w:color="auto" w:sz="4" w:space="0"/>
            </w:tcBorders>
            <w:vAlign w:val="center"/>
          </w:tcPr>
          <w:p w14:paraId="572E160A">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外呼优先</w:t>
            </w:r>
          </w:p>
        </w:tc>
      </w:tr>
      <w:tr w14:paraId="6E2D8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0188B8F9">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检修运行</w:t>
            </w:r>
          </w:p>
        </w:tc>
        <w:tc>
          <w:tcPr>
            <w:tcW w:w="1259" w:type="pct"/>
            <w:tcBorders>
              <w:top w:val="single" w:color="auto" w:sz="4" w:space="0"/>
              <w:left w:val="single" w:color="auto" w:sz="4" w:space="0"/>
              <w:bottom w:val="single" w:color="auto" w:sz="4" w:space="0"/>
              <w:right w:val="single" w:color="auto" w:sz="4" w:space="0"/>
            </w:tcBorders>
            <w:vAlign w:val="center"/>
          </w:tcPr>
          <w:p w14:paraId="3FC70CC4">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访客联动</w:t>
            </w:r>
          </w:p>
        </w:tc>
        <w:tc>
          <w:tcPr>
            <w:tcW w:w="1236" w:type="pct"/>
            <w:tcBorders>
              <w:top w:val="single" w:color="auto" w:sz="4" w:space="0"/>
              <w:left w:val="single" w:color="auto" w:sz="4" w:space="0"/>
              <w:bottom w:val="single" w:color="auto" w:sz="4" w:space="0"/>
              <w:right w:val="single" w:color="auto" w:sz="4" w:space="0"/>
            </w:tcBorders>
            <w:vAlign w:val="center"/>
          </w:tcPr>
          <w:p w14:paraId="2E117DA8">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自动驶离</w:t>
            </w:r>
          </w:p>
        </w:tc>
        <w:tc>
          <w:tcPr>
            <w:tcW w:w="1517" w:type="pct"/>
            <w:tcBorders>
              <w:top w:val="single" w:color="auto" w:sz="4" w:space="0"/>
              <w:left w:val="single" w:color="auto" w:sz="4" w:space="0"/>
              <w:bottom w:val="single" w:color="auto" w:sz="4" w:space="0"/>
              <w:right w:val="single" w:color="auto" w:sz="4" w:space="0"/>
            </w:tcBorders>
            <w:vAlign w:val="center"/>
          </w:tcPr>
          <w:p w14:paraId="1C119EC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空闲待客</w:t>
            </w:r>
          </w:p>
        </w:tc>
      </w:tr>
      <w:tr w14:paraId="1504D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016D8BBF">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空闲待客，次楼层</w:t>
            </w:r>
          </w:p>
        </w:tc>
        <w:tc>
          <w:tcPr>
            <w:tcW w:w="1259" w:type="pct"/>
            <w:tcBorders>
              <w:top w:val="single" w:color="auto" w:sz="4" w:space="0"/>
              <w:left w:val="single" w:color="auto" w:sz="4" w:space="0"/>
              <w:bottom w:val="single" w:color="auto" w:sz="4" w:space="0"/>
              <w:right w:val="single" w:color="auto" w:sz="4" w:space="0"/>
            </w:tcBorders>
            <w:vAlign w:val="center"/>
          </w:tcPr>
          <w:p w14:paraId="78B6FCD5">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满载直驶</w:t>
            </w:r>
          </w:p>
        </w:tc>
        <w:tc>
          <w:tcPr>
            <w:tcW w:w="1236" w:type="pct"/>
            <w:tcBorders>
              <w:top w:val="single" w:color="auto" w:sz="4" w:space="0"/>
              <w:left w:val="single" w:color="auto" w:sz="4" w:space="0"/>
              <w:bottom w:val="single" w:color="auto" w:sz="4" w:space="0"/>
              <w:right w:val="single" w:color="auto" w:sz="4" w:space="0"/>
            </w:tcBorders>
            <w:vAlign w:val="center"/>
          </w:tcPr>
          <w:p w14:paraId="1469ABFA">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并联运行</w:t>
            </w:r>
          </w:p>
        </w:tc>
        <w:tc>
          <w:tcPr>
            <w:tcW w:w="1517" w:type="pct"/>
            <w:tcBorders>
              <w:top w:val="single" w:color="auto" w:sz="4" w:space="0"/>
              <w:left w:val="single" w:color="auto" w:sz="4" w:space="0"/>
              <w:bottom w:val="single" w:color="auto" w:sz="4" w:space="0"/>
              <w:right w:val="single" w:color="auto" w:sz="4" w:space="0"/>
            </w:tcBorders>
            <w:vAlign w:val="center"/>
          </w:tcPr>
          <w:p w14:paraId="1B4F3ED7">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群控运行</w:t>
            </w:r>
          </w:p>
        </w:tc>
      </w:tr>
      <w:tr w14:paraId="4D2C4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502A52B4">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下行高峰服务</w:t>
            </w:r>
          </w:p>
        </w:tc>
        <w:tc>
          <w:tcPr>
            <w:tcW w:w="1259" w:type="pct"/>
            <w:tcBorders>
              <w:top w:val="single" w:color="auto" w:sz="4" w:space="0"/>
              <w:left w:val="single" w:color="auto" w:sz="4" w:space="0"/>
              <w:bottom w:val="single" w:color="auto" w:sz="4" w:space="0"/>
              <w:right w:val="single" w:color="auto" w:sz="4" w:space="0"/>
            </w:tcBorders>
            <w:vAlign w:val="center"/>
          </w:tcPr>
          <w:p w14:paraId="6330A694">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上下行高峰服务</w:t>
            </w:r>
          </w:p>
        </w:tc>
        <w:tc>
          <w:tcPr>
            <w:tcW w:w="1236" w:type="pct"/>
            <w:tcBorders>
              <w:top w:val="single" w:color="auto" w:sz="4" w:space="0"/>
              <w:left w:val="single" w:color="auto" w:sz="4" w:space="0"/>
              <w:bottom w:val="single" w:color="auto" w:sz="4" w:space="0"/>
              <w:right w:val="single" w:color="auto" w:sz="4" w:space="0"/>
            </w:tcBorders>
            <w:vAlign w:val="center"/>
          </w:tcPr>
          <w:p w14:paraId="0DA9B178">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上行高峰服务</w:t>
            </w:r>
          </w:p>
        </w:tc>
        <w:tc>
          <w:tcPr>
            <w:tcW w:w="1517" w:type="pct"/>
            <w:tcBorders>
              <w:top w:val="single" w:color="auto" w:sz="4" w:space="0"/>
              <w:left w:val="single" w:color="auto" w:sz="4" w:space="0"/>
              <w:bottom w:val="single" w:color="auto" w:sz="4" w:space="0"/>
              <w:right w:val="single" w:color="auto" w:sz="4" w:space="0"/>
            </w:tcBorders>
            <w:vAlign w:val="center"/>
          </w:tcPr>
          <w:p w14:paraId="763DEEAB">
            <w:pPr>
              <w:spacing w:line="360" w:lineRule="auto"/>
              <w:jc w:val="center"/>
              <w:rPr>
                <w:rFonts w:hint="eastAsia" w:ascii="宋体" w:hAnsi="宋体" w:eastAsia="宋体" w:cs="宋体"/>
                <w:sz w:val="24"/>
                <w:szCs w:val="24"/>
                <w:lang w:eastAsia="zh-CN"/>
              </w:rPr>
            </w:pPr>
          </w:p>
        </w:tc>
      </w:tr>
      <w:tr w14:paraId="0E379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000" w:type="pct"/>
            <w:gridSpan w:val="4"/>
            <w:tcBorders>
              <w:top w:val="single" w:color="auto" w:sz="4" w:space="0"/>
              <w:left w:val="single" w:color="auto" w:sz="4" w:space="0"/>
              <w:bottom w:val="single" w:color="auto" w:sz="4" w:space="0"/>
              <w:right w:val="single" w:color="auto" w:sz="4" w:space="0"/>
            </w:tcBorders>
            <w:vAlign w:val="center"/>
          </w:tcPr>
          <w:p w14:paraId="7073E1CD">
            <w:pPr>
              <w:spacing w:line="360" w:lineRule="auto"/>
              <w:rPr>
                <w:rFonts w:hint="eastAsia" w:ascii="宋体" w:hAnsi="宋体" w:eastAsia="宋体" w:cs="宋体"/>
                <w:b/>
                <w:sz w:val="24"/>
                <w:szCs w:val="24"/>
                <w:lang w:eastAsia="zh-CN"/>
              </w:rPr>
            </w:pPr>
            <w:r>
              <w:rPr>
                <w:rFonts w:hint="eastAsia" w:ascii="宋体" w:hAnsi="宋体" w:eastAsia="宋体" w:cs="宋体"/>
                <w:b/>
                <w:sz w:val="24"/>
                <w:szCs w:val="24"/>
                <w:lang w:eastAsia="zh-CN"/>
              </w:rPr>
              <w:t>信息功能</w:t>
            </w:r>
          </w:p>
        </w:tc>
      </w:tr>
      <w:tr w14:paraId="59DA6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50D57C70">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满载显示</w:t>
            </w:r>
          </w:p>
        </w:tc>
        <w:tc>
          <w:tcPr>
            <w:tcW w:w="1259" w:type="pct"/>
            <w:tcBorders>
              <w:top w:val="single" w:color="auto" w:sz="4" w:space="0"/>
              <w:left w:val="single" w:color="auto" w:sz="4" w:space="0"/>
              <w:bottom w:val="single" w:color="auto" w:sz="4" w:space="0"/>
              <w:right w:val="single" w:color="auto" w:sz="4" w:space="0"/>
            </w:tcBorders>
            <w:vAlign w:val="center"/>
          </w:tcPr>
          <w:p w14:paraId="25494DD3">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轿厢位置，点阵</w:t>
            </w:r>
          </w:p>
        </w:tc>
        <w:tc>
          <w:tcPr>
            <w:tcW w:w="1236" w:type="pct"/>
            <w:tcBorders>
              <w:top w:val="single" w:color="auto" w:sz="4" w:space="0"/>
              <w:left w:val="single" w:color="auto" w:sz="4" w:space="0"/>
              <w:bottom w:val="single" w:color="auto" w:sz="4" w:space="0"/>
              <w:right w:val="single" w:color="auto" w:sz="4" w:space="0"/>
            </w:tcBorders>
            <w:vAlign w:val="center"/>
          </w:tcPr>
          <w:p w14:paraId="69019B39">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轿厢位置，七段码</w:t>
            </w:r>
          </w:p>
        </w:tc>
        <w:tc>
          <w:tcPr>
            <w:tcW w:w="1517" w:type="pct"/>
            <w:tcBorders>
              <w:top w:val="single" w:color="auto" w:sz="4" w:space="0"/>
              <w:left w:val="single" w:color="auto" w:sz="4" w:space="0"/>
              <w:bottom w:val="single" w:color="auto" w:sz="4" w:space="0"/>
              <w:right w:val="single" w:color="auto" w:sz="4" w:space="0"/>
            </w:tcBorders>
            <w:vAlign w:val="center"/>
          </w:tcPr>
          <w:p w14:paraId="7DD47BA9">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运行方向显示</w:t>
            </w:r>
          </w:p>
        </w:tc>
      </w:tr>
      <w:tr w14:paraId="1F0E0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65AE24E1">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外呼登记显示</w:t>
            </w:r>
          </w:p>
        </w:tc>
        <w:tc>
          <w:tcPr>
            <w:tcW w:w="1259" w:type="pct"/>
            <w:tcBorders>
              <w:top w:val="single" w:color="auto" w:sz="4" w:space="0"/>
              <w:left w:val="single" w:color="auto" w:sz="4" w:space="0"/>
              <w:bottom w:val="single" w:color="auto" w:sz="4" w:space="0"/>
              <w:right w:val="single" w:color="auto" w:sz="4" w:space="0"/>
            </w:tcBorders>
            <w:vAlign w:val="center"/>
          </w:tcPr>
          <w:p w14:paraId="6A86350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语音报站</w:t>
            </w:r>
          </w:p>
        </w:tc>
        <w:tc>
          <w:tcPr>
            <w:tcW w:w="1236" w:type="pct"/>
            <w:tcBorders>
              <w:top w:val="single" w:color="auto" w:sz="4" w:space="0"/>
              <w:left w:val="single" w:color="auto" w:sz="4" w:space="0"/>
              <w:bottom w:val="single" w:color="auto" w:sz="4" w:space="0"/>
              <w:right w:val="single" w:color="auto" w:sz="4" w:space="0"/>
            </w:tcBorders>
            <w:vAlign w:val="center"/>
          </w:tcPr>
          <w:p w14:paraId="4DB89DBC">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内呼显示</w:t>
            </w:r>
          </w:p>
        </w:tc>
        <w:tc>
          <w:tcPr>
            <w:tcW w:w="1517" w:type="pct"/>
            <w:tcBorders>
              <w:top w:val="single" w:color="auto" w:sz="4" w:space="0"/>
              <w:left w:val="single" w:color="auto" w:sz="4" w:space="0"/>
              <w:bottom w:val="single" w:color="auto" w:sz="4" w:space="0"/>
              <w:right w:val="single" w:color="auto" w:sz="4" w:space="0"/>
            </w:tcBorders>
            <w:vAlign w:val="center"/>
          </w:tcPr>
          <w:p w14:paraId="2902AFBD">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轿厢位置，点阵</w:t>
            </w:r>
          </w:p>
        </w:tc>
      </w:tr>
      <w:tr w14:paraId="3D648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3B565837">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轿厢位置，七段码</w:t>
            </w:r>
          </w:p>
        </w:tc>
        <w:tc>
          <w:tcPr>
            <w:tcW w:w="1259" w:type="pct"/>
            <w:tcBorders>
              <w:top w:val="single" w:color="auto" w:sz="4" w:space="0"/>
              <w:left w:val="single" w:color="auto" w:sz="4" w:space="0"/>
              <w:bottom w:val="single" w:color="auto" w:sz="4" w:space="0"/>
              <w:right w:val="single" w:color="auto" w:sz="4" w:space="0"/>
            </w:tcBorders>
            <w:vAlign w:val="center"/>
          </w:tcPr>
          <w:p w14:paraId="3A3E886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内呼蜂鸣</w:t>
            </w:r>
          </w:p>
        </w:tc>
        <w:tc>
          <w:tcPr>
            <w:tcW w:w="1236" w:type="pct"/>
            <w:tcBorders>
              <w:top w:val="single" w:color="auto" w:sz="4" w:space="0"/>
              <w:left w:val="single" w:color="auto" w:sz="4" w:space="0"/>
              <w:bottom w:val="single" w:color="auto" w:sz="4" w:space="0"/>
              <w:right w:val="single" w:color="auto" w:sz="4" w:space="0"/>
            </w:tcBorders>
            <w:vAlign w:val="center"/>
          </w:tcPr>
          <w:p w14:paraId="041EB1C7">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运行方向显示</w:t>
            </w:r>
          </w:p>
        </w:tc>
        <w:tc>
          <w:tcPr>
            <w:tcW w:w="1517" w:type="pct"/>
            <w:tcBorders>
              <w:top w:val="single" w:color="auto" w:sz="4" w:space="0"/>
              <w:left w:val="single" w:color="auto" w:sz="4" w:space="0"/>
              <w:bottom w:val="single" w:color="auto" w:sz="4" w:space="0"/>
              <w:right w:val="single" w:color="auto" w:sz="4" w:space="0"/>
            </w:tcBorders>
            <w:vAlign w:val="center"/>
          </w:tcPr>
          <w:p w14:paraId="6FF452FA">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到站钟</w:t>
            </w:r>
          </w:p>
        </w:tc>
      </w:tr>
      <w:tr w14:paraId="30C6D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4CE3DB72">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超载提醒</w:t>
            </w:r>
          </w:p>
        </w:tc>
        <w:tc>
          <w:tcPr>
            <w:tcW w:w="1259" w:type="pct"/>
            <w:tcBorders>
              <w:top w:val="single" w:color="auto" w:sz="4" w:space="0"/>
              <w:left w:val="single" w:color="auto" w:sz="4" w:space="0"/>
              <w:bottom w:val="single" w:color="auto" w:sz="4" w:space="0"/>
              <w:right w:val="single" w:color="auto" w:sz="4" w:space="0"/>
            </w:tcBorders>
            <w:vAlign w:val="center"/>
          </w:tcPr>
          <w:p w14:paraId="1AA7E593">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控制柜部件标签</w:t>
            </w:r>
          </w:p>
        </w:tc>
        <w:tc>
          <w:tcPr>
            <w:tcW w:w="1236" w:type="pct"/>
            <w:tcBorders>
              <w:top w:val="single" w:color="auto" w:sz="4" w:space="0"/>
              <w:left w:val="single" w:color="auto" w:sz="4" w:space="0"/>
              <w:bottom w:val="single" w:color="auto" w:sz="4" w:space="0"/>
              <w:right w:val="single" w:color="auto" w:sz="4" w:space="0"/>
            </w:tcBorders>
            <w:vAlign w:val="center"/>
          </w:tcPr>
          <w:p w14:paraId="4FB0FE6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位置指示</w:t>
            </w:r>
          </w:p>
        </w:tc>
        <w:tc>
          <w:tcPr>
            <w:tcW w:w="1517" w:type="pct"/>
            <w:tcBorders>
              <w:top w:val="single" w:color="auto" w:sz="4" w:space="0"/>
              <w:left w:val="single" w:color="auto" w:sz="4" w:space="0"/>
              <w:bottom w:val="single" w:color="auto" w:sz="4" w:space="0"/>
              <w:right w:val="single" w:color="auto" w:sz="4" w:space="0"/>
            </w:tcBorders>
            <w:vAlign w:val="center"/>
          </w:tcPr>
          <w:p w14:paraId="5DF9E85C">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启动计数</w:t>
            </w:r>
          </w:p>
        </w:tc>
      </w:tr>
      <w:tr w14:paraId="15DA6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86" w:type="pct"/>
            <w:tcBorders>
              <w:top w:val="single" w:color="auto" w:sz="4" w:space="0"/>
              <w:left w:val="single" w:color="auto" w:sz="4" w:space="0"/>
              <w:bottom w:val="single" w:color="auto" w:sz="4" w:space="0"/>
              <w:right w:val="single" w:color="auto" w:sz="4" w:space="0"/>
            </w:tcBorders>
            <w:vAlign w:val="center"/>
          </w:tcPr>
          <w:p w14:paraId="6FAB1062">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远程监控</w:t>
            </w:r>
          </w:p>
        </w:tc>
        <w:tc>
          <w:tcPr>
            <w:tcW w:w="1259" w:type="pct"/>
            <w:tcBorders>
              <w:top w:val="single" w:color="auto" w:sz="4" w:space="0"/>
              <w:left w:val="single" w:color="auto" w:sz="4" w:space="0"/>
              <w:bottom w:val="single" w:color="auto" w:sz="4" w:space="0"/>
              <w:right w:val="single" w:color="auto" w:sz="4" w:space="0"/>
            </w:tcBorders>
            <w:vAlign w:val="center"/>
          </w:tcPr>
          <w:p w14:paraId="550F7E10">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小区监控</w:t>
            </w:r>
          </w:p>
        </w:tc>
        <w:tc>
          <w:tcPr>
            <w:tcW w:w="1236" w:type="pct"/>
            <w:tcBorders>
              <w:top w:val="single" w:color="auto" w:sz="4" w:space="0"/>
              <w:left w:val="single" w:color="auto" w:sz="4" w:space="0"/>
              <w:bottom w:val="single" w:color="auto" w:sz="4" w:space="0"/>
              <w:right w:val="single" w:color="auto" w:sz="4" w:space="0"/>
            </w:tcBorders>
            <w:vAlign w:val="center"/>
          </w:tcPr>
          <w:p w14:paraId="321A69E1">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物联网</w:t>
            </w:r>
          </w:p>
        </w:tc>
        <w:tc>
          <w:tcPr>
            <w:tcW w:w="1517" w:type="pct"/>
            <w:tcBorders>
              <w:top w:val="single" w:color="auto" w:sz="4" w:space="0"/>
              <w:left w:val="single" w:color="auto" w:sz="4" w:space="0"/>
              <w:bottom w:val="single" w:color="auto" w:sz="4" w:space="0"/>
              <w:right w:val="single" w:color="auto" w:sz="4" w:space="0"/>
            </w:tcBorders>
            <w:vAlign w:val="center"/>
          </w:tcPr>
          <w:p w14:paraId="3D316D44">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BA接口</w:t>
            </w:r>
          </w:p>
        </w:tc>
      </w:tr>
    </w:tbl>
    <w:p w14:paraId="590FA5B6">
      <w:pPr>
        <w:pageBreakBefore w:val="0"/>
        <w:widowControl w:val="0"/>
        <w:wordWrap/>
        <w:overflowPunct/>
        <w:topLinePunct w:val="0"/>
        <w:bidi w:val="0"/>
        <w:spacing w:line="242" w:lineRule="auto"/>
        <w:rPr>
          <w:color w:val="auto"/>
          <w:spacing w:val="0"/>
          <w:w w:val="100"/>
          <w:position w:val="0"/>
          <w:highlight w:val="none"/>
        </w:rPr>
      </w:pPr>
    </w:p>
    <w:p w14:paraId="6974FB9B">
      <w:pPr>
        <w:pageBreakBefore w:val="0"/>
        <w:widowControl w:val="0"/>
        <w:wordWrap/>
        <w:overflowPunct/>
        <w:topLinePunct w:val="0"/>
        <w:bidi w:val="0"/>
        <w:spacing w:line="242" w:lineRule="auto"/>
        <w:rPr>
          <w:color w:val="auto"/>
          <w:spacing w:val="0"/>
          <w:w w:val="100"/>
          <w:position w:val="0"/>
          <w:highlight w:val="none"/>
        </w:rPr>
      </w:pPr>
    </w:p>
    <w:p w14:paraId="1D00DCAA">
      <w:pPr>
        <w:pageBreakBefore w:val="0"/>
        <w:widowControl w:val="0"/>
        <w:wordWrap/>
        <w:overflowPunct/>
        <w:topLinePunct w:val="0"/>
        <w:bidi w:val="0"/>
        <w:spacing w:line="245" w:lineRule="auto"/>
        <w:rPr>
          <w:color w:val="auto"/>
          <w:spacing w:val="0"/>
          <w:w w:val="100"/>
          <w:position w:val="0"/>
          <w:highlight w:val="none"/>
          <w:lang w:eastAsia="zh-CN"/>
        </w:rPr>
      </w:pPr>
    </w:p>
    <w:p w14:paraId="74FBE158">
      <w:pPr>
        <w:pageBreakBefore w:val="0"/>
        <w:widowControl w:val="0"/>
        <w:wordWrap/>
        <w:overflowPunct/>
        <w:topLinePunct w:val="0"/>
        <w:bidi w:val="0"/>
        <w:spacing w:before="78" w:line="219" w:lineRule="auto"/>
        <w:rPr>
          <w:rFonts w:ascii="宋体" w:hAnsi="宋体" w:eastAsia="宋体" w:cs="宋体"/>
          <w:b/>
          <w:bCs/>
          <w:color w:val="auto"/>
          <w:spacing w:val="0"/>
          <w:w w:val="100"/>
          <w:position w:val="0"/>
          <w:sz w:val="24"/>
          <w:szCs w:val="24"/>
          <w:highlight w:val="none"/>
          <w:lang w:eastAsia="zh-CN"/>
        </w:rPr>
      </w:pPr>
      <w:r>
        <w:rPr>
          <w:rFonts w:ascii="宋体" w:hAnsi="宋体" w:eastAsia="宋体" w:cs="宋体"/>
          <w:b/>
          <w:bCs/>
          <w:color w:val="auto"/>
          <w:spacing w:val="0"/>
          <w:w w:val="100"/>
          <w:position w:val="0"/>
          <w:sz w:val="24"/>
          <w:szCs w:val="24"/>
          <w:highlight w:val="none"/>
          <w:lang w:eastAsia="zh-CN"/>
        </w:rPr>
        <w:t>（二） 商务条件</w:t>
      </w:r>
    </w:p>
    <w:p w14:paraId="696743E1">
      <w:pPr>
        <w:pageBreakBefore w:val="0"/>
        <w:widowControl w:val="0"/>
        <w:wordWrap/>
        <w:overflowPunct/>
        <w:topLinePunct w:val="0"/>
        <w:bidi w:val="0"/>
        <w:spacing w:line="249" w:lineRule="auto"/>
        <w:rPr>
          <w:color w:val="auto"/>
          <w:spacing w:val="0"/>
          <w:w w:val="100"/>
          <w:position w:val="0"/>
          <w:highlight w:val="none"/>
          <w:lang w:eastAsia="zh-CN"/>
        </w:rPr>
      </w:pPr>
    </w:p>
    <w:p w14:paraId="5E541755">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1.交货期：合同签订后60个日历日内供货并完成安装、调试、培训工作。中标供应商应保证在要求时间内完成全部货物的供货、安装、调试试运行和培训工作,符合国家标准、行业规范和合同等相关文件的要求。</w:t>
      </w:r>
    </w:p>
    <w:p w14:paraId="416A0A68">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2.交货地点：采购人指定地点。</w:t>
      </w:r>
    </w:p>
    <w:p w14:paraId="6FC53D3F">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3.履约保证金：合同金额的5%，项目维保期满后无息退还。</w:t>
      </w:r>
    </w:p>
    <w:p w14:paraId="7F9E5C74">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4.付款方式：</w:t>
      </w:r>
      <w:bookmarkStart w:id="0" w:name="OLE_LINK109"/>
      <w:r>
        <w:rPr>
          <w:rFonts w:hint="eastAsia" w:ascii="宋体" w:hAnsi="宋体" w:eastAsia="宋体" w:cs="宋体"/>
          <w:color w:val="auto"/>
          <w:spacing w:val="0"/>
          <w:w w:val="100"/>
          <w:position w:val="0"/>
          <w:sz w:val="24"/>
          <w:szCs w:val="24"/>
          <w:highlight w:val="none"/>
          <w:lang w:val="en-US" w:eastAsia="zh-CN"/>
        </w:rPr>
        <w:t>所有设备进场后支付合同金额的60%，安装验收合格后支付剩余尾款</w:t>
      </w:r>
      <w:r>
        <w:rPr>
          <w:rFonts w:hint="eastAsia" w:ascii="宋体" w:hAnsi="宋体" w:cs="宋体"/>
          <w:bCs/>
          <w:color w:val="auto"/>
          <w:kern w:val="0"/>
          <w:sz w:val="24"/>
          <w:highlight w:val="none"/>
        </w:rPr>
        <w:t>。</w:t>
      </w:r>
      <w:bookmarkEnd w:id="0"/>
    </w:p>
    <w:p w14:paraId="68ACA196">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5.质量保证和售后服务要求：</w:t>
      </w:r>
    </w:p>
    <w:p w14:paraId="4527E372">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（1）质量保证期：本项目所有产品自验收合格之日起，须提供不少于3年的免费维保期。</w:t>
      </w:r>
    </w:p>
    <w:p w14:paraId="775A90B8">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（2）本项目采用“电梯设备＋维保服务+物联及监控服务 ”一体化采购模式， 供应商应与采购人签订设备合同和维保服务合同。电梯维保期限同质量保修期一样。（按照 GB(T18775) 《电梯维修规范》、《电梯日常维护保养规则》执行 免费维护保养）。客梯应当配备具有运行参数采集和网络远程传输功能的检测装置。</w:t>
      </w:r>
    </w:p>
    <w:p w14:paraId="1E8B5BF2">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1）免费办理报装、报验手续；负责为采购人免费培训电梯司机及电梯维修人员（2～3 名）。</w:t>
      </w:r>
    </w:p>
    <w:p w14:paraId="2B4BEC5E">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2）质保期内每 15 天上门进行检查、清洁、除尘、调整等维修保养工作；维修保养工作由供应商或制造商的售后服务机构提供服务，维修保养服务工作不得转包。</w:t>
      </w:r>
    </w:p>
    <w:p w14:paraId="178D5AB9">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3）维修人员需具备特种设备安全管理和作业人员证（T），维修人员24小时服务，接到用户故障通知后，半小时内到达现场，一般故障不超过2小时，重大故障不超过48小时修复；</w:t>
      </w:r>
    </w:p>
    <w:p w14:paraId="057597CD">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4）常年备有电梯配件，能及时处理、替换损坏的部件。且电梯需配备具有运行参数采集和网络远程传输功能的监测装置。</w:t>
      </w:r>
    </w:p>
    <w:p w14:paraId="2121A8D1">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6.安装调试及货物验收</w:t>
      </w:r>
    </w:p>
    <w:p w14:paraId="1D83E6E9">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（1）成交供应商应按合同约定按时交货并通知采购人对货物开箱时进行开箱验收。</w:t>
      </w:r>
    </w:p>
    <w:p w14:paraId="1820EFD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成交供应商应根据合同、招（投）标文件等相关资料的要求完成项目产品的安装、调试，同时中标供应商需对采购人用户单位人员进行技术和操作的免费培训（培训地点为采购人所在地）。仪器设备安装调试后，正常运行试用时间不少于30日方可进行初次验收。试运行结束后，中标供应商提交完整的初次验收材料，由采购人组织人员按合同、招（投）标文件等相关资料的约定对此项目进行初次验收，验收地点由采购人指定。（自收到中标供应商提交完整的初次验收材料之日起，采购人在20日之内完成项目的初次验收）。</w:t>
      </w:r>
    </w:p>
    <w:p w14:paraId="178EB261">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成交供应商应根据合同、招（投）标文件等相关资料的要求在项目约定服务期内对其所供产品及服务提供优质的售后保障。项目约定服务期结束后，中标供应商通知采购人对此项目进行最终验收。售后服务无瑕疵的情况下，并提交完整的验收材料后，采购人在10日之内对此项目进行最终验收。</w:t>
      </w:r>
    </w:p>
    <w:p w14:paraId="132218C8">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7、验收依据：《产品检验通用技术要求》和相关的中国国家标准；</w:t>
      </w:r>
    </w:p>
    <w:p w14:paraId="2CB657D7">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4BFEE6F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9、知识产权</w:t>
      </w:r>
    </w:p>
    <w:p w14:paraId="24BE9221">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成交供应商须保障采购人在使用该产品及所属服务或其任何一部分时不受到第三方关于侵犯专利权、商标权或工业设计权等知识产权的指控。如果任何第三方提出侵权指控与采购人无关，投标人须与第三方交涉并承担可能发生的责任与一切费用。如采购人因此而遭致损失的，成交供应商应赔偿该损失。</w:t>
      </w:r>
    </w:p>
    <w:p w14:paraId="23FF9E7C">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10、履约风险及措施</w:t>
      </w:r>
    </w:p>
    <w:p w14:paraId="00F0A25C">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（1）供应商</w:t>
      </w:r>
      <w:r>
        <w:rPr>
          <w:rFonts w:hint="default" w:ascii="宋体" w:hAnsi="宋体" w:eastAsia="宋体" w:cs="宋体"/>
          <w:color w:val="auto"/>
          <w:spacing w:val="0"/>
          <w:w w:val="100"/>
          <w:position w:val="0"/>
          <w:sz w:val="24"/>
          <w:szCs w:val="24"/>
          <w:highlight w:val="none"/>
          <w:lang w:val="en-US" w:eastAsia="zh-CN"/>
        </w:rPr>
        <w:t>未能按照本合同约定交货的，则每逾期一天，按照合同总价的</w:t>
      </w:r>
      <w:r>
        <w:rPr>
          <w:rFonts w:hint="eastAsia" w:ascii="宋体" w:hAnsi="宋体" w:eastAsia="宋体" w:cs="宋体"/>
          <w:color w:val="auto"/>
          <w:spacing w:val="0"/>
          <w:w w:val="100"/>
          <w:position w:val="0"/>
          <w:sz w:val="24"/>
          <w:szCs w:val="24"/>
          <w:highlight w:val="none"/>
          <w:lang w:val="en-US" w:eastAsia="zh-CN"/>
        </w:rPr>
        <w:t>5</w:t>
      </w:r>
      <w:r>
        <w:rPr>
          <w:rFonts w:hint="default" w:ascii="宋体" w:hAnsi="宋体" w:eastAsia="宋体" w:cs="宋体"/>
          <w:color w:val="auto"/>
          <w:spacing w:val="0"/>
          <w:w w:val="100"/>
          <w:position w:val="0"/>
          <w:sz w:val="24"/>
          <w:szCs w:val="24"/>
          <w:highlight w:val="none"/>
          <w:lang w:val="en-US" w:eastAsia="zh-CN"/>
        </w:rPr>
        <w:t>‰向</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支付违约金，最高延期赔偿金不超过本合同总价款的20%。</w:t>
      </w:r>
    </w:p>
    <w:p w14:paraId="48E90F6B">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（2）供应商</w:t>
      </w:r>
      <w:r>
        <w:rPr>
          <w:rFonts w:hint="default" w:ascii="宋体" w:hAnsi="宋体" w:eastAsia="宋体" w:cs="宋体"/>
          <w:color w:val="auto"/>
          <w:spacing w:val="0"/>
          <w:w w:val="100"/>
          <w:position w:val="0"/>
          <w:sz w:val="24"/>
          <w:szCs w:val="24"/>
          <w:highlight w:val="none"/>
          <w:lang w:val="en-US" w:eastAsia="zh-CN"/>
        </w:rPr>
        <w:t>提供的服务或产品未达到本合同约定的技术、质量及其他任何要求，且经验收不合格的或</w:t>
      </w:r>
      <w:r>
        <w:rPr>
          <w:rFonts w:hint="eastAsia" w:ascii="宋体" w:hAnsi="宋体" w:eastAsia="宋体" w:cs="宋体"/>
          <w:color w:val="auto"/>
          <w:spacing w:val="0"/>
          <w:w w:val="100"/>
          <w:position w:val="0"/>
          <w:sz w:val="24"/>
          <w:szCs w:val="24"/>
          <w:highlight w:val="none"/>
          <w:lang w:val="en-US" w:eastAsia="zh-CN"/>
        </w:rPr>
        <w:t>供应商</w:t>
      </w:r>
      <w:r>
        <w:rPr>
          <w:rFonts w:hint="default" w:ascii="宋体" w:hAnsi="宋体" w:eastAsia="宋体" w:cs="宋体"/>
          <w:color w:val="auto"/>
          <w:spacing w:val="0"/>
          <w:w w:val="100"/>
          <w:position w:val="0"/>
          <w:sz w:val="24"/>
          <w:szCs w:val="24"/>
          <w:highlight w:val="none"/>
          <w:lang w:val="en-US" w:eastAsia="zh-CN"/>
        </w:rPr>
        <w:t>明确告知</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无法交付合同约定产品或提供合同约定的服务的，</w:t>
      </w:r>
      <w:r>
        <w:rPr>
          <w:rFonts w:hint="eastAsia" w:ascii="宋体" w:hAnsi="宋体" w:eastAsia="宋体" w:cs="宋体"/>
          <w:color w:val="auto"/>
          <w:spacing w:val="0"/>
          <w:w w:val="100"/>
          <w:position w:val="0"/>
          <w:sz w:val="24"/>
          <w:szCs w:val="24"/>
          <w:highlight w:val="none"/>
          <w:lang w:val="en-US" w:eastAsia="zh-CN"/>
        </w:rPr>
        <w:t>供应商</w:t>
      </w:r>
      <w:r>
        <w:rPr>
          <w:rFonts w:hint="default" w:ascii="宋体" w:hAnsi="宋体" w:eastAsia="宋体" w:cs="宋体"/>
          <w:color w:val="auto"/>
          <w:spacing w:val="0"/>
          <w:w w:val="100"/>
          <w:position w:val="0"/>
          <w:sz w:val="24"/>
          <w:szCs w:val="24"/>
          <w:highlight w:val="none"/>
          <w:lang w:val="en-US" w:eastAsia="zh-CN"/>
        </w:rPr>
        <w:t>应当承担违约责任，并应按本合同总金额的30%向</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支付违约金。</w:t>
      </w:r>
    </w:p>
    <w:p w14:paraId="32FF33EA">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（3）供应商</w:t>
      </w:r>
      <w:r>
        <w:rPr>
          <w:rFonts w:hint="default" w:ascii="宋体" w:hAnsi="宋体" w:eastAsia="宋体" w:cs="宋体"/>
          <w:color w:val="auto"/>
          <w:spacing w:val="0"/>
          <w:w w:val="100"/>
          <w:position w:val="0"/>
          <w:sz w:val="24"/>
          <w:szCs w:val="24"/>
          <w:highlight w:val="none"/>
          <w:lang w:val="en-US" w:eastAsia="zh-CN"/>
        </w:rPr>
        <w:t>未能按照本合同约定按期交货的，则逾期超过 1 个月，或虽未逾期但经两次申请仍然未能通过验收合格的，</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可单方通知</w:t>
      </w:r>
      <w:r>
        <w:rPr>
          <w:rFonts w:hint="eastAsia" w:ascii="宋体" w:hAnsi="宋体" w:eastAsia="宋体" w:cs="宋体"/>
          <w:color w:val="auto"/>
          <w:spacing w:val="0"/>
          <w:w w:val="100"/>
          <w:position w:val="0"/>
          <w:sz w:val="24"/>
          <w:szCs w:val="24"/>
          <w:highlight w:val="none"/>
          <w:lang w:val="en-US" w:eastAsia="zh-CN"/>
        </w:rPr>
        <w:t>供应商</w:t>
      </w:r>
      <w:r>
        <w:rPr>
          <w:rFonts w:hint="default" w:ascii="宋体" w:hAnsi="宋体" w:eastAsia="宋体" w:cs="宋体"/>
          <w:color w:val="auto"/>
          <w:spacing w:val="0"/>
          <w:w w:val="100"/>
          <w:position w:val="0"/>
          <w:sz w:val="24"/>
          <w:szCs w:val="24"/>
          <w:highlight w:val="none"/>
          <w:lang w:val="en-US" w:eastAsia="zh-CN"/>
        </w:rPr>
        <w:t>解除合同，解除合同通知送达</w:t>
      </w:r>
      <w:r>
        <w:rPr>
          <w:rFonts w:hint="eastAsia" w:ascii="宋体" w:hAnsi="宋体" w:eastAsia="宋体" w:cs="宋体"/>
          <w:color w:val="auto"/>
          <w:spacing w:val="0"/>
          <w:w w:val="100"/>
          <w:position w:val="0"/>
          <w:sz w:val="24"/>
          <w:szCs w:val="24"/>
          <w:highlight w:val="none"/>
          <w:lang w:val="en-US" w:eastAsia="zh-CN"/>
        </w:rPr>
        <w:t>供应商</w:t>
      </w:r>
      <w:r>
        <w:rPr>
          <w:rFonts w:hint="default" w:ascii="宋体" w:hAnsi="宋体" w:eastAsia="宋体" w:cs="宋体"/>
          <w:color w:val="auto"/>
          <w:spacing w:val="0"/>
          <w:w w:val="100"/>
          <w:position w:val="0"/>
          <w:sz w:val="24"/>
          <w:szCs w:val="24"/>
          <w:highlight w:val="none"/>
          <w:lang w:val="en-US" w:eastAsia="zh-CN"/>
        </w:rPr>
        <w:t>当日合同立即终止。</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解除合同通知发送至</w:t>
      </w:r>
      <w:r>
        <w:rPr>
          <w:rFonts w:hint="eastAsia" w:ascii="宋体" w:hAnsi="宋体" w:eastAsia="宋体" w:cs="宋体"/>
          <w:color w:val="auto"/>
          <w:spacing w:val="0"/>
          <w:w w:val="100"/>
          <w:position w:val="0"/>
          <w:sz w:val="24"/>
          <w:szCs w:val="24"/>
          <w:highlight w:val="none"/>
          <w:lang w:val="en-US" w:eastAsia="zh-CN"/>
        </w:rPr>
        <w:t>供应商</w:t>
      </w:r>
      <w:r>
        <w:rPr>
          <w:rFonts w:hint="default" w:ascii="宋体" w:hAnsi="宋体" w:eastAsia="宋体" w:cs="宋体"/>
          <w:color w:val="auto"/>
          <w:spacing w:val="0"/>
          <w:w w:val="100"/>
          <w:position w:val="0"/>
          <w:sz w:val="24"/>
          <w:szCs w:val="24"/>
          <w:highlight w:val="none"/>
          <w:lang w:val="en-US" w:eastAsia="zh-CN"/>
        </w:rPr>
        <w:t>指定电子邮箱系统即视为已送达。</w:t>
      </w:r>
    </w:p>
    <w:p w14:paraId="04C18DC3">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w:t>
      </w:r>
      <w:r>
        <w:rPr>
          <w:rFonts w:hint="default" w:ascii="宋体" w:hAnsi="宋体" w:eastAsia="宋体" w:cs="宋体"/>
          <w:color w:val="auto"/>
          <w:spacing w:val="0"/>
          <w:w w:val="100"/>
          <w:position w:val="0"/>
          <w:sz w:val="24"/>
          <w:szCs w:val="24"/>
          <w:highlight w:val="none"/>
          <w:lang w:val="en-US" w:eastAsia="zh-CN"/>
        </w:rPr>
        <w:t>供应商提供的所有证明材料必须真实，有效。成交供应商与</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合同签订</w:t>
      </w:r>
      <w:r>
        <w:rPr>
          <w:rFonts w:hint="eastAsia" w:ascii="宋体" w:hAnsi="宋体" w:eastAsia="宋体" w:cs="宋体"/>
          <w:color w:val="auto"/>
          <w:spacing w:val="0"/>
          <w:w w:val="100"/>
          <w:position w:val="0"/>
          <w:sz w:val="24"/>
          <w:szCs w:val="24"/>
          <w:highlight w:val="none"/>
          <w:lang w:val="en-US" w:eastAsia="zh-CN"/>
        </w:rPr>
        <w:t>后</w:t>
      </w:r>
      <w:r>
        <w:rPr>
          <w:rFonts w:hint="default" w:ascii="宋体" w:hAnsi="宋体" w:eastAsia="宋体" w:cs="宋体"/>
          <w:color w:val="auto"/>
          <w:spacing w:val="0"/>
          <w:w w:val="100"/>
          <w:position w:val="0"/>
          <w:sz w:val="24"/>
          <w:szCs w:val="24"/>
          <w:highlight w:val="none"/>
          <w:lang w:val="en-US" w:eastAsia="zh-CN"/>
        </w:rPr>
        <w:t>，成交供应商需按</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要求提供投标证明材料原件核查。</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有权核实</w:t>
      </w:r>
      <w:r>
        <w:rPr>
          <w:rFonts w:hint="eastAsia" w:ascii="宋体" w:hAnsi="宋体" w:eastAsia="宋体" w:cs="宋体"/>
          <w:color w:val="auto"/>
          <w:spacing w:val="0"/>
          <w:w w:val="100"/>
          <w:position w:val="0"/>
          <w:sz w:val="24"/>
          <w:szCs w:val="24"/>
          <w:highlight w:val="none"/>
          <w:lang w:val="en-US" w:eastAsia="zh-CN"/>
        </w:rPr>
        <w:t>响应</w:t>
      </w:r>
      <w:r>
        <w:rPr>
          <w:rFonts w:hint="default" w:ascii="宋体" w:hAnsi="宋体" w:eastAsia="宋体" w:cs="宋体"/>
          <w:color w:val="auto"/>
          <w:spacing w:val="0"/>
          <w:w w:val="100"/>
          <w:position w:val="0"/>
          <w:sz w:val="24"/>
          <w:szCs w:val="24"/>
          <w:highlight w:val="none"/>
          <w:lang w:val="en-US" w:eastAsia="zh-CN"/>
        </w:rPr>
        <w:t>文件内容真实性。如证实成交供应商提供虚假材料，</w:t>
      </w:r>
      <w:r>
        <w:rPr>
          <w:rFonts w:hint="eastAsia" w:ascii="宋体" w:hAnsi="宋体" w:eastAsia="宋体" w:cs="宋体"/>
          <w:color w:val="auto"/>
          <w:spacing w:val="0"/>
          <w:w w:val="100"/>
          <w:position w:val="0"/>
          <w:sz w:val="24"/>
          <w:szCs w:val="24"/>
          <w:highlight w:val="none"/>
          <w:lang w:val="en-US" w:eastAsia="zh-CN"/>
        </w:rPr>
        <w:t>采购人</w:t>
      </w:r>
      <w:r>
        <w:rPr>
          <w:rFonts w:hint="default" w:ascii="宋体" w:hAnsi="宋体" w:eastAsia="宋体" w:cs="宋体"/>
          <w:color w:val="auto"/>
          <w:spacing w:val="0"/>
          <w:w w:val="100"/>
          <w:position w:val="0"/>
          <w:sz w:val="24"/>
          <w:szCs w:val="24"/>
          <w:highlight w:val="none"/>
          <w:lang w:val="en-US" w:eastAsia="zh-CN"/>
        </w:rPr>
        <w:t xml:space="preserve">将上报至同级 财政监管部门，追究其法律责任。 </w:t>
      </w:r>
    </w:p>
    <w:p w14:paraId="55B95AF9">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11、其他</w:t>
      </w:r>
    </w:p>
    <w:p w14:paraId="107F3D57">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w:t>
      </w:r>
      <w:r>
        <w:rPr>
          <w:rFonts w:hint="default" w:ascii="宋体" w:hAnsi="宋体" w:eastAsia="宋体" w:cs="宋体"/>
          <w:color w:val="auto"/>
          <w:spacing w:val="0"/>
          <w:w w:val="100"/>
          <w:position w:val="0"/>
          <w:sz w:val="24"/>
          <w:szCs w:val="24"/>
          <w:highlight w:val="none"/>
          <w:lang w:val="en-US" w:eastAsia="zh-CN"/>
        </w:rPr>
        <w:t>安装</w:t>
      </w:r>
    </w:p>
    <w:p w14:paraId="4B6CBC69">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w:t>
      </w:r>
      <w:r>
        <w:rPr>
          <w:rFonts w:hint="default" w:ascii="宋体" w:hAnsi="宋体" w:eastAsia="宋体" w:cs="宋体"/>
          <w:color w:val="auto"/>
          <w:spacing w:val="0"/>
          <w:w w:val="100"/>
          <w:position w:val="0"/>
          <w:sz w:val="24"/>
          <w:szCs w:val="24"/>
          <w:highlight w:val="none"/>
          <w:lang w:val="en-US" w:eastAsia="zh-CN"/>
        </w:rPr>
        <w:t>）货物到现场后，由采购人（或其授权代表）、成交供应商和相关人员共同对货物的数量、外观、包装等进行检查，经双方书面确认初验合格后开始安装、调试。</w:t>
      </w:r>
    </w:p>
    <w:p w14:paraId="63F921B6">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w:t>
      </w:r>
      <w:r>
        <w:rPr>
          <w:rFonts w:hint="default" w:ascii="宋体" w:hAnsi="宋体" w:eastAsia="宋体" w:cs="宋体"/>
          <w:color w:val="auto"/>
          <w:spacing w:val="0"/>
          <w:w w:val="100"/>
          <w:position w:val="0"/>
          <w:sz w:val="24"/>
          <w:szCs w:val="24"/>
          <w:highlight w:val="none"/>
          <w:lang w:val="en-US" w:eastAsia="zh-CN"/>
        </w:rPr>
        <w:t>）所有货物、材料均须由成交供应商送货到现场并负责安装，必须出示产品合格证和原厂随货清单。成交供应商应派熟练的工程师现场进行安装，若发生任一项指标不符合招标文件要求的，成交供应商应在3 天内免费更换其不合格产品，使之达到招标文件要求，所有费用由成交供应商负担。</w:t>
      </w:r>
    </w:p>
    <w:p w14:paraId="1BE311EF">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w:t>
      </w:r>
      <w:r>
        <w:rPr>
          <w:rFonts w:hint="default" w:ascii="宋体" w:hAnsi="宋体" w:eastAsia="宋体" w:cs="宋体"/>
          <w:color w:val="auto"/>
          <w:spacing w:val="0"/>
          <w:w w:val="100"/>
          <w:position w:val="0"/>
          <w:sz w:val="24"/>
          <w:szCs w:val="24"/>
          <w:highlight w:val="none"/>
          <w:lang w:val="en-US" w:eastAsia="zh-CN"/>
        </w:rPr>
        <w:t>）安装施工前中标单位需制定安全施工方案签字盖章交予采购人，施工过程中，货物材料等的堆放符合学校要求、并做好相关安全防护措施，同时，对施工现场安全负责。</w:t>
      </w:r>
    </w:p>
    <w:p w14:paraId="3B49A731">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w:t>
      </w:r>
      <w:r>
        <w:rPr>
          <w:rFonts w:hint="default" w:ascii="宋体" w:hAnsi="宋体" w:eastAsia="宋体" w:cs="宋体"/>
          <w:color w:val="auto"/>
          <w:spacing w:val="0"/>
          <w:w w:val="100"/>
          <w:position w:val="0"/>
          <w:sz w:val="24"/>
          <w:szCs w:val="24"/>
          <w:highlight w:val="none"/>
          <w:lang w:val="en-US" w:eastAsia="zh-CN"/>
        </w:rPr>
        <w:t>调试</w:t>
      </w:r>
    </w:p>
    <w:p w14:paraId="2DD9B4FD">
      <w:pPr>
        <w:pageBreakBefore w:val="0"/>
        <w:widowControl w:val="0"/>
        <w:wordWrap/>
        <w:overflowPunct/>
        <w:topLinePunct w:val="0"/>
        <w:bidi w:val="0"/>
        <w:spacing w:line="360" w:lineRule="auto"/>
        <w:rPr>
          <w:rFonts w:hint="default" w:ascii="宋体" w:hAnsi="宋体" w:eastAsia="宋体" w:cs="宋体"/>
          <w:color w:val="auto"/>
          <w:spacing w:val="0"/>
          <w:w w:val="100"/>
          <w:position w:val="0"/>
          <w:sz w:val="24"/>
          <w:szCs w:val="24"/>
          <w:highlight w:val="none"/>
          <w:lang w:val="en-US" w:eastAsia="zh-CN"/>
        </w:rPr>
      </w:pPr>
      <w:r>
        <w:rPr>
          <w:rFonts w:hint="default" w:ascii="宋体" w:hAnsi="宋体" w:eastAsia="宋体" w:cs="宋体"/>
          <w:color w:val="auto"/>
          <w:spacing w:val="0"/>
          <w:w w:val="100"/>
          <w:position w:val="0"/>
          <w:sz w:val="24"/>
          <w:szCs w:val="24"/>
          <w:highlight w:val="none"/>
          <w:lang w:val="en-US" w:eastAsia="zh-CN"/>
        </w:rPr>
        <w:t>1）电梯安装完成后需制造厂商派遣技术人员对电梯设备进行全面调试并进行厂检。</w:t>
      </w:r>
    </w:p>
    <w:p w14:paraId="60B721E1">
      <w:pPr>
        <w:pageBreakBefore w:val="0"/>
        <w:widowControl w:val="0"/>
        <w:wordWrap/>
        <w:overflowPunct/>
        <w:topLinePunct w:val="0"/>
        <w:bidi w:val="0"/>
        <w:spacing w:line="360" w:lineRule="auto"/>
        <w:rPr>
          <w:color w:val="auto"/>
          <w:spacing w:val="0"/>
          <w:w w:val="100"/>
          <w:position w:val="0"/>
          <w:highlight w:val="none"/>
          <w:lang w:eastAsia="zh-CN"/>
        </w:rPr>
      </w:pPr>
      <w:r>
        <w:rPr>
          <w:rFonts w:hint="default" w:ascii="宋体" w:hAnsi="宋体" w:eastAsia="宋体" w:cs="宋体"/>
          <w:color w:val="auto"/>
          <w:spacing w:val="0"/>
          <w:w w:val="100"/>
          <w:position w:val="0"/>
          <w:sz w:val="24"/>
          <w:szCs w:val="24"/>
          <w:highlight w:val="none"/>
          <w:lang w:val="en-US" w:eastAsia="zh-CN"/>
        </w:rPr>
        <w:t>2）厂检合格后由制造厂商出具整机质量证明文件。</w:t>
      </w:r>
    </w:p>
    <w:p w14:paraId="4E057100">
      <w:pPr>
        <w:pageBreakBefore w:val="0"/>
        <w:widowControl w:val="0"/>
        <w:wordWrap/>
        <w:overflowPunct/>
        <w:topLinePunct w:val="0"/>
        <w:bidi w:val="0"/>
        <w:spacing w:line="360" w:lineRule="auto"/>
      </w:pPr>
      <w:r>
        <w:rPr>
          <w:rFonts w:hint="eastAsia" w:ascii="宋体" w:hAnsi="宋体" w:eastAsia="宋体" w:cs="宋体"/>
          <w:color w:val="auto"/>
          <w:spacing w:val="0"/>
          <w:w w:val="100"/>
          <w:position w:val="0"/>
          <w:sz w:val="24"/>
          <w:szCs w:val="24"/>
          <w:highlight w:val="none"/>
          <w:lang w:val="en-US" w:eastAsia="zh-CN"/>
        </w:rPr>
        <w:t>（3）供应商或所投产品制造商在江西地区设有售后服务机构（自设或者委托），且该服务机构具有特种设备（电梯）B级安装改造维修能力。</w:t>
      </w:r>
      <w:bookmarkStart w:id="1" w:name="_GoBack"/>
      <w:bookmarkEnd w:id="1"/>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A4F8A">
    <w:pPr>
      <w:pStyle w:val="3"/>
      <w:rPr>
        <w:lang w:eastAsia="zh-CN"/>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17" name="文本框 5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CAD2DCA">
                          <w:pPr>
                            <w:pStyle w:val="3"/>
                          </w:pPr>
                          <w:r>
                            <w:fldChar w:fldCharType="begin"/>
                          </w:r>
                          <w:r>
                            <w:instrText xml:space="preserve"> PAGE  \* MERGEFORMAT </w:instrText>
                          </w:r>
                          <w:r>
                            <w:fldChar w:fldCharType="separate"/>
                          </w:r>
                          <w:r>
                            <w:t>60</w:t>
                          </w:r>
                          <w:r>
                            <w:fldChar w:fldCharType="end"/>
                          </w:r>
                        </w:p>
                      </w:txbxContent>
                    </wps:txbx>
                    <wps:bodyPr vert="horz" wrap="none" lIns="0" tIns="0" rIns="0" bIns="0" anchor="t" upright="0">
                      <a:spAutoFit/>
                    </wps:bodyPr>
                  </wps:wsp>
                </a:graphicData>
              </a:graphic>
            </wp:anchor>
          </w:drawing>
        </mc:Choice>
        <mc:Fallback>
          <w:pict>
            <v:rect id="文本框 5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&#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Ll1uVLQAAAABQEAAA8AAAAAAAAAAQAgAAAAIgAAAGRy&#10;cy9kb3ducmV2LnhtbFBLAQIUABQAAAAIAIdO4kAX7jxX1AEAAJ8DAAAOAAAAAAAAAAEAIAAAAB8B&#10;AABkcnMvZTJvRG9jLnhtbFBLBQYAAAAABgAGAFkBAABlBQAAAAA=&#10;">
              <v:fill on="f" focussize="0,0"/>
              <v:stroke on="f"/>
              <v:imagedata o:title=""/>
              <o:lock v:ext="edit" aspectratio="f"/>
              <v:textbox inset="0mm,0mm,0mm,0mm" style="mso-fit-shape-to-text:t;">
                <w:txbxContent>
                  <w:p w14:paraId="6CAD2DCA">
                    <w:pPr>
                      <w:pStyle w:val="3"/>
                    </w:pPr>
                    <w:r>
                      <w:fldChar w:fldCharType="begin"/>
                    </w:r>
                    <w:r>
                      <w:instrText xml:space="preserve"> PAGE  \* MERGEFORMAT </w:instrText>
                    </w:r>
                    <w:r>
                      <w:fldChar w:fldCharType="separate"/>
                    </w:r>
                    <w:r>
                      <w:t>60</w:t>
                    </w:r>
                    <w: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9728B2"/>
    <w:rsid w:val="275C5DD5"/>
    <w:rsid w:val="318930A6"/>
    <w:rsid w:val="3C1F03B8"/>
    <w:rsid w:val="549728B2"/>
    <w:rsid w:val="5A2D03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2026-07-01T06:40:00Z</dcterms:created>
  <dc:creator>LENOVO</dc:creator>
  <cp:lastModifiedBy>LENOVO</cp:lastModifiedBy>
  <dcterms:modified xsi:type="dcterms:W3CDTF">2026-07-01T06:40:34Z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B061C806F4BE4D75B9C48DA9A7EFB40A_11</vt:lpwstr>
  </property>
</Properties>
</file>