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4BFFA">
      <w:pPr>
        <w:widowControl w:val="0"/>
        <w:kinsoku/>
        <w:spacing w:before="47" w:line="219" w:lineRule="auto"/>
        <w:ind w:left="3805"/>
        <w:outlineLvl w:val="1"/>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rPr>
        <w:t>求</w:t>
      </w:r>
    </w:p>
    <w:p w14:paraId="0DB090F1">
      <w:pPr>
        <w:widowControl w:val="0"/>
        <w:kinsoku/>
        <w:spacing w:line="257" w:lineRule="auto"/>
        <w:rPr>
          <w:color w:val="auto"/>
          <w:highlight w:val="none"/>
        </w:rPr>
      </w:pPr>
    </w:p>
    <w:p w14:paraId="61A63C34">
      <w:pPr>
        <w:widowControl w:val="0"/>
        <w:kinsoku/>
        <w:spacing w:line="258" w:lineRule="auto"/>
        <w:rPr>
          <w:color w:val="auto"/>
          <w:highlight w:val="none"/>
        </w:rPr>
      </w:pPr>
    </w:p>
    <w:p w14:paraId="28FAC5D3">
      <w:pPr>
        <w:widowControl w:val="0"/>
        <w:kinsoku/>
        <w:spacing w:before="78" w:line="219" w:lineRule="auto"/>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E705BBD">
      <w:pPr>
        <w:widowControl w:val="0"/>
        <w:kinsoku/>
        <w:spacing w:line="242" w:lineRule="auto"/>
        <w:rPr>
          <w:color w:val="auto"/>
          <w:highlight w:val="none"/>
        </w:rPr>
      </w:pPr>
    </w:p>
    <w:tbl>
      <w:tblPr>
        <w:tblStyle w:val="4"/>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560"/>
        <w:gridCol w:w="5772"/>
        <w:gridCol w:w="890"/>
      </w:tblGrid>
      <w:tr w14:paraId="5B7BC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309658AE">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序号</w:t>
            </w:r>
          </w:p>
        </w:tc>
        <w:tc>
          <w:tcPr>
            <w:tcW w:w="1560" w:type="dxa"/>
            <w:vAlign w:val="center"/>
          </w:tcPr>
          <w:p w14:paraId="088A8677">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项目明细</w:t>
            </w:r>
          </w:p>
        </w:tc>
        <w:tc>
          <w:tcPr>
            <w:tcW w:w="5772" w:type="dxa"/>
            <w:vAlign w:val="center"/>
          </w:tcPr>
          <w:p w14:paraId="659C8DAF">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主要技术参数</w:t>
            </w:r>
          </w:p>
        </w:tc>
        <w:tc>
          <w:tcPr>
            <w:tcW w:w="890" w:type="dxa"/>
            <w:vAlign w:val="center"/>
          </w:tcPr>
          <w:p w14:paraId="29CE7344">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数量</w:t>
            </w:r>
          </w:p>
        </w:tc>
      </w:tr>
      <w:tr w14:paraId="4C703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0D6BA4F2">
            <w:pPr>
              <w:autoSpaceDE w:val="0"/>
              <w:autoSpaceDN w:val="0"/>
              <w:adjustRightInd w:val="0"/>
              <w:spacing w:line="360" w:lineRule="auto"/>
              <w:jc w:val="cente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pacing w:val="-2"/>
                <w:kern w:val="2"/>
                <w:sz w:val="24"/>
                <w:szCs w:val="24"/>
                <w:highlight w:val="none"/>
                <w:lang w:val="zh-TW" w:eastAsia="zh-TW" w:bidi="ar-SA"/>
              </w:rPr>
              <w:t>1</w:t>
            </w:r>
          </w:p>
        </w:tc>
        <w:tc>
          <w:tcPr>
            <w:tcW w:w="1560" w:type="dxa"/>
            <w:vAlign w:val="center"/>
          </w:tcPr>
          <w:p w14:paraId="599DB173">
            <w:pPr>
              <w:autoSpaceDE w:val="0"/>
              <w:autoSpaceDN w:val="0"/>
              <w:adjustRightInd w:val="0"/>
              <w:spacing w:line="360" w:lineRule="auto"/>
              <w:jc w:val="cente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电梯技术指标</w:t>
            </w:r>
          </w:p>
        </w:tc>
        <w:tc>
          <w:tcPr>
            <w:tcW w:w="5772" w:type="dxa"/>
            <w:vAlign w:val="center"/>
          </w:tcPr>
          <w:p w14:paraId="749588AD">
            <w:pPr>
              <w:numPr>
                <w:ilvl w:val="0"/>
                <w:numId w:val="0"/>
              </w:num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客梯</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2台）</w:t>
            </w:r>
          </w:p>
          <w:p w14:paraId="128ADECE">
            <w:pPr>
              <w:numPr>
                <w:ilvl w:val="0"/>
                <w:numId w:val="0"/>
              </w:num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基本技术参数要求：</w:t>
            </w:r>
          </w:p>
          <w:p w14:paraId="7E4317C2">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载重量（</w:t>
            </w:r>
            <w:r>
              <w:rPr>
                <w:rFonts w:hint="eastAsia" w:asciiTheme="minorEastAsia" w:hAnsiTheme="minorEastAsia" w:eastAsiaTheme="minorEastAsia" w:cstheme="minorEastAsia"/>
                <w:color w:val="auto"/>
                <w:spacing w:val="-2"/>
                <w:kern w:val="2"/>
                <w:sz w:val="24"/>
                <w:szCs w:val="24"/>
                <w:highlight w:val="none"/>
                <w:lang w:val="en-US" w:eastAsia="zh-CN" w:bidi="ar-SA"/>
              </w:rPr>
              <w:t>kg</w:t>
            </w:r>
            <w:r>
              <w:rPr>
                <w:rFonts w:hint="eastAsia" w:asciiTheme="minorEastAsia" w:hAnsiTheme="minorEastAsia" w:eastAsiaTheme="minorEastAsia" w:cstheme="minorEastAsia"/>
                <w:color w:val="auto"/>
                <w:spacing w:val="-2"/>
                <w:kern w:val="2"/>
                <w:sz w:val="24"/>
                <w:szCs w:val="24"/>
                <w:highlight w:val="none"/>
                <w:lang w:val="zh-TW" w:eastAsia="zh-TW" w:bidi="ar-SA"/>
              </w:rPr>
              <w:t>）</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≥1000；额定</w:t>
            </w:r>
            <w:r>
              <w:rPr>
                <w:rFonts w:hint="eastAsia" w:asciiTheme="minorEastAsia" w:hAnsiTheme="minorEastAsia" w:eastAsiaTheme="minorEastAsia" w:cstheme="minorEastAsia"/>
                <w:color w:val="auto"/>
                <w:spacing w:val="-2"/>
                <w:kern w:val="2"/>
                <w:sz w:val="24"/>
                <w:szCs w:val="24"/>
                <w:highlight w:val="none"/>
                <w:lang w:val="zh-TW" w:eastAsia="zh-TW" w:bidi="ar-SA"/>
              </w:rPr>
              <w:t>速度（</w:t>
            </w:r>
            <w:r>
              <w:rPr>
                <w:rFonts w:hint="eastAsia" w:asciiTheme="minorEastAsia" w:hAnsiTheme="minorEastAsia" w:eastAsiaTheme="minorEastAsia" w:cstheme="minorEastAsia"/>
                <w:color w:val="auto"/>
                <w:spacing w:val="-2"/>
                <w:kern w:val="2"/>
                <w:sz w:val="24"/>
                <w:szCs w:val="24"/>
                <w:highlight w:val="none"/>
                <w:lang w:val="en-US" w:eastAsia="zh-CN" w:bidi="ar-SA"/>
              </w:rPr>
              <w:t>m/s</w:t>
            </w:r>
            <w:r>
              <w:rPr>
                <w:rFonts w:hint="eastAsia" w:asciiTheme="minorEastAsia" w:hAnsiTheme="minorEastAsia" w:eastAsiaTheme="minorEastAsia" w:cstheme="minorEastAsia"/>
                <w:color w:val="auto"/>
                <w:spacing w:val="-2"/>
                <w:kern w:val="2"/>
                <w:sz w:val="24"/>
                <w:szCs w:val="24"/>
                <w:highlight w:val="none"/>
                <w:lang w:val="zh-TW" w:eastAsia="zh-TW" w:bidi="ar-SA"/>
              </w:rPr>
              <w:t>）</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1.75；</w:t>
            </w:r>
            <w:r>
              <w:rPr>
                <w:rFonts w:hint="eastAsia" w:asciiTheme="minorEastAsia" w:hAnsiTheme="minorEastAsia" w:eastAsiaTheme="minorEastAsia" w:cstheme="minorEastAsia"/>
                <w:color w:val="auto"/>
                <w:spacing w:val="-2"/>
                <w:kern w:val="2"/>
                <w:sz w:val="24"/>
                <w:szCs w:val="24"/>
                <w:highlight w:val="none"/>
                <w:lang w:val="zh-TW" w:eastAsia="zh-TW" w:bidi="ar-SA"/>
              </w:rPr>
              <w:t>层站数</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7</w:t>
            </w:r>
            <w:r>
              <w:rPr>
                <w:rFonts w:hint="eastAsia" w:asciiTheme="minorEastAsia" w:hAnsiTheme="minorEastAsia" w:eastAsiaTheme="minorEastAsia" w:cstheme="minorEastAsia"/>
                <w:color w:val="auto"/>
                <w:spacing w:val="-2"/>
                <w:kern w:val="2"/>
                <w:sz w:val="24"/>
                <w:szCs w:val="24"/>
                <w:highlight w:val="none"/>
                <w:lang w:val="zh-TW" w:eastAsia="zh-CN" w:bidi="ar-SA"/>
              </w:rPr>
              <w:t>层</w:t>
            </w:r>
            <w:r>
              <w:rPr>
                <w:rFonts w:hint="eastAsia" w:asciiTheme="minorEastAsia" w:hAnsiTheme="minorEastAsia" w:eastAsiaTheme="minorEastAsia" w:cstheme="minorEastAsia"/>
                <w:color w:val="auto"/>
                <w:spacing w:val="-2"/>
                <w:kern w:val="2"/>
                <w:sz w:val="24"/>
                <w:szCs w:val="24"/>
                <w:highlight w:val="none"/>
                <w:lang w:val="en-US" w:eastAsia="zh-CN" w:bidi="ar-SA"/>
              </w:rPr>
              <w:t>7</w:t>
            </w:r>
            <w:r>
              <w:rPr>
                <w:rFonts w:hint="eastAsia" w:asciiTheme="minorEastAsia" w:hAnsiTheme="minorEastAsia" w:eastAsiaTheme="minorEastAsia" w:cstheme="minorEastAsia"/>
                <w:color w:val="auto"/>
                <w:spacing w:val="-2"/>
                <w:kern w:val="2"/>
                <w:sz w:val="24"/>
                <w:szCs w:val="24"/>
                <w:highlight w:val="none"/>
                <w:lang w:val="zh-TW" w:eastAsia="zh-CN" w:bidi="ar-SA"/>
              </w:rPr>
              <w:t>站；</w:t>
            </w:r>
            <w:r>
              <w:rPr>
                <w:rFonts w:hint="eastAsia" w:asciiTheme="minorEastAsia" w:hAnsiTheme="minorEastAsia" w:eastAsiaTheme="minorEastAsia" w:cstheme="minorEastAsia"/>
                <w:color w:val="auto"/>
                <w:spacing w:val="-2"/>
                <w:kern w:val="2"/>
                <w:sz w:val="24"/>
                <w:szCs w:val="24"/>
                <w:highlight w:val="none"/>
                <w:lang w:val="zh-TW" w:eastAsia="zh-TW" w:bidi="ar-SA"/>
              </w:rPr>
              <w:t>提升高度（m）</w:t>
            </w:r>
            <w:r>
              <w:rPr>
                <w:rFonts w:hint="eastAsia" w:asciiTheme="minorEastAsia" w:hAnsiTheme="minorEastAsia" w:eastAsiaTheme="minorEastAsia" w:cstheme="minorEastAsia"/>
                <w:color w:val="auto"/>
                <w:spacing w:val="-2"/>
                <w:kern w:val="2"/>
                <w:sz w:val="24"/>
                <w:szCs w:val="24"/>
                <w:highlight w:val="none"/>
                <w:lang w:val="en-US" w:eastAsia="zh-CN" w:bidi="ar-SA"/>
              </w:rPr>
              <w:t>:21.8。</w:t>
            </w:r>
          </w:p>
          <w:p w14:paraId="34CD6522">
            <w:pPr>
              <w:autoSpaceDE w:val="0"/>
              <w:autoSpaceDN w:val="0"/>
              <w:adjustRightInd w:val="0"/>
              <w:spacing w:line="360" w:lineRule="auto"/>
              <w:jc w:val="left"/>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color w:val="auto"/>
                <w:kern w:val="0"/>
                <w:sz w:val="24"/>
                <w:szCs w:val="24"/>
                <w:highlight w:val="none"/>
              </w:rPr>
              <w:t>注：</w:t>
            </w:r>
            <w:r>
              <w:rPr>
                <w:rFonts w:hint="eastAsia" w:asciiTheme="minorEastAsia" w:hAnsiTheme="minorEastAsia" w:eastAsiaTheme="minorEastAsia" w:cstheme="minorEastAsia"/>
                <w:b/>
                <w:bCs/>
                <w:color w:val="auto"/>
                <w:kern w:val="0"/>
                <w:sz w:val="24"/>
                <w:szCs w:val="24"/>
                <w:highlight w:val="none"/>
              </w:rPr>
              <w:t>1</w:t>
            </w:r>
            <w:r>
              <w:rPr>
                <w:rFonts w:hint="eastAsia" w:asciiTheme="minorEastAsia" w:hAnsiTheme="minorEastAsia" w:eastAsiaTheme="minorEastAsia" w:cstheme="minorEastAsia"/>
                <w:color w:val="auto"/>
                <w:kern w:val="0"/>
                <w:sz w:val="24"/>
                <w:szCs w:val="24"/>
                <w:highlight w:val="none"/>
              </w:rPr>
              <w:t>、井道尺寸</w:t>
            </w:r>
            <w:r>
              <w:rPr>
                <w:rFonts w:hint="eastAsia" w:asciiTheme="minorEastAsia" w:hAnsiTheme="minorEastAsia" w:eastAsiaTheme="minorEastAsia" w:cstheme="minorEastAsia"/>
                <w:color w:val="auto"/>
                <w:kern w:val="0"/>
                <w:sz w:val="24"/>
                <w:szCs w:val="24"/>
                <w:highlight w:val="none"/>
                <w:lang w:eastAsia="zh-CN"/>
              </w:rPr>
              <w:t>（2.1*2.4~1.8*2M）</w:t>
            </w:r>
            <w:r>
              <w:rPr>
                <w:rFonts w:hint="eastAsia" w:asciiTheme="minorEastAsia" w:hAnsiTheme="minorEastAsia" w:eastAsiaTheme="minorEastAsia" w:cstheme="minorEastAsia"/>
                <w:color w:val="auto"/>
                <w:kern w:val="0"/>
                <w:sz w:val="24"/>
                <w:szCs w:val="24"/>
                <w:highlight w:val="none"/>
              </w:rPr>
              <w:t>等与土建有关的参数仅供供应商参考</w:t>
            </w:r>
            <w:r>
              <w:rPr>
                <w:rFonts w:hint="eastAsia" w:asciiTheme="minorEastAsia" w:hAnsiTheme="minorEastAsia" w:eastAsiaTheme="minorEastAsia" w:cstheme="minorEastAsia"/>
                <w:b/>
                <w:bCs/>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rPr>
              <w:t xml:space="preserve"> 采购人不组织集体勘察，供应商可自行前往现场勘察，如因未到现场勘察而导致的一切后果由供应商自行承担。如实际数据与本表不一致</w:t>
            </w:r>
            <w:r>
              <w:rPr>
                <w:rFonts w:hint="eastAsia" w:asciiTheme="minorEastAsia" w:hAnsiTheme="minorEastAsia" w:eastAsiaTheme="minorEastAsia" w:cstheme="minorEastAsia"/>
                <w:b/>
                <w:bCs/>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rPr>
              <w:t>以实际数据为准，供应商在中标后不得以此为由要求采购人增加任何费用；</w:t>
            </w:r>
            <w:r>
              <w:rPr>
                <w:rFonts w:hint="eastAsia" w:asciiTheme="minorEastAsia" w:hAnsiTheme="minorEastAsia" w:eastAsiaTheme="minorEastAsia" w:cstheme="minorEastAsia"/>
                <w:b/>
                <w:bCs/>
                <w:color w:val="auto"/>
                <w:kern w:val="0"/>
                <w:sz w:val="24"/>
                <w:szCs w:val="24"/>
                <w:highlight w:val="none"/>
              </w:rPr>
              <w:t xml:space="preserve">2. </w:t>
            </w:r>
            <w:r>
              <w:rPr>
                <w:rFonts w:hint="eastAsia" w:asciiTheme="minorEastAsia" w:hAnsiTheme="minorEastAsia" w:eastAsiaTheme="minorEastAsia" w:cstheme="minorEastAsia"/>
                <w:color w:val="auto"/>
                <w:kern w:val="0"/>
                <w:sz w:val="24"/>
                <w:szCs w:val="24"/>
                <w:highlight w:val="none"/>
              </w:rPr>
              <w:t>本项目不允许转包。</w:t>
            </w:r>
          </w:p>
        </w:tc>
        <w:tc>
          <w:tcPr>
            <w:tcW w:w="890" w:type="dxa"/>
            <w:vAlign w:val="center"/>
          </w:tcPr>
          <w:p w14:paraId="3F7DD114">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r>
              <w:rPr>
                <w:rFonts w:hint="eastAsia" w:asciiTheme="minorEastAsia" w:hAnsiTheme="minorEastAsia" w:eastAsiaTheme="minorEastAsia" w:cstheme="minorEastAsia"/>
                <w:b/>
                <w:color w:val="auto"/>
                <w:sz w:val="24"/>
                <w:szCs w:val="24"/>
                <w:highlight w:val="none"/>
                <w:lang w:val="en-US" w:eastAsia="zh-CN"/>
              </w:rPr>
              <w:t>2台</w:t>
            </w:r>
          </w:p>
        </w:tc>
      </w:tr>
      <w:tr w14:paraId="27549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778DD00B">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2</w:t>
            </w:r>
          </w:p>
        </w:tc>
        <w:tc>
          <w:tcPr>
            <w:tcW w:w="1560" w:type="dxa"/>
            <w:vAlign w:val="center"/>
          </w:tcPr>
          <w:p w14:paraId="66DD1A11">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电梯技术规格</w:t>
            </w:r>
          </w:p>
        </w:tc>
        <w:tc>
          <w:tcPr>
            <w:tcW w:w="5772" w:type="dxa"/>
            <w:vAlign w:val="center"/>
          </w:tcPr>
          <w:p w14:paraId="03D4E303">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（1）电梯类型：无机房曳引式电梯</w:t>
            </w:r>
          </w:p>
          <w:p w14:paraId="0ED5AD2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（2）电梯控制系统：全电脑模块化控制系统，数据网络控制技术，</w:t>
            </w:r>
            <w:r>
              <w:rPr>
                <w:rFonts w:hint="eastAsia" w:asciiTheme="minorEastAsia" w:hAnsiTheme="minorEastAsia" w:eastAsiaTheme="minorEastAsia" w:cstheme="minorEastAsia"/>
                <w:color w:val="auto"/>
                <w:sz w:val="24"/>
                <w:highlight w:val="none"/>
                <w14:ligatures w14:val="none"/>
              </w:rPr>
              <w:t>商标与所投电梯的原品牌国商标一致</w:t>
            </w:r>
          </w:p>
          <w:p w14:paraId="3272DA66">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（3）</w:t>
            </w:r>
            <w:r>
              <w:rPr>
                <w:rFonts w:hint="eastAsia" w:asciiTheme="minorEastAsia" w:hAnsiTheme="minorEastAsia" w:eastAsiaTheme="minorEastAsia" w:cstheme="minorEastAsia"/>
                <w:color w:val="auto"/>
                <w:spacing w:val="-2"/>
                <w:kern w:val="2"/>
                <w:sz w:val="24"/>
                <w:szCs w:val="24"/>
                <w:highlight w:val="none"/>
                <w:lang w:val="zh-TW" w:eastAsia="zh-CN" w:bidi="ar-SA"/>
              </w:rPr>
              <w:t>驱动方式：</w:t>
            </w:r>
            <w:r>
              <w:rPr>
                <w:rFonts w:hint="eastAsia" w:asciiTheme="minorEastAsia" w:hAnsiTheme="minorEastAsia" w:eastAsiaTheme="minorEastAsia" w:cstheme="minorEastAsia"/>
                <w:color w:val="auto"/>
                <w:spacing w:val="-2"/>
                <w:kern w:val="2"/>
                <w:sz w:val="24"/>
                <w:szCs w:val="24"/>
                <w:highlight w:val="none"/>
                <w:lang w:val="en-US" w:eastAsia="zh-CN" w:bidi="ar-SA"/>
              </w:rPr>
              <w:t>32 位微机控制变压变频调速[VVVF]控制，且[VVVF]控制要有防干扰系统</w:t>
            </w:r>
          </w:p>
          <w:p w14:paraId="0A3C0C9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（4）</w:t>
            </w:r>
            <w:r>
              <w:rPr>
                <w:rFonts w:hint="eastAsia" w:asciiTheme="minorEastAsia" w:hAnsiTheme="minorEastAsia" w:eastAsiaTheme="minorEastAsia" w:cstheme="minorEastAsia"/>
                <w:color w:val="auto"/>
                <w:spacing w:val="-2"/>
                <w:kern w:val="2"/>
                <w:sz w:val="24"/>
                <w:szCs w:val="24"/>
                <w:highlight w:val="none"/>
                <w:lang w:val="zh-TW" w:eastAsia="zh-TW" w:bidi="ar-SA"/>
              </w:rPr>
              <w:t>门机控制系统</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永磁同步 PM 马达门机，</w:t>
            </w:r>
            <w:r>
              <w:rPr>
                <w:rFonts w:hint="eastAsia" w:asciiTheme="minorEastAsia" w:hAnsiTheme="minorEastAsia" w:eastAsiaTheme="minorEastAsia" w:cstheme="minorEastAsia"/>
                <w:color w:val="auto"/>
                <w:sz w:val="24"/>
                <w:highlight w:val="none"/>
                <w14:ligatures w14:val="none"/>
              </w:rPr>
              <w:t>商标与所投电梯的原品牌国商标一致</w:t>
            </w:r>
          </w:p>
          <w:p w14:paraId="5E11ECA6">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（5）</w:t>
            </w:r>
            <w:r>
              <w:rPr>
                <w:rFonts w:hint="eastAsia" w:asciiTheme="minorEastAsia" w:hAnsiTheme="minorEastAsia" w:eastAsiaTheme="minorEastAsia" w:cstheme="minorEastAsia"/>
                <w:color w:val="auto"/>
                <w:spacing w:val="-2"/>
                <w:kern w:val="2"/>
                <w:sz w:val="24"/>
                <w:szCs w:val="24"/>
                <w:highlight w:val="none"/>
                <w:lang w:val="zh-TW" w:eastAsia="zh-TW" w:bidi="ar-SA"/>
              </w:rPr>
              <w:t>主机调速方式</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交流变频变压调速（</w:t>
            </w:r>
            <w:r>
              <w:rPr>
                <w:rFonts w:hint="eastAsia" w:asciiTheme="minorEastAsia" w:hAnsiTheme="minorEastAsia" w:eastAsiaTheme="minorEastAsia" w:cstheme="minorEastAsia"/>
                <w:color w:val="auto"/>
                <w:spacing w:val="-2"/>
                <w:kern w:val="2"/>
                <w:sz w:val="24"/>
                <w:szCs w:val="24"/>
                <w:highlight w:val="none"/>
                <w:lang w:val="en-US" w:eastAsia="zh-CN" w:bidi="ar-SA"/>
              </w:rPr>
              <w:t>VVVF</w:t>
            </w:r>
            <w:r>
              <w:rPr>
                <w:rFonts w:hint="eastAsia" w:asciiTheme="minorEastAsia" w:hAnsiTheme="minorEastAsia" w:eastAsiaTheme="minorEastAsia" w:cstheme="minorEastAsia"/>
                <w:color w:val="auto"/>
                <w:spacing w:val="-2"/>
                <w:kern w:val="2"/>
                <w:sz w:val="24"/>
                <w:szCs w:val="24"/>
                <w:highlight w:val="none"/>
                <w:lang w:val="zh-TW" w:eastAsia="zh-TW" w:bidi="ar-SA"/>
              </w:rPr>
              <w:t>）</w:t>
            </w:r>
          </w:p>
          <w:p w14:paraId="7FD3DF49">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6）</w:t>
            </w:r>
            <w:r>
              <w:rPr>
                <w:rFonts w:hint="eastAsia" w:asciiTheme="minorEastAsia" w:hAnsiTheme="minorEastAsia" w:eastAsiaTheme="minorEastAsia" w:cstheme="minorEastAsia"/>
                <w:color w:val="auto"/>
                <w:spacing w:val="-2"/>
                <w:kern w:val="2"/>
                <w:sz w:val="24"/>
                <w:szCs w:val="24"/>
                <w:highlight w:val="none"/>
                <w:lang w:val="zh-TW" w:eastAsia="zh-TW" w:bidi="ar-SA"/>
              </w:rPr>
              <w:t>操作系统</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并联</w:t>
            </w:r>
          </w:p>
          <w:p w14:paraId="2E2B8805">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（7）</w:t>
            </w:r>
            <w:r>
              <w:rPr>
                <w:rFonts w:hint="eastAsia" w:asciiTheme="minorEastAsia" w:hAnsiTheme="minorEastAsia" w:eastAsiaTheme="minorEastAsia" w:cstheme="minorEastAsia"/>
                <w:color w:val="auto"/>
                <w:spacing w:val="-2"/>
                <w:kern w:val="2"/>
                <w:sz w:val="24"/>
                <w:szCs w:val="24"/>
                <w:highlight w:val="none"/>
                <w:lang w:val="zh-TW" w:eastAsia="zh-TW" w:bidi="ar-SA"/>
              </w:rPr>
              <w:t>曳引机的驱动方式</w:t>
            </w:r>
            <w:r>
              <w:rPr>
                <w:rFonts w:hint="eastAsia" w:asciiTheme="minorEastAsia" w:hAnsiTheme="minorEastAsia" w:eastAsiaTheme="minorEastAsia" w:cstheme="minorEastAsia"/>
                <w:color w:val="auto"/>
                <w:spacing w:val="-2"/>
                <w:kern w:val="2"/>
                <w:sz w:val="24"/>
                <w:szCs w:val="24"/>
                <w:highlight w:val="none"/>
                <w:lang w:val="en-US"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永磁同步曳引机（无齿轮）</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z w:val="24"/>
                <w:highlight w:val="none"/>
                <w14:ligatures w14:val="none"/>
              </w:rPr>
              <w:t>商标与所投电梯的原品牌国商标一致</w:t>
            </w:r>
          </w:p>
          <w:p w14:paraId="185DB7A0">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8）</w:t>
            </w:r>
            <w:r>
              <w:rPr>
                <w:rFonts w:hint="eastAsia" w:asciiTheme="minorEastAsia" w:hAnsiTheme="minorEastAsia" w:eastAsiaTheme="minorEastAsia" w:cstheme="minorEastAsia"/>
                <w:color w:val="auto"/>
                <w:spacing w:val="-2"/>
                <w:kern w:val="2"/>
                <w:sz w:val="24"/>
                <w:szCs w:val="24"/>
                <w:highlight w:val="none"/>
                <w:lang w:val="zh-TW" w:eastAsia="zh-TW" w:bidi="ar-SA"/>
              </w:rPr>
              <w:t>电机功率</w:t>
            </w:r>
            <w:r>
              <w:rPr>
                <w:rFonts w:hint="eastAsia" w:asciiTheme="minorEastAsia" w:hAnsiTheme="minorEastAsia" w:eastAsiaTheme="minorEastAsia" w:cstheme="minorEastAsia"/>
                <w:color w:val="auto"/>
                <w:spacing w:val="-2"/>
                <w:kern w:val="2"/>
                <w:sz w:val="24"/>
                <w:szCs w:val="24"/>
                <w:highlight w:val="none"/>
                <w:lang w:val="en-US" w:eastAsia="zh-CN" w:bidi="ar-SA"/>
              </w:rPr>
              <w:t>:符合国家现行规范标准2级及以上的能效等级。</w:t>
            </w:r>
          </w:p>
          <w:p w14:paraId="139732CE">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9）</w:t>
            </w:r>
            <w:r>
              <w:rPr>
                <w:rFonts w:hint="eastAsia" w:asciiTheme="minorEastAsia" w:hAnsiTheme="minorEastAsia" w:eastAsiaTheme="minorEastAsia" w:cstheme="minorEastAsia"/>
                <w:color w:val="auto"/>
                <w:spacing w:val="-2"/>
                <w:kern w:val="2"/>
                <w:sz w:val="24"/>
                <w:szCs w:val="24"/>
                <w:highlight w:val="none"/>
                <w:lang w:val="zh-TW" w:eastAsia="zh-TW" w:bidi="ar-SA"/>
              </w:rPr>
              <w:t>平层精度</w:t>
            </w:r>
            <w:r>
              <w:rPr>
                <w:rFonts w:hint="eastAsia" w:asciiTheme="minorEastAsia" w:hAnsiTheme="minorEastAsia" w:eastAsiaTheme="minorEastAsia" w:cstheme="minorEastAsia"/>
                <w:color w:val="auto"/>
                <w:spacing w:val="-2"/>
                <w:kern w:val="2"/>
                <w:sz w:val="24"/>
                <w:szCs w:val="24"/>
                <w:highlight w:val="none"/>
                <w:lang w:val="en-US" w:eastAsia="zh-CN" w:bidi="ar-SA"/>
              </w:rPr>
              <w:t>:≤±5</w:t>
            </w:r>
          </w:p>
          <w:p w14:paraId="66EBE0ED">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（10）</w:t>
            </w:r>
            <w:r>
              <w:rPr>
                <w:rFonts w:hint="eastAsia" w:asciiTheme="minorEastAsia" w:hAnsiTheme="minorEastAsia" w:eastAsiaTheme="minorEastAsia" w:cstheme="minorEastAsia"/>
                <w:color w:val="auto"/>
                <w:spacing w:val="-2"/>
                <w:kern w:val="2"/>
                <w:sz w:val="24"/>
                <w:szCs w:val="24"/>
                <w:highlight w:val="none"/>
                <w:lang w:val="zh-TW" w:eastAsia="zh-TW" w:bidi="ar-SA"/>
              </w:rPr>
              <w:t>电源要求</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动力电源： 380 伏50 赫兹</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照明电源： 220 伏50 赫兹</w:t>
            </w:r>
          </w:p>
          <w:p w14:paraId="15737109">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11）</w:t>
            </w:r>
            <w:r>
              <w:rPr>
                <w:rFonts w:hint="eastAsia" w:asciiTheme="minorEastAsia" w:hAnsiTheme="minorEastAsia" w:eastAsiaTheme="minorEastAsia" w:cstheme="minorEastAsia"/>
                <w:color w:val="auto"/>
                <w:spacing w:val="-2"/>
                <w:kern w:val="2"/>
                <w:sz w:val="24"/>
                <w:szCs w:val="24"/>
                <w:highlight w:val="none"/>
                <w:lang w:val="zh-TW" w:eastAsia="zh-TW" w:bidi="ar-SA"/>
              </w:rPr>
              <w:t>噪声指标</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满足国标</w:t>
            </w:r>
          </w:p>
          <w:p w14:paraId="4E028933">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12）</w:t>
            </w:r>
            <w:r>
              <w:rPr>
                <w:rFonts w:hint="eastAsia" w:asciiTheme="minorEastAsia" w:hAnsiTheme="minorEastAsia" w:eastAsiaTheme="minorEastAsia" w:cstheme="minorEastAsia"/>
                <w:color w:val="auto"/>
                <w:spacing w:val="-2"/>
                <w:kern w:val="2"/>
                <w:sz w:val="24"/>
                <w:szCs w:val="24"/>
                <w:highlight w:val="none"/>
                <w:lang w:val="zh-TW" w:eastAsia="zh-TW" w:bidi="ar-SA"/>
              </w:rPr>
              <w:t>称重装置的类型、精度</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电子连续称重装置，精度</w:t>
            </w:r>
            <w:r>
              <w:rPr>
                <w:rFonts w:hint="eastAsia" w:asciiTheme="minorEastAsia" w:hAnsiTheme="minorEastAsia" w:eastAsiaTheme="minorEastAsia" w:cstheme="minorEastAsia"/>
                <w:color w:val="auto"/>
                <w:spacing w:val="-2"/>
                <w:kern w:val="2"/>
                <w:sz w:val="24"/>
                <w:szCs w:val="24"/>
                <w:highlight w:val="none"/>
                <w:lang w:val="en-US" w:eastAsia="zh-CN" w:bidi="ar-SA"/>
              </w:rPr>
              <w:t>3</w:t>
            </w:r>
            <w:r>
              <w:rPr>
                <w:rFonts w:hint="eastAsia" w:asciiTheme="minorEastAsia" w:hAnsiTheme="minorEastAsia" w:eastAsiaTheme="minorEastAsia" w:cstheme="minorEastAsia"/>
                <w:color w:val="auto"/>
                <w:spacing w:val="-2"/>
                <w:kern w:val="2"/>
                <w:sz w:val="24"/>
                <w:szCs w:val="24"/>
                <w:highlight w:val="none"/>
                <w:lang w:val="zh-TW" w:eastAsia="zh-TW" w:bidi="ar-SA"/>
              </w:rPr>
              <w:t>％</w:t>
            </w:r>
          </w:p>
          <w:p w14:paraId="31260B0F">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13）光幕保护装置或光幕：光幕的防护等级≥IP54 且扫描光束≥150 束。</w:t>
            </w:r>
          </w:p>
          <w:p w14:paraId="69C15F1B">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14）</w:t>
            </w:r>
            <w:r>
              <w:rPr>
                <w:rFonts w:hint="eastAsia" w:asciiTheme="minorEastAsia" w:hAnsiTheme="minorEastAsia" w:eastAsiaTheme="minorEastAsia" w:cstheme="minorEastAsia"/>
                <w:color w:val="auto"/>
                <w:spacing w:val="-2"/>
                <w:kern w:val="2"/>
                <w:sz w:val="24"/>
                <w:szCs w:val="24"/>
                <w:highlight w:val="none"/>
                <w:lang w:val="zh-TW" w:eastAsia="zh-TW" w:bidi="ar-SA"/>
              </w:rPr>
              <w:t>召唤按钮</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轻触式微动按钮</w:t>
            </w:r>
          </w:p>
          <w:p w14:paraId="5C514E08">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15）</w:t>
            </w:r>
            <w:r>
              <w:rPr>
                <w:rFonts w:hint="eastAsia" w:asciiTheme="minorEastAsia" w:hAnsiTheme="minorEastAsia" w:eastAsiaTheme="minorEastAsia" w:cstheme="minorEastAsia"/>
                <w:color w:val="auto"/>
                <w:spacing w:val="-2"/>
                <w:kern w:val="2"/>
                <w:sz w:val="24"/>
                <w:szCs w:val="24"/>
                <w:highlight w:val="none"/>
                <w:lang w:val="zh-TW" w:eastAsia="zh-TW" w:bidi="ar-SA"/>
              </w:rPr>
              <w:t>轿厢操作盘与通信方式</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发纹不锈钢面板，不锈钢微动按钮，警铃，五方通话，带电梯运行锁，楼层及开关门按钮，对讲及报警装置等功能键，轿厢上、下行及位置显示</w:t>
            </w:r>
          </w:p>
          <w:p w14:paraId="2238E98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16）</w:t>
            </w:r>
            <w:r>
              <w:rPr>
                <w:rFonts w:hint="eastAsia" w:asciiTheme="minorEastAsia" w:hAnsiTheme="minorEastAsia" w:eastAsiaTheme="minorEastAsia" w:cstheme="minorEastAsia"/>
                <w:color w:val="auto"/>
                <w:spacing w:val="-2"/>
                <w:kern w:val="2"/>
                <w:sz w:val="24"/>
                <w:szCs w:val="24"/>
                <w:highlight w:val="none"/>
                <w:lang w:val="zh-TW" w:eastAsia="zh-TW" w:bidi="ar-SA"/>
              </w:rPr>
              <w:t>轿厢、厅门、门套</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轿厢：发纹不锈钢；厅门：发纹不锈钢；门套：</w:t>
            </w:r>
            <w:r>
              <w:rPr>
                <w:rFonts w:hint="eastAsia" w:asciiTheme="minorEastAsia" w:hAnsiTheme="minorEastAsia" w:eastAsiaTheme="minorEastAsia" w:cstheme="minorEastAsia"/>
                <w:color w:val="auto"/>
                <w:spacing w:val="-2"/>
                <w:kern w:val="2"/>
                <w:sz w:val="24"/>
                <w:szCs w:val="24"/>
                <w:highlight w:val="none"/>
                <w:lang w:val="zh-TW" w:eastAsia="zh-CN" w:bidi="ar-SA"/>
              </w:rPr>
              <w:t>发纹</w:t>
            </w:r>
            <w:r>
              <w:rPr>
                <w:rFonts w:hint="eastAsia" w:asciiTheme="minorEastAsia" w:hAnsiTheme="minorEastAsia" w:eastAsiaTheme="minorEastAsia" w:cstheme="minorEastAsia"/>
                <w:color w:val="auto"/>
                <w:spacing w:val="-2"/>
                <w:kern w:val="2"/>
                <w:sz w:val="24"/>
                <w:szCs w:val="24"/>
                <w:highlight w:val="none"/>
                <w:lang w:val="zh-TW" w:eastAsia="zh-TW" w:bidi="ar-SA"/>
              </w:rPr>
              <w:t>不锈钢</w:t>
            </w:r>
            <w:r>
              <w:rPr>
                <w:rFonts w:hint="eastAsia" w:asciiTheme="minorEastAsia" w:hAnsiTheme="minorEastAsia" w:eastAsiaTheme="minorEastAsia" w:cstheme="minorEastAsia"/>
                <w:color w:val="auto"/>
                <w:spacing w:val="-2"/>
                <w:kern w:val="2"/>
                <w:sz w:val="24"/>
                <w:szCs w:val="24"/>
                <w:highlight w:val="none"/>
                <w:lang w:val="zh-TW" w:eastAsia="zh-CN" w:bidi="ar-SA"/>
              </w:rPr>
              <w:t>小门套；</w:t>
            </w:r>
            <w:r>
              <w:rPr>
                <w:rFonts w:hint="eastAsia" w:asciiTheme="minorEastAsia" w:hAnsiTheme="minorEastAsia" w:eastAsiaTheme="minorEastAsia" w:cstheme="minorEastAsia"/>
                <w:color w:val="auto"/>
                <w:spacing w:val="-2"/>
                <w:kern w:val="2"/>
                <w:sz w:val="24"/>
                <w:szCs w:val="24"/>
                <w:highlight w:val="none"/>
                <w:lang w:val="zh-TW" w:eastAsia="zh-TW" w:bidi="ar-SA"/>
              </w:rPr>
              <w:t>地板：</w:t>
            </w:r>
            <w:r>
              <w:rPr>
                <w:rFonts w:hint="eastAsia" w:asciiTheme="minorEastAsia" w:hAnsiTheme="minorEastAsia" w:eastAsiaTheme="minorEastAsia" w:cstheme="minorEastAsia"/>
                <w:color w:val="auto"/>
                <w:spacing w:val="-2"/>
                <w:kern w:val="2"/>
                <w:sz w:val="24"/>
                <w:szCs w:val="24"/>
                <w:highlight w:val="none"/>
                <w:lang w:val="en-US" w:eastAsia="zh-TW" w:bidi="ar-SA"/>
              </w:rPr>
              <w:t>PVC</w:t>
            </w:r>
            <w:r>
              <w:rPr>
                <w:rFonts w:hint="eastAsia" w:asciiTheme="minorEastAsia" w:hAnsiTheme="minorEastAsia" w:eastAsiaTheme="minorEastAsia" w:cstheme="minorEastAsia"/>
                <w:color w:val="auto"/>
                <w:spacing w:val="-2"/>
                <w:kern w:val="2"/>
                <w:sz w:val="24"/>
                <w:szCs w:val="24"/>
                <w:highlight w:val="none"/>
                <w:lang w:val="zh-TW" w:eastAsia="zh-TW" w:bidi="ar-SA"/>
              </w:rPr>
              <w:t>地板（所有钢材均为</w:t>
            </w:r>
            <w:r>
              <w:rPr>
                <w:rFonts w:hint="eastAsia" w:asciiTheme="minorEastAsia" w:hAnsiTheme="minorEastAsia" w:eastAsiaTheme="minorEastAsia" w:cstheme="minorEastAsia"/>
                <w:color w:val="auto"/>
                <w:spacing w:val="-2"/>
                <w:kern w:val="2"/>
                <w:sz w:val="24"/>
                <w:szCs w:val="24"/>
                <w:highlight w:val="none"/>
                <w:lang w:val="en-US" w:eastAsia="zh-CN" w:bidi="ar-SA"/>
              </w:rPr>
              <w:t>304</w:t>
            </w:r>
            <w:r>
              <w:rPr>
                <w:rFonts w:hint="eastAsia" w:asciiTheme="minorEastAsia" w:hAnsiTheme="minorEastAsia" w:eastAsiaTheme="minorEastAsia" w:cstheme="minorEastAsia"/>
                <w:color w:val="auto"/>
                <w:spacing w:val="-2"/>
                <w:kern w:val="2"/>
                <w:sz w:val="24"/>
                <w:szCs w:val="24"/>
                <w:highlight w:val="none"/>
                <w:lang w:val="zh-TW" w:eastAsia="zh-TW" w:bidi="ar-SA"/>
              </w:rPr>
              <w:t>不锈钢）</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金属层门、轿门基材厚度≥1.5mm。</w:t>
            </w:r>
          </w:p>
          <w:p w14:paraId="5D90CBCB">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17）</w:t>
            </w:r>
            <w:r>
              <w:rPr>
                <w:rFonts w:hint="eastAsia" w:asciiTheme="minorEastAsia" w:hAnsiTheme="minorEastAsia" w:eastAsiaTheme="minorEastAsia" w:cstheme="minorEastAsia"/>
                <w:color w:val="auto"/>
                <w:spacing w:val="-2"/>
                <w:kern w:val="2"/>
                <w:sz w:val="24"/>
                <w:szCs w:val="24"/>
                <w:highlight w:val="none"/>
                <w:lang w:val="zh-TW" w:eastAsia="zh-TW" w:bidi="ar-SA"/>
              </w:rPr>
              <w:t>轿厢速度及平层偏差参数</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符合国标要求</w:t>
            </w:r>
          </w:p>
          <w:p w14:paraId="2EBEFE2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18）</w:t>
            </w:r>
            <w:r>
              <w:rPr>
                <w:rFonts w:hint="eastAsia" w:asciiTheme="minorEastAsia" w:hAnsiTheme="minorEastAsia" w:eastAsiaTheme="minorEastAsia" w:cstheme="minorEastAsia"/>
                <w:color w:val="auto"/>
                <w:spacing w:val="-2"/>
                <w:kern w:val="2"/>
                <w:sz w:val="24"/>
                <w:szCs w:val="24"/>
                <w:highlight w:val="none"/>
                <w:lang w:val="zh-TW" w:eastAsia="zh-TW" w:bidi="ar-SA"/>
              </w:rPr>
              <w:t>井道、坑道要求</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具有强迫</w:t>
            </w:r>
            <w:r>
              <w:rPr>
                <w:rFonts w:hint="eastAsia" w:asciiTheme="minorEastAsia" w:hAnsiTheme="minorEastAsia" w:eastAsiaTheme="minorEastAsia" w:cstheme="minorEastAsia"/>
                <w:color w:val="auto"/>
                <w:spacing w:val="-2"/>
                <w:kern w:val="2"/>
                <w:sz w:val="24"/>
                <w:szCs w:val="24"/>
                <w:highlight w:val="none"/>
                <w:lang w:val="zh-TW" w:eastAsia="zh-CN" w:bidi="ar-SA"/>
              </w:rPr>
              <w:t>缓速</w:t>
            </w:r>
            <w:r>
              <w:rPr>
                <w:rFonts w:hint="eastAsia" w:asciiTheme="minorEastAsia" w:hAnsiTheme="minorEastAsia" w:eastAsiaTheme="minorEastAsia" w:cstheme="minorEastAsia"/>
                <w:color w:val="auto"/>
                <w:spacing w:val="-2"/>
                <w:kern w:val="2"/>
                <w:sz w:val="24"/>
                <w:szCs w:val="24"/>
                <w:highlight w:val="none"/>
                <w:lang w:val="zh-TW" w:eastAsia="zh-TW" w:bidi="ar-SA"/>
              </w:rPr>
              <w:t>开关、终端限位开关、终端极限限位开关等上下终端保护功能</w:t>
            </w:r>
          </w:p>
          <w:p w14:paraId="2D6E67A5">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19）</w:t>
            </w:r>
            <w:r>
              <w:rPr>
                <w:rFonts w:hint="eastAsia" w:asciiTheme="minorEastAsia" w:hAnsiTheme="minorEastAsia" w:eastAsiaTheme="minorEastAsia" w:cstheme="minorEastAsia"/>
                <w:color w:val="auto"/>
                <w:spacing w:val="-2"/>
                <w:kern w:val="2"/>
                <w:sz w:val="24"/>
                <w:szCs w:val="24"/>
                <w:highlight w:val="none"/>
                <w:lang w:val="zh-TW" w:eastAsia="zh-TW" w:bidi="ar-SA"/>
              </w:rPr>
              <w:t>无障碍电梯</w:t>
            </w:r>
            <w:r>
              <w:rPr>
                <w:rFonts w:hint="eastAsia" w:asciiTheme="minorEastAsia" w:hAnsiTheme="minorEastAsia" w:eastAsiaTheme="minorEastAsia" w:cstheme="minorEastAsia"/>
                <w:color w:val="auto"/>
                <w:spacing w:val="-2"/>
                <w:kern w:val="2"/>
                <w:sz w:val="24"/>
                <w:szCs w:val="24"/>
                <w:highlight w:val="none"/>
                <w:lang w:val="zh-TW" w:eastAsia="zh-CN" w:bidi="ar-SA"/>
              </w:rPr>
              <w:t>：需增加</w:t>
            </w:r>
            <w:r>
              <w:rPr>
                <w:rFonts w:hint="eastAsia" w:asciiTheme="minorEastAsia" w:hAnsiTheme="minorEastAsia" w:eastAsiaTheme="minorEastAsia" w:cstheme="minorEastAsia"/>
                <w:color w:val="auto"/>
                <w:spacing w:val="-2"/>
                <w:kern w:val="2"/>
                <w:sz w:val="24"/>
                <w:szCs w:val="24"/>
                <w:highlight w:val="none"/>
                <w:lang w:val="zh-TW" w:eastAsia="zh-TW" w:bidi="ar-SA"/>
              </w:rPr>
              <w:t>残疾人操纵盘、扶手、后壁半身镜、盲文按钮</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语音</w:t>
            </w:r>
            <w:r>
              <w:rPr>
                <w:rFonts w:hint="eastAsia" w:asciiTheme="minorEastAsia" w:hAnsiTheme="minorEastAsia" w:eastAsiaTheme="minorEastAsia" w:cstheme="minorEastAsia"/>
                <w:color w:val="auto"/>
                <w:spacing w:val="-2"/>
                <w:kern w:val="2"/>
                <w:sz w:val="24"/>
                <w:szCs w:val="24"/>
                <w:highlight w:val="none"/>
                <w:lang w:val="zh-TW" w:eastAsia="zh-CN" w:bidi="ar-SA"/>
              </w:rPr>
              <w:t>报站等功能</w:t>
            </w:r>
          </w:p>
          <w:p w14:paraId="34EF3250">
            <w:pPr>
              <w:pStyle w:val="2"/>
              <w:rPr>
                <w:rFonts w:hint="default" w:eastAsiaTheme="minorEastAsia"/>
                <w:lang w:val="en-US" w:eastAsia="zh-CN"/>
              </w:rPr>
            </w:pPr>
            <w:r>
              <w:rPr>
                <w:rFonts w:hint="eastAsia" w:asciiTheme="minorEastAsia" w:hAnsiTheme="minorEastAsia" w:cstheme="minorEastAsia"/>
                <w:color w:val="auto"/>
                <w:spacing w:val="-2"/>
                <w:kern w:val="2"/>
                <w:sz w:val="24"/>
                <w:szCs w:val="24"/>
                <w:highlight w:val="none"/>
                <w:lang w:val="zh-TW" w:eastAsia="zh-CN" w:bidi="ar-SA"/>
              </w:rPr>
              <w:t>（</w:t>
            </w:r>
            <w:r>
              <w:rPr>
                <w:rFonts w:hint="eastAsia" w:asciiTheme="minorEastAsia" w:hAnsiTheme="minorEastAsia" w:cstheme="minorEastAsia"/>
                <w:color w:val="auto"/>
                <w:spacing w:val="-2"/>
                <w:kern w:val="2"/>
                <w:sz w:val="24"/>
                <w:szCs w:val="24"/>
                <w:highlight w:val="none"/>
                <w:lang w:val="en-US" w:eastAsia="zh-CN" w:bidi="ar-SA"/>
              </w:rPr>
              <w:t>20）</w:t>
            </w:r>
            <w:r>
              <w:rPr>
                <w:rFonts w:hint="eastAsia" w:asciiTheme="minorEastAsia" w:hAnsiTheme="minorEastAsia" w:eastAsiaTheme="minorEastAsia" w:cstheme="minorEastAsia"/>
                <w:b w:val="0"/>
                <w:bCs w:val="0"/>
                <w:color w:val="auto"/>
                <w:spacing w:val="-2"/>
                <w:kern w:val="2"/>
                <w:sz w:val="24"/>
                <w:szCs w:val="24"/>
                <w:highlight w:val="none"/>
                <w:lang w:val="zh-TW"/>
              </w:rPr>
              <w:t>雷击浪涌防护装置</w:t>
            </w:r>
            <w:r>
              <w:rPr>
                <w:rFonts w:hint="eastAsia" w:asciiTheme="minorEastAsia" w:hAnsiTheme="minorEastAsia" w:cstheme="minorEastAsia"/>
                <w:b w:val="0"/>
                <w:bCs w:val="0"/>
                <w:color w:val="auto"/>
                <w:spacing w:val="-2"/>
                <w:kern w:val="2"/>
                <w:sz w:val="24"/>
                <w:szCs w:val="24"/>
                <w:highlight w:val="none"/>
                <w:lang w:val="zh-TW" w:eastAsia="zh-CN"/>
              </w:rPr>
              <w:t>：</w:t>
            </w:r>
            <w:r>
              <w:rPr>
                <w:rFonts w:hint="eastAsia" w:asciiTheme="minorEastAsia" w:hAnsiTheme="minorEastAsia" w:cstheme="minorEastAsia"/>
                <w:b w:val="0"/>
                <w:bCs w:val="0"/>
                <w:color w:val="auto"/>
                <w:spacing w:val="-2"/>
                <w:kern w:val="2"/>
                <w:sz w:val="24"/>
                <w:szCs w:val="24"/>
                <w:highlight w:val="none"/>
                <w:lang w:val="en-US" w:eastAsia="zh-CN"/>
              </w:rPr>
              <w:t>控制柜需通过≥4kV（线地）雷击浪涌抗扰测试</w:t>
            </w:r>
          </w:p>
        </w:tc>
        <w:tc>
          <w:tcPr>
            <w:tcW w:w="890" w:type="dxa"/>
            <w:vAlign w:val="center"/>
          </w:tcPr>
          <w:p w14:paraId="0825CBEB">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15489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38FCEAF2">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3</w:t>
            </w:r>
          </w:p>
        </w:tc>
        <w:tc>
          <w:tcPr>
            <w:tcW w:w="1560" w:type="dxa"/>
            <w:vAlign w:val="center"/>
          </w:tcPr>
          <w:p w14:paraId="55D2E1C7">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电梯配置要求</w:t>
            </w:r>
          </w:p>
        </w:tc>
        <w:tc>
          <w:tcPr>
            <w:tcW w:w="5772" w:type="dxa"/>
            <w:vAlign w:val="center"/>
          </w:tcPr>
          <w:p w14:paraId="51E721E8">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CN"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电梯重要关键部件即主机、变频器、门机、控制柜以及安全部件等供应商必须说明其产地及生产厂家。</w:t>
            </w:r>
          </w:p>
        </w:tc>
        <w:tc>
          <w:tcPr>
            <w:tcW w:w="890" w:type="dxa"/>
            <w:vAlign w:val="center"/>
          </w:tcPr>
          <w:p w14:paraId="0DD0154E">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59F57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1B95B883">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4</w:t>
            </w:r>
          </w:p>
        </w:tc>
        <w:tc>
          <w:tcPr>
            <w:tcW w:w="1560" w:type="dxa"/>
            <w:vAlign w:val="center"/>
          </w:tcPr>
          <w:p w14:paraId="797672B0">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招标电梯装饰要求</w:t>
            </w:r>
          </w:p>
        </w:tc>
        <w:tc>
          <w:tcPr>
            <w:tcW w:w="5772" w:type="dxa"/>
            <w:vAlign w:val="center"/>
          </w:tcPr>
          <w:p w14:paraId="415EC9FA">
            <w:pPr>
              <w:spacing w:line="360" w:lineRule="auto"/>
              <w:rPr>
                <w:rFonts w:hint="eastAsia" w:asciiTheme="minorEastAsia" w:hAnsiTheme="minorEastAsia" w:eastAsiaTheme="minorEastAsia" w:cstheme="minorEastAsia"/>
                <w:b/>
                <w:color w:val="auto"/>
                <w:spacing w:val="-2"/>
                <w:sz w:val="24"/>
                <w:szCs w:val="24"/>
                <w:highlight w:val="none"/>
              </w:rPr>
            </w:pPr>
            <w:r>
              <w:rPr>
                <w:rFonts w:hint="eastAsia" w:asciiTheme="minorEastAsia" w:hAnsiTheme="minorEastAsia" w:eastAsiaTheme="minorEastAsia" w:cstheme="minorEastAsia"/>
                <w:b w:val="0"/>
                <w:bCs/>
                <w:color w:val="auto"/>
                <w:spacing w:val="-2"/>
                <w:sz w:val="24"/>
                <w:szCs w:val="24"/>
                <w:highlight w:val="none"/>
              </w:rPr>
              <w:t>电梯装饰要求（提供不少于2种效果图供采购人选择）</w:t>
            </w:r>
          </w:p>
          <w:p w14:paraId="1D424581">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1）</w:t>
            </w:r>
            <w:r>
              <w:rPr>
                <w:rFonts w:hint="eastAsia" w:asciiTheme="minorEastAsia" w:hAnsiTheme="minorEastAsia" w:eastAsiaTheme="minorEastAsia" w:cstheme="minorEastAsia"/>
                <w:color w:val="auto"/>
                <w:spacing w:val="-2"/>
                <w:sz w:val="24"/>
                <w:szCs w:val="24"/>
                <w:highlight w:val="none"/>
              </w:rPr>
              <w:t xml:space="preserve"> 轿厢：轿厢轿壁采用发纹不锈钢（304#）、轿门采用发纹不锈钢（材质为304#），轿厢顶安装换气风扇，</w:t>
            </w:r>
            <w:r>
              <w:rPr>
                <w:rFonts w:hint="eastAsia" w:asciiTheme="minorEastAsia" w:hAnsiTheme="minorEastAsia" w:eastAsiaTheme="minorEastAsia" w:cstheme="minorEastAsia"/>
                <w:color w:val="auto"/>
                <w:spacing w:val="-2"/>
                <w:sz w:val="24"/>
                <w:szCs w:val="24"/>
                <w:highlight w:val="none"/>
                <w:lang w:val="en-US" w:eastAsia="zh-CN"/>
              </w:rPr>
              <w:t>并配置无滴水</w:t>
            </w:r>
            <w:r>
              <w:rPr>
                <w:rFonts w:hint="eastAsia" w:asciiTheme="minorEastAsia" w:hAnsiTheme="minorEastAsia" w:eastAsiaTheme="minorEastAsia" w:cstheme="minorEastAsia"/>
                <w:color w:val="auto"/>
                <w:spacing w:val="-2"/>
                <w:kern w:val="0"/>
                <w:sz w:val="24"/>
                <w:szCs w:val="24"/>
                <w:highlight w:val="none"/>
              </w:rPr>
              <w:t>单冷</w:t>
            </w:r>
            <w:r>
              <w:rPr>
                <w:rFonts w:hint="eastAsia" w:asciiTheme="minorEastAsia" w:hAnsiTheme="minorEastAsia" w:eastAsiaTheme="minorEastAsia" w:cstheme="minorEastAsia"/>
                <w:color w:val="auto"/>
                <w:spacing w:val="-2"/>
                <w:sz w:val="24"/>
                <w:szCs w:val="24"/>
                <w:highlight w:val="none"/>
                <w:lang w:val="en-US" w:eastAsia="zh-CN"/>
              </w:rPr>
              <w:t>空调，</w:t>
            </w:r>
            <w:r>
              <w:rPr>
                <w:rFonts w:hint="eastAsia" w:asciiTheme="minorEastAsia" w:hAnsiTheme="minorEastAsia" w:eastAsiaTheme="minorEastAsia" w:cstheme="minorEastAsia"/>
                <w:color w:val="auto"/>
                <w:spacing w:val="-2"/>
                <w:sz w:val="24"/>
                <w:szCs w:val="24"/>
                <w:highlight w:val="none"/>
              </w:rPr>
              <w:t>轿厢内每套照明设备要求不少于两组 LED 照明灯具。</w:t>
            </w:r>
          </w:p>
          <w:p w14:paraId="1614013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2）</w:t>
            </w:r>
            <w:r>
              <w:rPr>
                <w:rFonts w:hint="eastAsia" w:asciiTheme="minorEastAsia" w:hAnsiTheme="minorEastAsia" w:eastAsiaTheme="minorEastAsia" w:cstheme="minorEastAsia"/>
                <w:color w:val="auto"/>
                <w:spacing w:val="-2"/>
                <w:sz w:val="24"/>
                <w:szCs w:val="24"/>
                <w:highlight w:val="none"/>
              </w:rPr>
              <w:t>吊顶：标准型。</w:t>
            </w:r>
          </w:p>
          <w:p w14:paraId="2731B969">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3）</w:t>
            </w:r>
            <w:r>
              <w:rPr>
                <w:rFonts w:hint="eastAsia" w:asciiTheme="minorEastAsia" w:hAnsiTheme="minorEastAsia" w:eastAsiaTheme="minorEastAsia" w:cstheme="minorEastAsia"/>
                <w:color w:val="auto"/>
                <w:spacing w:val="-2"/>
                <w:sz w:val="24"/>
                <w:szCs w:val="24"/>
                <w:highlight w:val="none"/>
              </w:rPr>
              <w:t>地板：PVC地板（</w:t>
            </w:r>
            <w:r>
              <w:rPr>
                <w:rFonts w:hint="eastAsia" w:asciiTheme="minorEastAsia" w:hAnsiTheme="minorEastAsia" w:eastAsiaTheme="minorEastAsia" w:cstheme="minorEastAsia"/>
                <w:b/>
                <w:color w:val="auto"/>
                <w:spacing w:val="-2"/>
                <w:sz w:val="24"/>
                <w:szCs w:val="24"/>
                <w:highlight w:val="none"/>
              </w:rPr>
              <w:t>提供不少于2种花纹样式供采购人选择</w:t>
            </w:r>
            <w:r>
              <w:rPr>
                <w:rFonts w:hint="eastAsia" w:asciiTheme="minorEastAsia" w:hAnsiTheme="minorEastAsia" w:eastAsiaTheme="minorEastAsia" w:cstheme="minorEastAsia"/>
                <w:color w:val="auto"/>
                <w:spacing w:val="-2"/>
                <w:sz w:val="24"/>
                <w:szCs w:val="24"/>
                <w:highlight w:val="none"/>
              </w:rPr>
              <w:t>）。</w:t>
            </w:r>
          </w:p>
          <w:p w14:paraId="784B508B">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4）</w:t>
            </w:r>
            <w:r>
              <w:rPr>
                <w:rFonts w:hint="eastAsia" w:asciiTheme="minorEastAsia" w:hAnsiTheme="minorEastAsia" w:eastAsiaTheme="minorEastAsia" w:cstheme="minorEastAsia"/>
                <w:color w:val="auto"/>
                <w:spacing w:val="-2"/>
                <w:sz w:val="24"/>
                <w:szCs w:val="24"/>
                <w:highlight w:val="none"/>
              </w:rPr>
              <w:t>厅门及门套：层层采用发纹不锈钢及小门套（材质为304#）。</w:t>
            </w:r>
          </w:p>
          <w:p w14:paraId="74A43BEC">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5）</w:t>
            </w:r>
            <w:r>
              <w:rPr>
                <w:rFonts w:hint="eastAsia" w:asciiTheme="minorEastAsia" w:hAnsiTheme="minorEastAsia" w:eastAsiaTheme="minorEastAsia" w:cstheme="minorEastAsia"/>
                <w:color w:val="auto"/>
                <w:spacing w:val="-2"/>
                <w:sz w:val="24"/>
                <w:szCs w:val="24"/>
                <w:highlight w:val="none"/>
              </w:rPr>
              <w:t>轿厢操作盘：带盲文的不锈钢轻触型按钮，发纹不锈钢面板，点阵式轿厢位置数字显示和运行方向箭头滚动显示（其中无障碍功能电梯需配无障碍操纵箱并与轿壁齐平）。</w:t>
            </w:r>
          </w:p>
          <w:p w14:paraId="3EB0B90D">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6）</w:t>
            </w:r>
            <w:r>
              <w:rPr>
                <w:rFonts w:hint="eastAsia" w:asciiTheme="minorEastAsia" w:hAnsiTheme="minorEastAsia" w:eastAsiaTheme="minorEastAsia" w:cstheme="minorEastAsia"/>
                <w:color w:val="auto"/>
                <w:spacing w:val="-2"/>
                <w:sz w:val="24"/>
                <w:szCs w:val="24"/>
                <w:highlight w:val="none"/>
              </w:rPr>
              <w:t xml:space="preserve"> 外呼：召唤按钮及显示器一体型、发纹不锈钢面板、轻触型按钮、点阵式轿厢位置数字显示和运行方向箭头滚动显示。</w:t>
            </w:r>
          </w:p>
          <w:p w14:paraId="1E2B1BE9">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7）</w:t>
            </w:r>
            <w:r>
              <w:rPr>
                <w:rFonts w:hint="eastAsia" w:asciiTheme="minorEastAsia" w:hAnsiTheme="minorEastAsia" w:eastAsiaTheme="minorEastAsia" w:cstheme="minorEastAsia"/>
                <w:color w:val="auto"/>
                <w:spacing w:val="-2"/>
                <w:sz w:val="24"/>
                <w:szCs w:val="24"/>
                <w:highlight w:val="none"/>
              </w:rPr>
              <w:t>客梯门保护：光幕保护。</w:t>
            </w:r>
          </w:p>
          <w:p w14:paraId="22FFB762">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8）</w:t>
            </w:r>
            <w:r>
              <w:rPr>
                <w:rFonts w:hint="eastAsia" w:asciiTheme="minorEastAsia" w:hAnsiTheme="minorEastAsia" w:eastAsiaTheme="minorEastAsia" w:cstheme="minorEastAsia"/>
                <w:color w:val="auto"/>
                <w:spacing w:val="-2"/>
                <w:sz w:val="24"/>
                <w:szCs w:val="24"/>
                <w:highlight w:val="none"/>
              </w:rPr>
              <w:t>扶手：不锈钢（仅无障碍功能电梯轿厢两侧壁以及后壁配发纹不锈钢扁平末端带圆弧扶手）。</w:t>
            </w:r>
          </w:p>
          <w:p w14:paraId="2508857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9）</w:t>
            </w:r>
            <w:r>
              <w:rPr>
                <w:rFonts w:hint="eastAsia" w:asciiTheme="minorEastAsia" w:hAnsiTheme="minorEastAsia" w:eastAsiaTheme="minorEastAsia" w:cstheme="minorEastAsia"/>
                <w:color w:val="auto"/>
                <w:spacing w:val="-2"/>
                <w:sz w:val="24"/>
                <w:szCs w:val="24"/>
                <w:highlight w:val="none"/>
              </w:rPr>
              <w:t>按键：不锈钢轻触型按键,（其中无障碍功能电梯按键带盲文）。</w:t>
            </w:r>
          </w:p>
          <w:p w14:paraId="374AC74B">
            <w:pPr>
              <w:spacing w:line="360" w:lineRule="auto"/>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10）</w:t>
            </w:r>
            <w:r>
              <w:rPr>
                <w:rFonts w:hint="eastAsia" w:asciiTheme="minorEastAsia" w:hAnsiTheme="minorEastAsia" w:eastAsiaTheme="minorEastAsia" w:cstheme="minorEastAsia"/>
                <w:color w:val="auto"/>
                <w:spacing w:val="-2"/>
                <w:sz w:val="24"/>
                <w:szCs w:val="24"/>
                <w:highlight w:val="none"/>
              </w:rPr>
              <w:t>五方通话功能需由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按采购人要求布置到位，所需的线路布置、设备和费用均由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负责。</w:t>
            </w:r>
          </w:p>
        </w:tc>
        <w:tc>
          <w:tcPr>
            <w:tcW w:w="890" w:type="dxa"/>
            <w:vAlign w:val="center"/>
          </w:tcPr>
          <w:p w14:paraId="257CEB20">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09D10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52635274">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5</w:t>
            </w:r>
          </w:p>
        </w:tc>
        <w:tc>
          <w:tcPr>
            <w:tcW w:w="1560" w:type="dxa"/>
            <w:vAlign w:val="center"/>
          </w:tcPr>
          <w:p w14:paraId="6666A829">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电梯功能要求</w:t>
            </w:r>
          </w:p>
        </w:tc>
        <w:tc>
          <w:tcPr>
            <w:tcW w:w="5772" w:type="dxa"/>
            <w:vAlign w:val="top"/>
          </w:tcPr>
          <w:p w14:paraId="049EE0C9">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1、自动再平层</w:t>
            </w:r>
          </w:p>
          <w:p w14:paraId="2B651D0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2、电梯受阻失速保护</w:t>
            </w:r>
          </w:p>
          <w:p w14:paraId="1D88A7A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3、制动器冗余保护</w:t>
            </w:r>
          </w:p>
          <w:p w14:paraId="27A7E8D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4、轿厢溜车安全保护</w:t>
            </w:r>
          </w:p>
          <w:p w14:paraId="79AA3EE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5、门锁旁路运行</w:t>
            </w:r>
          </w:p>
          <w:p w14:paraId="6BD0B71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6、双边静力矩手动检测</w:t>
            </w:r>
          </w:p>
          <w:p w14:paraId="45D3CAC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7、双边静力矩上电检测</w:t>
            </w:r>
          </w:p>
          <w:p w14:paraId="66F7FDE9">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8、双边静力矩周期性自动检测</w:t>
            </w:r>
          </w:p>
          <w:p w14:paraId="641D3D4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9、门锁短接保护</w:t>
            </w:r>
          </w:p>
          <w:p w14:paraId="0A2FC6E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10、电气安全回路保护</w:t>
            </w:r>
          </w:p>
          <w:p w14:paraId="7EA71A9D">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11、层高自测定</w:t>
            </w:r>
          </w:p>
          <w:p w14:paraId="190EB38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12、检修操作</w:t>
            </w:r>
          </w:p>
          <w:p w14:paraId="3442D630">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13、过电流保护</w:t>
            </w:r>
          </w:p>
          <w:p w14:paraId="0AC376B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14、超速保护</w:t>
            </w:r>
          </w:p>
          <w:p w14:paraId="67DD638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15、电机过热保护</w:t>
            </w:r>
          </w:p>
          <w:p w14:paraId="75B002A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16、过电压保护</w:t>
            </w:r>
          </w:p>
          <w:p w14:paraId="56624E9E">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17、电源故障保护</w:t>
            </w:r>
          </w:p>
          <w:p w14:paraId="65CFC8C2">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18、上电再平层</w:t>
            </w:r>
          </w:p>
          <w:p w14:paraId="437D99E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19、连击消号</w:t>
            </w:r>
          </w:p>
          <w:p w14:paraId="02234CFA">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20、单边静力矩手动检测</w:t>
            </w:r>
          </w:p>
          <w:p w14:paraId="71816AA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21、选层器修正</w:t>
            </w:r>
          </w:p>
          <w:p w14:paraId="6267BAA0">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22、安全停靠</w:t>
            </w:r>
          </w:p>
          <w:p w14:paraId="0862111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23、停层开门</w:t>
            </w:r>
          </w:p>
          <w:p w14:paraId="2E804B0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24、逆变装置高温检测</w:t>
            </w:r>
          </w:p>
          <w:p w14:paraId="56DD9BF2">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25、终端强制减速</w:t>
            </w:r>
          </w:p>
          <w:p w14:paraId="1F2FDC0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26、轿厢意外移动保护</w:t>
            </w:r>
          </w:p>
          <w:p w14:paraId="2B28CC4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27、过低速保护</w:t>
            </w:r>
          </w:p>
          <w:p w14:paraId="379F095A">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28、操纵箱微机异常处理</w:t>
            </w:r>
          </w:p>
          <w:p w14:paraId="341263C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29、轿内反向指令消除</w:t>
            </w:r>
          </w:p>
          <w:p w14:paraId="44C79CF5">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30、轿内通风装置手动关闭（按钮型）</w:t>
            </w:r>
          </w:p>
          <w:p w14:paraId="257A45DD">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31、轿内照明手动关闭（按钮型）</w:t>
            </w:r>
          </w:p>
          <w:p w14:paraId="74673640">
            <w:pPr>
              <w:spacing w:line="360" w:lineRule="auto"/>
              <w:jc w:val="both"/>
              <w:rPr>
                <w:rFonts w:hint="eastAsia" w:asciiTheme="minorEastAsia" w:hAnsiTheme="minorEastAsia" w:eastAsiaTheme="minorEastAsia" w:cstheme="minorEastAsia"/>
                <w:color w:val="auto"/>
                <w:spacing w:val="-2"/>
                <w:sz w:val="24"/>
                <w:szCs w:val="24"/>
                <w:highlight w:val="none"/>
                <w:lang w:eastAsia="zh-CN"/>
              </w:rPr>
            </w:pPr>
            <w:r>
              <w:rPr>
                <w:rFonts w:hint="eastAsia" w:asciiTheme="minorEastAsia" w:hAnsiTheme="minorEastAsia" w:eastAsiaTheme="minorEastAsia" w:cstheme="minorEastAsia"/>
                <w:color w:val="auto"/>
                <w:spacing w:val="-2"/>
                <w:sz w:val="24"/>
                <w:szCs w:val="24"/>
                <w:highlight w:val="none"/>
              </w:rPr>
              <w:t>32、故障自诊断</w:t>
            </w:r>
          </w:p>
          <w:p w14:paraId="2E46320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33、层站召唤自动登记</w:t>
            </w:r>
          </w:p>
          <w:p w14:paraId="03F7972E">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34、层站微机异常处理</w:t>
            </w:r>
          </w:p>
          <w:p w14:paraId="6CE172E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35、层站运行控制开关</w:t>
            </w:r>
          </w:p>
          <w:p w14:paraId="4A264F7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36、电梯不启动报警</w:t>
            </w:r>
          </w:p>
          <w:p w14:paraId="371A9535">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37、次层停靠</w:t>
            </w:r>
          </w:p>
          <w:p w14:paraId="3409CCB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38、超载保护</w:t>
            </w:r>
          </w:p>
          <w:p w14:paraId="74A94C8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39、轿厢应急照明</w:t>
            </w:r>
          </w:p>
          <w:p w14:paraId="09D803B7">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40、轿内报警</w:t>
            </w:r>
          </w:p>
          <w:p w14:paraId="30C6D746">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41、关门保护</w:t>
            </w:r>
          </w:p>
          <w:p w14:paraId="7CF880B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42、换向重开门</w:t>
            </w:r>
          </w:p>
          <w:p w14:paraId="757ED306">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43、门负载检测</w:t>
            </w:r>
          </w:p>
          <w:p w14:paraId="75EBB46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44、开门受阻控制</w:t>
            </w:r>
          </w:p>
          <w:p w14:paraId="6AFCFCE2">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45、开门保持时间自动调整</w:t>
            </w:r>
          </w:p>
          <w:p w14:paraId="2CF7F60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46、关门力矩控制</w:t>
            </w:r>
          </w:p>
          <w:p w14:paraId="07BF3DA6">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47、即时关门</w:t>
            </w:r>
          </w:p>
          <w:p w14:paraId="41D990C7">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48、重复关门</w:t>
            </w:r>
          </w:p>
          <w:p w14:paraId="06E144E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49、本层再开门</w:t>
            </w:r>
          </w:p>
          <w:p w14:paraId="7F969AA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50、轿内运行方向指示</w:t>
            </w:r>
          </w:p>
          <w:p w14:paraId="083B41C7">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51、层站运行方向指示</w:t>
            </w:r>
          </w:p>
          <w:p w14:paraId="70D59E50">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52、关门按钮响应指示</w:t>
            </w:r>
          </w:p>
          <w:p w14:paraId="44F0328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53、开门按钮响应指示</w:t>
            </w:r>
          </w:p>
          <w:p w14:paraId="7C8BDCA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54、运行次数与时间统计</w:t>
            </w:r>
          </w:p>
          <w:p w14:paraId="24DF767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55、</w:t>
            </w:r>
            <w:r>
              <w:rPr>
                <w:rFonts w:hint="eastAsia" w:asciiTheme="minorEastAsia" w:hAnsiTheme="minorEastAsia" w:eastAsiaTheme="minorEastAsia" w:cstheme="minorEastAsia"/>
                <w:color w:val="auto"/>
                <w:spacing w:val="-2"/>
                <w:sz w:val="24"/>
                <w:szCs w:val="24"/>
                <w:highlight w:val="none"/>
                <w:lang w:val="zh-TW" w:eastAsia="zh-TW"/>
              </w:rPr>
              <w:t>层站按钮灯闪烁指示</w:t>
            </w:r>
          </w:p>
          <w:p w14:paraId="4A9DEA9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56、</w:t>
            </w:r>
            <w:r>
              <w:rPr>
                <w:rFonts w:hint="eastAsia" w:asciiTheme="minorEastAsia" w:hAnsiTheme="minorEastAsia" w:eastAsiaTheme="minorEastAsia" w:cstheme="minorEastAsia"/>
                <w:color w:val="auto"/>
                <w:spacing w:val="-2"/>
                <w:sz w:val="24"/>
                <w:szCs w:val="24"/>
                <w:highlight w:val="none"/>
                <w:lang w:val="zh-TW" w:eastAsia="zh-TW"/>
              </w:rPr>
              <w:t>五方通话装置</w:t>
            </w:r>
          </w:p>
          <w:p w14:paraId="7B83C91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57.轿内误指令自动消除</w:t>
            </w:r>
          </w:p>
          <w:p w14:paraId="4FE3C25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58、光幕保护</w:t>
            </w:r>
          </w:p>
          <w:p w14:paraId="3BA3090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59、火灾应急返回</w:t>
            </w:r>
          </w:p>
          <w:p w14:paraId="6280E68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60、IC卡</w:t>
            </w:r>
          </w:p>
          <w:p w14:paraId="1C562B9A">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61、停电应急停靠</w:t>
            </w:r>
          </w:p>
          <w:p w14:paraId="046AE051">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62、基站锁梯</w:t>
            </w:r>
          </w:p>
          <w:p w14:paraId="5F61962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63、轿厢上下行超速保护</w:t>
            </w: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上下行安全钳或对重安全钳</w:t>
            </w:r>
            <w:r>
              <w:rPr>
                <w:rFonts w:hint="eastAsia" w:asciiTheme="minorEastAsia" w:hAnsiTheme="minorEastAsia" w:eastAsiaTheme="minorEastAsia" w:cstheme="minorEastAsia"/>
                <w:color w:val="auto"/>
                <w:spacing w:val="-2"/>
                <w:sz w:val="24"/>
                <w:szCs w:val="24"/>
                <w:highlight w:val="none"/>
                <w:lang w:eastAsia="zh-CN"/>
              </w:rPr>
              <w:t>）</w:t>
            </w:r>
          </w:p>
          <w:p w14:paraId="302F2E67">
            <w:pPr>
              <w:spacing w:line="360" w:lineRule="auto"/>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64、停电应急平层（如有两路供电或柴油发电机组专项供电除外）</w:t>
            </w:r>
          </w:p>
          <w:p w14:paraId="3F255FAD">
            <w:pPr>
              <w:spacing w:line="360" w:lineRule="auto"/>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65、具有电梯运行参数采集和网络远程传输的监测装置接口</w:t>
            </w:r>
          </w:p>
        </w:tc>
        <w:tc>
          <w:tcPr>
            <w:tcW w:w="890" w:type="dxa"/>
            <w:vAlign w:val="center"/>
          </w:tcPr>
          <w:p w14:paraId="5C32E99A">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45D3B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6D7B4501">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6</w:t>
            </w:r>
          </w:p>
        </w:tc>
        <w:tc>
          <w:tcPr>
            <w:tcW w:w="1560" w:type="dxa"/>
            <w:vAlign w:val="center"/>
          </w:tcPr>
          <w:p w14:paraId="72B58FF7">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 xml:space="preserve">安装、调试及验收 </w:t>
            </w:r>
          </w:p>
        </w:tc>
        <w:tc>
          <w:tcPr>
            <w:tcW w:w="5772" w:type="dxa"/>
            <w:vAlign w:val="top"/>
          </w:tcPr>
          <w:p w14:paraId="5D0479AD">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制造、安装及调试：供应商需按本技术规格书的要求完成设备的设计、制造、运输、装卸、安装新机、产品保护、调试运行、质量技术监督部门验收、技术培训及售后服务等所有工作。按工作顺序提交所需的资料，所有资料必须符合本技术规格书的要求。无论其是否被明细列在合同文件中。</w:t>
            </w:r>
          </w:p>
          <w:p w14:paraId="1441BD52">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1.1提供的设备：提供的电梯须包括以下工作服务但不仅限于以下：</w:t>
            </w:r>
          </w:p>
          <w:p w14:paraId="195A4230">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a、供应商在中标后，按采购人要求时间单独提供土建设计资料，包括土建需要预留、预埋的部件及尺寸，和轿厢平面图（此轿厢应符合预留井道要求）；</w:t>
            </w:r>
          </w:p>
          <w:p w14:paraId="14A96A63">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b、中标后，按采购人和设计需要完成设备的具体设计；</w:t>
            </w:r>
          </w:p>
          <w:p w14:paraId="0D088323">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c、中标后，提供详细构造图、设备样本和使用操作说明书；</w:t>
            </w:r>
          </w:p>
          <w:p w14:paraId="14A4FA4F">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d、中标后，按采购人认可的设计方案和材料进行加工、制造、供货；</w:t>
            </w:r>
          </w:p>
          <w:p w14:paraId="0B174965">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e、运输：供应商负责设备运输至采购人装置地点所有环节的运输。</w:t>
            </w:r>
          </w:p>
          <w:p w14:paraId="6CA8E73A">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1.2土建工作：供应商配合所有与土建相关的其他修饰与整理工作，对土建结构有变化和装饰外观变化的工作应得到招标人许可。</w:t>
            </w:r>
          </w:p>
          <w:p w14:paraId="4F386FE4">
            <w:pPr>
              <w:spacing w:line="360" w:lineRule="auto"/>
              <w:rPr>
                <w:rFonts w:hint="eastAsia" w:asciiTheme="minorEastAsia" w:hAnsiTheme="minorEastAsia" w:eastAsiaTheme="minorEastAsia" w:cstheme="minorEastAsia"/>
                <w:b/>
                <w:bCs/>
                <w:color w:val="auto"/>
                <w:spacing w:val="-2"/>
                <w:sz w:val="24"/>
                <w:szCs w:val="24"/>
                <w:highlight w:val="none"/>
                <w:lang w:eastAsia="zh-CN"/>
              </w:rPr>
            </w:pPr>
            <w:r>
              <w:rPr>
                <w:rFonts w:hint="eastAsia" w:asciiTheme="minorEastAsia" w:hAnsiTheme="minorEastAsia" w:eastAsiaTheme="minorEastAsia" w:cstheme="minorEastAsia"/>
                <w:b/>
                <w:bCs/>
                <w:color w:val="auto"/>
                <w:spacing w:val="-2"/>
                <w:sz w:val="24"/>
                <w:szCs w:val="24"/>
                <w:highlight w:val="none"/>
              </w:rPr>
              <w:t>1.3安装工作：</w:t>
            </w:r>
            <w:r>
              <w:rPr>
                <w:rFonts w:hint="eastAsia" w:asciiTheme="minorEastAsia" w:hAnsiTheme="minorEastAsia" w:eastAsiaTheme="minorEastAsia" w:cstheme="minorEastAsia"/>
                <w:b/>
                <w:bCs/>
                <w:color w:val="auto"/>
                <w:spacing w:val="-2"/>
                <w:sz w:val="24"/>
                <w:szCs w:val="24"/>
                <w:highlight w:val="none"/>
                <w:lang w:val="en-US" w:eastAsia="zh-CN"/>
              </w:rPr>
              <w:t>本项目包含电梯安装，并且必须完成质量技术监督部门安全质量验收合格并获得验收证书，项目为交钥匙工程，不另计任何费用。</w:t>
            </w:r>
            <w:r>
              <w:rPr>
                <w:rFonts w:hint="eastAsia" w:asciiTheme="minorEastAsia" w:hAnsiTheme="minorEastAsia" w:eastAsiaTheme="minorEastAsia" w:cstheme="minorEastAsia"/>
                <w:b/>
                <w:bCs/>
                <w:color w:val="auto"/>
                <w:spacing w:val="-2"/>
                <w:sz w:val="24"/>
                <w:szCs w:val="24"/>
                <w:highlight w:val="none"/>
              </w:rPr>
              <w:t>在安装期间，采购人除提供堆放场所、电源（接至电梯机房）、水源（利用现场原有）及合格的井道外，其余均由</w:t>
            </w:r>
            <w:r>
              <w:rPr>
                <w:rFonts w:hint="eastAsia" w:asciiTheme="minorEastAsia" w:hAnsiTheme="minorEastAsia" w:eastAsiaTheme="minorEastAsia" w:cstheme="minorEastAsia"/>
                <w:b/>
                <w:bCs/>
                <w:color w:val="auto"/>
                <w:spacing w:val="-2"/>
                <w:sz w:val="24"/>
                <w:szCs w:val="24"/>
                <w:highlight w:val="none"/>
                <w:lang w:val="en-US" w:eastAsia="zh-CN"/>
              </w:rPr>
              <w:t>成交</w:t>
            </w:r>
            <w:r>
              <w:rPr>
                <w:rFonts w:hint="eastAsia" w:asciiTheme="minorEastAsia" w:hAnsiTheme="minorEastAsia" w:eastAsiaTheme="minorEastAsia" w:cstheme="minorEastAsia"/>
                <w:b/>
                <w:bCs/>
                <w:color w:val="auto"/>
                <w:spacing w:val="-2"/>
                <w:sz w:val="24"/>
                <w:szCs w:val="24"/>
                <w:highlight w:val="none"/>
              </w:rPr>
              <w:t>供应商负责。（此项供应商必须在响应文件中承诺）</w:t>
            </w:r>
            <w:r>
              <w:rPr>
                <w:rFonts w:hint="eastAsia" w:asciiTheme="minorEastAsia" w:hAnsiTheme="minorEastAsia" w:eastAsiaTheme="minorEastAsia" w:cstheme="minorEastAsia"/>
                <w:b/>
                <w:bCs/>
                <w:color w:val="auto"/>
                <w:spacing w:val="-2"/>
                <w:sz w:val="24"/>
                <w:szCs w:val="24"/>
                <w:highlight w:val="none"/>
                <w:lang w:eastAsia="zh-CN"/>
              </w:rPr>
              <w:t>。</w:t>
            </w:r>
          </w:p>
          <w:p w14:paraId="69A53A98">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1.4安装计划：</w:t>
            </w:r>
            <w:r>
              <w:rPr>
                <w:rFonts w:hint="eastAsia" w:asciiTheme="minorEastAsia" w:hAnsiTheme="minorEastAsia" w:eastAsiaTheme="minorEastAsia" w:cstheme="minorEastAsia"/>
                <w:color w:val="auto"/>
                <w:spacing w:val="-2"/>
                <w:sz w:val="24"/>
                <w:szCs w:val="24"/>
                <w:highlight w:val="none"/>
                <w:lang w:val="en-US" w:eastAsia="zh-CN"/>
              </w:rPr>
              <w:t>成交</w:t>
            </w:r>
            <w:r>
              <w:rPr>
                <w:rFonts w:hint="eastAsia" w:asciiTheme="minorEastAsia" w:hAnsiTheme="minorEastAsia" w:eastAsiaTheme="minorEastAsia" w:cstheme="minorEastAsia"/>
                <w:color w:val="auto"/>
                <w:spacing w:val="-2"/>
                <w:sz w:val="24"/>
                <w:szCs w:val="24"/>
                <w:highlight w:val="none"/>
              </w:rPr>
              <w:t>供应商领取到</w:t>
            </w:r>
            <w:r>
              <w:rPr>
                <w:rFonts w:hint="eastAsia" w:asciiTheme="minorEastAsia" w:hAnsiTheme="minorEastAsia" w:eastAsiaTheme="minorEastAsia" w:cstheme="minorEastAsia"/>
                <w:color w:val="auto"/>
                <w:spacing w:val="-2"/>
                <w:sz w:val="24"/>
                <w:szCs w:val="24"/>
                <w:highlight w:val="none"/>
                <w:lang w:val="en-US" w:eastAsia="zh-CN"/>
              </w:rPr>
              <w:t>成交</w:t>
            </w:r>
            <w:r>
              <w:rPr>
                <w:rFonts w:hint="eastAsia" w:asciiTheme="minorEastAsia" w:hAnsiTheme="minorEastAsia" w:eastAsiaTheme="minorEastAsia" w:cstheme="minorEastAsia"/>
                <w:color w:val="auto"/>
                <w:spacing w:val="-2"/>
                <w:sz w:val="24"/>
                <w:szCs w:val="24"/>
                <w:highlight w:val="none"/>
              </w:rPr>
              <w:t>通知书后，</w:t>
            </w:r>
            <w:r>
              <w:rPr>
                <w:rFonts w:hint="eastAsia" w:asciiTheme="minorEastAsia" w:hAnsiTheme="minorEastAsia" w:eastAsiaTheme="minorEastAsia" w:cstheme="minorEastAsia"/>
                <w:color w:val="auto"/>
                <w:spacing w:val="-2"/>
                <w:sz w:val="24"/>
                <w:szCs w:val="24"/>
                <w:highlight w:val="none"/>
                <w:lang w:val="en-US" w:eastAsia="zh-CN"/>
              </w:rPr>
              <w:t>成交</w:t>
            </w:r>
            <w:r>
              <w:rPr>
                <w:rFonts w:hint="eastAsia" w:asciiTheme="minorEastAsia" w:hAnsiTheme="minorEastAsia" w:eastAsiaTheme="minorEastAsia" w:cstheme="minorEastAsia"/>
                <w:color w:val="auto"/>
                <w:spacing w:val="-2"/>
                <w:sz w:val="24"/>
                <w:szCs w:val="24"/>
                <w:highlight w:val="none"/>
              </w:rPr>
              <w:t>供应商在采购人规定的时间3天内提供与工程建设总进度相适应的安装计划，并由采购人认可。</w:t>
            </w:r>
          </w:p>
          <w:p w14:paraId="74518635">
            <w:pPr>
              <w:pStyle w:val="3"/>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1.5安装期：安装计划及进度由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和采购人共同协商后安排，</w:t>
            </w:r>
            <w:r>
              <w:rPr>
                <w:rFonts w:hint="eastAsia" w:asciiTheme="minorEastAsia" w:hAnsiTheme="minorEastAsia" w:eastAsiaTheme="minorEastAsia" w:cstheme="minorEastAsia"/>
                <w:color w:val="auto"/>
                <w:spacing w:val="-2"/>
                <w:sz w:val="24"/>
                <w:szCs w:val="24"/>
                <w:highlight w:val="none"/>
                <w:lang w:val="en-US" w:eastAsia="zh-CN"/>
              </w:rPr>
              <w:t>成交供应商在</w:t>
            </w:r>
            <w:r>
              <w:rPr>
                <w:rStyle w:val="6"/>
                <w:rFonts w:hint="eastAsia" w:asciiTheme="minorEastAsia" w:hAnsiTheme="minorEastAsia" w:eastAsiaTheme="minorEastAsia" w:cstheme="minorEastAsia"/>
                <w:color w:val="auto"/>
                <w:sz w:val="24"/>
                <w:szCs w:val="24"/>
                <w:highlight w:val="none"/>
                <w:lang w:val="zh-TW" w:eastAsia="zh-TW"/>
              </w:rPr>
              <w:t>合同签订后</w:t>
            </w:r>
            <w:r>
              <w:rPr>
                <w:rStyle w:val="6"/>
                <w:rFonts w:hint="eastAsia" w:asciiTheme="minorEastAsia" w:hAnsiTheme="minorEastAsia" w:eastAsiaTheme="minorEastAsia" w:cstheme="minorEastAsia"/>
                <w:color w:val="auto"/>
                <w:sz w:val="24"/>
                <w:szCs w:val="24"/>
                <w:highlight w:val="none"/>
                <w:lang w:val="en-US" w:eastAsia="zh-CN"/>
              </w:rPr>
              <w:t>40</w:t>
            </w:r>
            <w:r>
              <w:rPr>
                <w:rStyle w:val="6"/>
                <w:rFonts w:hint="eastAsia" w:asciiTheme="minorEastAsia" w:hAnsiTheme="minorEastAsia" w:eastAsiaTheme="minorEastAsia" w:cstheme="minorEastAsia"/>
                <w:color w:val="auto"/>
                <w:sz w:val="24"/>
                <w:szCs w:val="24"/>
                <w:highlight w:val="none"/>
                <w:lang w:val="zh-TW" w:eastAsia="zh-TW"/>
              </w:rPr>
              <w:t>个日历日内到货，</w:t>
            </w:r>
            <w:r>
              <w:rPr>
                <w:rStyle w:val="6"/>
                <w:rFonts w:hint="eastAsia" w:asciiTheme="minorEastAsia" w:hAnsiTheme="minorEastAsia" w:eastAsiaTheme="minorEastAsia" w:cstheme="minorEastAsia"/>
                <w:color w:val="auto"/>
                <w:sz w:val="24"/>
                <w:szCs w:val="24"/>
                <w:highlight w:val="none"/>
                <w:lang w:val="en-US" w:eastAsia="zh-CN"/>
              </w:rPr>
              <w:t>10</w:t>
            </w:r>
            <w:r>
              <w:rPr>
                <w:rStyle w:val="6"/>
                <w:rFonts w:hint="eastAsia" w:asciiTheme="minorEastAsia" w:hAnsiTheme="minorEastAsia" w:eastAsiaTheme="minorEastAsia" w:cstheme="minorEastAsia"/>
                <w:color w:val="auto"/>
                <w:sz w:val="24"/>
                <w:szCs w:val="24"/>
                <w:highlight w:val="none"/>
                <w:lang w:val="zh-TW" w:eastAsia="zh-TW"/>
              </w:rPr>
              <w:t>个日历日内完成安装和调试，</w:t>
            </w:r>
            <w:r>
              <w:rPr>
                <w:rStyle w:val="6"/>
                <w:rFonts w:hint="eastAsia" w:asciiTheme="minorEastAsia" w:hAnsiTheme="minorEastAsia" w:eastAsiaTheme="minorEastAsia" w:cstheme="minorEastAsia"/>
                <w:color w:val="auto"/>
                <w:sz w:val="24"/>
                <w:szCs w:val="24"/>
                <w:highlight w:val="none"/>
                <w:lang w:val="en-US" w:eastAsia="zh-CN"/>
              </w:rPr>
              <w:t>1</w:t>
            </w:r>
            <w:r>
              <w:rPr>
                <w:rStyle w:val="6"/>
                <w:rFonts w:hint="eastAsia" w:asciiTheme="minorEastAsia" w:hAnsiTheme="minorEastAsia" w:eastAsiaTheme="minorEastAsia" w:cstheme="minorEastAsia"/>
                <w:color w:val="auto"/>
                <w:sz w:val="24"/>
                <w:szCs w:val="24"/>
                <w:highlight w:val="none"/>
                <w:lang w:val="zh-TW" w:eastAsia="zh-TW"/>
              </w:rPr>
              <w:t>0天内完成并提供检测合格的特种设备检验检测报告和使用登记证等合法手续。</w:t>
            </w:r>
          </w:p>
          <w:p w14:paraId="24D87FD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1.6安装管理</w:t>
            </w:r>
          </w:p>
          <w:p w14:paraId="37F7710D">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① 现场安装须符合国家的相关条例，服从采购人、监理单位和采购人指定的管理单位的管理及检查，</w:t>
            </w:r>
            <w:r>
              <w:rPr>
                <w:rFonts w:hint="eastAsia" w:asciiTheme="minorEastAsia" w:hAnsiTheme="minorEastAsia" w:eastAsiaTheme="minorEastAsia" w:cstheme="minorEastAsia"/>
                <w:b/>
                <w:bCs/>
                <w:color w:val="auto"/>
                <w:spacing w:val="-2"/>
                <w:sz w:val="24"/>
                <w:szCs w:val="24"/>
                <w:highlight w:val="none"/>
                <w:lang w:eastAsia="zh-CN"/>
              </w:rPr>
              <w:t>成交供应商</w:t>
            </w:r>
            <w:r>
              <w:rPr>
                <w:rFonts w:hint="eastAsia" w:asciiTheme="minorEastAsia" w:hAnsiTheme="minorEastAsia" w:eastAsiaTheme="minorEastAsia" w:cstheme="minorEastAsia"/>
                <w:b/>
                <w:bCs/>
                <w:color w:val="auto"/>
                <w:spacing w:val="-2"/>
                <w:sz w:val="24"/>
                <w:szCs w:val="24"/>
                <w:highlight w:val="none"/>
              </w:rPr>
              <w:t>须派有五年以上工作经验的工程师负责项目现场安装，项目负责人需至少有5年工作经验</w:t>
            </w:r>
            <w:r>
              <w:rPr>
                <w:rFonts w:hint="eastAsia" w:asciiTheme="minorEastAsia" w:hAnsiTheme="minorEastAsia" w:eastAsiaTheme="minorEastAsia" w:cstheme="minorEastAsia"/>
                <w:color w:val="auto"/>
                <w:spacing w:val="-2"/>
                <w:sz w:val="24"/>
                <w:szCs w:val="24"/>
                <w:highlight w:val="none"/>
              </w:rPr>
              <w:t>，</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需在安装期内提交项目工作报告。进场安装前，采购人有权核实安装工程师的人员，且未得到采购人同意，</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不得随意更换安装人员，如发生此类事件，采购人有权利从履约保证金中扣除3000元/次。采购人保留变更人员的权力。</w:t>
            </w:r>
            <w:r>
              <w:rPr>
                <w:rFonts w:hint="eastAsia" w:asciiTheme="minorEastAsia" w:hAnsiTheme="minorEastAsia" w:eastAsiaTheme="minorEastAsia" w:cstheme="minorEastAsia"/>
                <w:color w:val="auto"/>
                <w:spacing w:val="-2"/>
                <w:sz w:val="24"/>
                <w:szCs w:val="24"/>
                <w:highlight w:val="none"/>
              </w:rPr>
              <w:br w:type="textWrapping"/>
            </w:r>
            <w:r>
              <w:rPr>
                <w:rFonts w:hint="eastAsia" w:asciiTheme="minorEastAsia" w:hAnsiTheme="minorEastAsia" w:eastAsiaTheme="minorEastAsia" w:cstheme="minorEastAsia"/>
                <w:color w:val="auto"/>
                <w:spacing w:val="-2"/>
                <w:sz w:val="24"/>
                <w:szCs w:val="24"/>
                <w:highlight w:val="none"/>
              </w:rPr>
              <w:t>② 本次设备安装作业不得转包。安装单位须提供具有</w:t>
            </w:r>
            <w:r>
              <w:rPr>
                <w:rFonts w:hint="eastAsia" w:asciiTheme="minorEastAsia" w:hAnsiTheme="minorEastAsia" w:eastAsiaTheme="minorEastAsia" w:cstheme="minorEastAsia"/>
                <w:color w:val="auto"/>
                <w:spacing w:val="-2"/>
                <w:sz w:val="24"/>
                <w:szCs w:val="24"/>
                <w:highlight w:val="none"/>
                <w:lang w:val="en-US" w:eastAsia="zh-CN"/>
              </w:rPr>
              <w:t>电梯</w:t>
            </w:r>
            <w:r>
              <w:rPr>
                <w:rFonts w:hint="eastAsia" w:asciiTheme="minorEastAsia" w:hAnsiTheme="minorEastAsia" w:eastAsiaTheme="minorEastAsia" w:cstheme="minorEastAsia"/>
                <w:color w:val="auto"/>
                <w:spacing w:val="-2"/>
                <w:sz w:val="24"/>
                <w:szCs w:val="24"/>
                <w:highlight w:val="none"/>
              </w:rPr>
              <w:t>安装改造维修B级资质证明文件及施工经历资料，投标文件中须明确负责此项目设备安装的队伍人员名单及工作时间、工作业绩，</w:t>
            </w:r>
            <w:r>
              <w:rPr>
                <w:rFonts w:hint="eastAsia" w:asciiTheme="minorEastAsia" w:hAnsiTheme="minorEastAsia" w:eastAsiaTheme="minorEastAsia" w:cstheme="minorEastAsia"/>
                <w:b/>
                <w:bCs/>
                <w:color w:val="auto"/>
                <w:spacing w:val="-2"/>
                <w:sz w:val="24"/>
                <w:szCs w:val="24"/>
                <w:highlight w:val="none"/>
              </w:rPr>
              <w:t>进场时须经采购人审查认可后方可进行施工。</w:t>
            </w:r>
          </w:p>
          <w:p w14:paraId="078B917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③ 如因</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原因在安装期间出现安全事故，应由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承担由此而引起的全部损失。</w:t>
            </w:r>
          </w:p>
          <w:p w14:paraId="6786406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1.7设备的各个部件须防火、耐压、耐用、漏电保护，易清洗及易维修，并符合有关规定。</w:t>
            </w:r>
          </w:p>
          <w:p w14:paraId="56700BB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1.8认可：设备安装须经质量技术监督部门验收，直至质量技术监督部门安全质量验收合格并获得验收证书。</w:t>
            </w:r>
          </w:p>
          <w:p w14:paraId="1439180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1.9保证设备在起吊、运输过程中的安全：在安装期间，</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负责安装中需要的起重、运输所需辅助设备，所有这些设备都须符合安全作业要求。</w:t>
            </w:r>
          </w:p>
          <w:p w14:paraId="7A8E5F02">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1.10完工装潢：在进入完工装潢之前，所有不需要特殊装潢并且是暴露的钢制件应在表面进行除锈防腐处理，若是非暴露的零件、部件、机器等，可在制造时进行除锈、防腐蚀处理，其防腐蚀措施必须得到采购人的认可。</w:t>
            </w:r>
          </w:p>
          <w:p w14:paraId="3BA36BD4">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 测试和试运行</w:t>
            </w:r>
          </w:p>
          <w:p w14:paraId="5D8B806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2.1工具、材料、仪器设备和劳务人员：</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应派有五年以上工作经验的工程师在现场负责测试和调试，以检测其设计、制造、运行效果等。并提供所有测试和调试所需的工具、材料、仪器和劳务人员。</w:t>
            </w:r>
          </w:p>
          <w:p w14:paraId="535A8763">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2.2程序和表格：</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在安装结束前2个星期，提交测试和调试方法及记录表格给采购人。</w:t>
            </w:r>
          </w:p>
          <w:p w14:paraId="7D92F85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2.3测试：部分或全部测试需根据实际情况在安装期内或后进行。</w:t>
            </w:r>
          </w:p>
          <w:p w14:paraId="78409BA1">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2.4试运行：设备试运行应在有关部门及采购人人员的监督下进行。</w:t>
            </w:r>
          </w:p>
          <w:p w14:paraId="3AEB4F04">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3.验收</w:t>
            </w:r>
          </w:p>
          <w:p w14:paraId="56EE7BB4">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3.1产品保护：工程完成后，</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须负责全部设备的保护和清洁工作，直至设备验收合格并正常运行后为止。在安装过程中，如建筑结构或其它设备被损坏</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有责任修理或赔偿损失。</w:t>
            </w:r>
          </w:p>
          <w:p w14:paraId="155F70C7">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3.2验收合格条件</w:t>
            </w:r>
          </w:p>
          <w:p w14:paraId="3B099167">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① 运行结果符合产品标准和技术规格书及合同要求。</w:t>
            </w:r>
          </w:p>
          <w:p w14:paraId="561A707B">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② 在进行测试和验收运行过程中发生的故障已被消除并得到采购人的认可。</w:t>
            </w:r>
          </w:p>
          <w:p w14:paraId="1A70B3C9">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③ 所有合同中规定的货物和材料都已提交。</w:t>
            </w:r>
          </w:p>
          <w:p w14:paraId="51A8C60A">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④ 设备在交由采购人使用之前已通过质量管理部门和劳动部门的验收，并得到使用证书。</w:t>
            </w:r>
          </w:p>
          <w:p w14:paraId="202873AB">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⑤ 整套设备图纸及技术文件都已提交并得到接受。</w:t>
            </w:r>
          </w:p>
          <w:p w14:paraId="04C9A049">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4</w:t>
            </w:r>
            <w:r>
              <w:rPr>
                <w:rFonts w:hint="eastAsia" w:asciiTheme="minorEastAsia" w:hAnsiTheme="minorEastAsia" w:eastAsiaTheme="minorEastAsia" w:cstheme="minorEastAsia"/>
                <w:color w:val="auto"/>
                <w:spacing w:val="-2"/>
                <w:sz w:val="24"/>
                <w:szCs w:val="24"/>
                <w:highlight w:val="none"/>
                <w:lang w:val="en-US" w:eastAsia="zh-CN"/>
              </w:rPr>
              <w:t>.</w:t>
            </w:r>
            <w:r>
              <w:rPr>
                <w:rFonts w:hint="eastAsia" w:asciiTheme="minorEastAsia" w:hAnsiTheme="minorEastAsia" w:eastAsiaTheme="minorEastAsia" w:cstheme="minorEastAsia"/>
                <w:color w:val="auto"/>
                <w:spacing w:val="-2"/>
                <w:sz w:val="24"/>
                <w:szCs w:val="24"/>
                <w:highlight w:val="none"/>
              </w:rPr>
              <w:t>验收依据：《产品检验通用技术要求》和相关的中国国家标准；</w:t>
            </w:r>
          </w:p>
          <w:p w14:paraId="5071EC0F">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5</w:t>
            </w:r>
            <w:r>
              <w:rPr>
                <w:rFonts w:hint="eastAsia" w:asciiTheme="minorEastAsia" w:hAnsiTheme="minorEastAsia" w:eastAsiaTheme="minorEastAsia" w:cstheme="minorEastAsia"/>
                <w:color w:val="auto"/>
                <w:spacing w:val="-2"/>
                <w:sz w:val="24"/>
                <w:szCs w:val="24"/>
                <w:highlight w:val="none"/>
                <w:lang w:val="en-US" w:eastAsia="zh-CN"/>
              </w:rPr>
              <w:t>.</w:t>
            </w:r>
            <w:r>
              <w:rPr>
                <w:rFonts w:hint="eastAsia" w:asciiTheme="minorEastAsia" w:hAnsiTheme="minorEastAsia" w:eastAsiaTheme="minorEastAsia" w:cstheme="minorEastAsia"/>
                <w:color w:val="auto"/>
                <w:spacing w:val="-2"/>
                <w:sz w:val="24"/>
                <w:szCs w:val="24"/>
                <w:highlight w:val="none"/>
              </w:rPr>
              <w:t>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tc>
        <w:tc>
          <w:tcPr>
            <w:tcW w:w="890" w:type="dxa"/>
            <w:vAlign w:val="center"/>
          </w:tcPr>
          <w:p w14:paraId="7393B6CC">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0EE57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7BCD9B6D">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7</w:t>
            </w:r>
          </w:p>
        </w:tc>
        <w:tc>
          <w:tcPr>
            <w:tcW w:w="1560" w:type="dxa"/>
            <w:vAlign w:val="center"/>
          </w:tcPr>
          <w:p w14:paraId="6C697358">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 xml:space="preserve">技术培训 </w:t>
            </w:r>
          </w:p>
        </w:tc>
        <w:tc>
          <w:tcPr>
            <w:tcW w:w="5772" w:type="dxa"/>
            <w:vAlign w:val="top"/>
          </w:tcPr>
          <w:p w14:paraId="3FED070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val="en-US" w:eastAsia="zh-CN"/>
              </w:rPr>
              <w:t>1.</w:t>
            </w:r>
            <w:r>
              <w:rPr>
                <w:rFonts w:hint="eastAsia" w:asciiTheme="minorEastAsia" w:hAnsiTheme="minorEastAsia" w:eastAsiaTheme="minorEastAsia" w:cstheme="minorEastAsia"/>
                <w:color w:val="auto"/>
                <w:spacing w:val="-2"/>
                <w:sz w:val="24"/>
                <w:szCs w:val="24"/>
                <w:highlight w:val="none"/>
              </w:rPr>
              <w:t>供应商须至少提供两名培训人员，对采购人的技术操作人员2人(1人机械，1人电气)进行项目现场培训直至能安全独立操作，培训时间不少于一周。供应商须在投标文件中提供详细的培训计划,包括培训内容、培训时间、培训费用等。</w:t>
            </w:r>
          </w:p>
          <w:p w14:paraId="07F1F769">
            <w:pPr>
              <w:spacing w:line="360" w:lineRule="auto"/>
              <w:rPr>
                <w:rFonts w:hint="eastAsia" w:asciiTheme="minorEastAsia" w:hAnsiTheme="minorEastAsia" w:eastAsiaTheme="minorEastAsia" w:cstheme="minorEastAsia"/>
                <w:color w:val="auto"/>
                <w:spacing w:val="-2"/>
                <w:sz w:val="24"/>
                <w:szCs w:val="24"/>
                <w:highlight w:val="none"/>
                <w:lang w:eastAsia="zh-CN"/>
              </w:rPr>
            </w:pPr>
            <w:r>
              <w:rPr>
                <w:rFonts w:hint="eastAsia" w:asciiTheme="minorEastAsia" w:hAnsiTheme="minorEastAsia" w:eastAsiaTheme="minorEastAsia" w:cstheme="minorEastAsia"/>
                <w:b/>
                <w:bCs/>
                <w:color w:val="auto"/>
                <w:spacing w:val="-2"/>
                <w:sz w:val="24"/>
                <w:szCs w:val="24"/>
                <w:highlight w:val="none"/>
              </w:rPr>
              <w:t>2.供应商提供的负责培训的人员应具备同类产品3年以上的维修经验（以取得《中华人民共和国特种设备作业人员证》或《中华人民共和国特种设备质量管理负责人人员证》的时间为准）。</w:t>
            </w:r>
          </w:p>
        </w:tc>
        <w:tc>
          <w:tcPr>
            <w:tcW w:w="890" w:type="dxa"/>
            <w:vAlign w:val="center"/>
          </w:tcPr>
          <w:p w14:paraId="646303C6">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4832F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34DCA47C">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8</w:t>
            </w:r>
          </w:p>
        </w:tc>
        <w:tc>
          <w:tcPr>
            <w:tcW w:w="1560" w:type="dxa"/>
            <w:vAlign w:val="center"/>
          </w:tcPr>
          <w:p w14:paraId="37F864C0">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其它要求</w:t>
            </w:r>
          </w:p>
        </w:tc>
        <w:tc>
          <w:tcPr>
            <w:tcW w:w="5772" w:type="dxa"/>
            <w:vAlign w:val="top"/>
          </w:tcPr>
          <w:p w14:paraId="631E277A">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 整套设备及其主要部件的原产国家须明确地标明在投标文件中。在交货时应附上原产地国家的产地证明等资料文件。</w:t>
            </w:r>
          </w:p>
          <w:p w14:paraId="1E2A79D1">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 产品标准和规范：本采购文件成文时，下列所示标准和规范均有效。所有标准和规范都会被修订，供应商应达到下列标准和规范最新版本的要求。</w:t>
            </w:r>
          </w:p>
          <w:p w14:paraId="0C55187E">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（1）中华人民共和国标准和国外标准</w:t>
            </w:r>
          </w:p>
          <w:p w14:paraId="65F5DD13">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由供应商提供的所有产品和服务须符合下列规范、条例及标准</w:t>
            </w:r>
          </w:p>
          <w:p w14:paraId="55BA7629">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·中华人民共和国的国家标准：《电梯工程施工质量验收规范》（</w:t>
            </w:r>
            <w:bookmarkStart w:id="0" w:name="OLE_LINK5"/>
            <w:r>
              <w:rPr>
                <w:rFonts w:hint="eastAsia" w:asciiTheme="minorEastAsia" w:hAnsiTheme="minorEastAsia" w:eastAsiaTheme="minorEastAsia" w:cstheme="minorEastAsia"/>
                <w:color w:val="auto"/>
                <w:sz w:val="24"/>
                <w:szCs w:val="24"/>
                <w:highlight w:val="none"/>
              </w:rPr>
              <w:t>GB50310—2002</w:t>
            </w:r>
            <w:bookmarkEnd w:id="0"/>
            <w:r>
              <w:rPr>
                <w:rFonts w:hint="eastAsia" w:asciiTheme="minorEastAsia" w:hAnsiTheme="minorEastAsia" w:eastAsiaTheme="minorEastAsia" w:cstheme="minorEastAsia"/>
                <w:color w:val="auto"/>
                <w:sz w:val="24"/>
                <w:szCs w:val="24"/>
                <w:highlight w:val="none"/>
              </w:rPr>
              <w:t>）</w:t>
            </w:r>
          </w:p>
          <w:p w14:paraId="4D98FB29">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·中华人民共和国的国家标准：《电梯制造与安装安全规范》第1部分：乘客电梯和载货电梯（</w:t>
            </w:r>
            <w:bookmarkStart w:id="1" w:name="OLE_LINK6"/>
            <w:r>
              <w:rPr>
                <w:rFonts w:hint="eastAsia" w:asciiTheme="minorEastAsia" w:hAnsiTheme="minorEastAsia" w:eastAsiaTheme="minorEastAsia" w:cstheme="minorEastAsia"/>
                <w:color w:val="auto"/>
                <w:sz w:val="24"/>
                <w:szCs w:val="24"/>
                <w:highlight w:val="none"/>
              </w:rPr>
              <w:t>GB7588—20</w:t>
            </w:r>
            <w:r>
              <w:rPr>
                <w:rFonts w:hint="eastAsia" w:asciiTheme="minorEastAsia" w:hAnsiTheme="minorEastAsia" w:eastAsiaTheme="minorEastAsia" w:cstheme="minorEastAsia"/>
                <w:color w:val="auto"/>
                <w:sz w:val="24"/>
                <w:szCs w:val="24"/>
                <w:highlight w:val="none"/>
                <w:lang w:val="en-US" w:eastAsia="zh-CN"/>
              </w:rPr>
              <w:t>2</w:t>
            </w:r>
            <w:bookmarkEnd w:id="1"/>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w:t>
            </w:r>
          </w:p>
          <w:p w14:paraId="5EA836EE">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《特种设备安全监察条例》。</w:t>
            </w:r>
          </w:p>
          <w:p w14:paraId="543BAA68">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为满足GB7588 《电梯制造与安装安全规范》的最新要求，投标电梯应配置轿厢上行超速保护装置（ GB7588 第9.10 条）。</w:t>
            </w:r>
          </w:p>
          <w:p w14:paraId="6E077AA8">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·中华人民共和国的国家标准：《电梯安装验收规范》（GB10060—20</w:t>
            </w:r>
            <w:r>
              <w:rPr>
                <w:rFonts w:hint="eastAsia" w:asciiTheme="minorEastAsia" w:hAnsiTheme="minorEastAsia" w:eastAsiaTheme="minorEastAsia" w:cstheme="minorEastAsia"/>
                <w:color w:val="auto"/>
                <w:sz w:val="24"/>
                <w:szCs w:val="24"/>
                <w:highlight w:val="none"/>
                <w:lang w:val="en-US" w:eastAsia="zh-CN"/>
              </w:rPr>
              <w:t>23</w:t>
            </w:r>
            <w:r>
              <w:rPr>
                <w:rFonts w:hint="eastAsia" w:asciiTheme="minorEastAsia" w:hAnsiTheme="minorEastAsia" w:eastAsiaTheme="minorEastAsia" w:cstheme="minorEastAsia"/>
                <w:color w:val="auto"/>
                <w:sz w:val="24"/>
                <w:szCs w:val="24"/>
                <w:highlight w:val="none"/>
              </w:rPr>
              <w:t>）</w:t>
            </w:r>
          </w:p>
          <w:p w14:paraId="70B31AEC">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·中华人民共和国的国家标准：《电梯技术条件》（GB10058—20</w:t>
            </w:r>
            <w:r>
              <w:rPr>
                <w:rFonts w:hint="eastAsia" w:asciiTheme="minorEastAsia" w:hAnsiTheme="minorEastAsia" w:eastAsiaTheme="minorEastAsia" w:cstheme="minorEastAsia"/>
                <w:color w:val="auto"/>
                <w:sz w:val="24"/>
                <w:szCs w:val="24"/>
                <w:highlight w:val="none"/>
                <w:lang w:val="en-US" w:eastAsia="zh-CN"/>
              </w:rPr>
              <w:t>23</w:t>
            </w:r>
            <w:r>
              <w:rPr>
                <w:rFonts w:hint="eastAsia" w:asciiTheme="minorEastAsia" w:hAnsiTheme="minorEastAsia" w:eastAsiaTheme="minorEastAsia" w:cstheme="minorEastAsia"/>
                <w:color w:val="auto"/>
                <w:sz w:val="24"/>
                <w:szCs w:val="24"/>
                <w:highlight w:val="none"/>
              </w:rPr>
              <w:t>）</w:t>
            </w:r>
          </w:p>
          <w:p w14:paraId="6B073EA9">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·中华人民共和国的国家标准：《电梯试验方法》（GB10059—20</w:t>
            </w:r>
            <w:r>
              <w:rPr>
                <w:rFonts w:hint="eastAsia" w:asciiTheme="minorEastAsia" w:hAnsiTheme="minorEastAsia" w:eastAsiaTheme="minorEastAsia" w:cstheme="minorEastAsia"/>
                <w:color w:val="auto"/>
                <w:sz w:val="24"/>
                <w:szCs w:val="24"/>
                <w:highlight w:val="none"/>
                <w:lang w:val="en-US" w:eastAsia="zh-CN"/>
              </w:rPr>
              <w:t>23</w:t>
            </w:r>
            <w:r>
              <w:rPr>
                <w:rFonts w:hint="eastAsia" w:asciiTheme="minorEastAsia" w:hAnsiTheme="minorEastAsia" w:eastAsiaTheme="minorEastAsia" w:cstheme="minorEastAsia"/>
                <w:color w:val="auto"/>
                <w:sz w:val="24"/>
                <w:szCs w:val="24"/>
                <w:highlight w:val="none"/>
              </w:rPr>
              <w:t>）</w:t>
            </w:r>
          </w:p>
          <w:p w14:paraId="1D8A7151">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·电力供应部门的供电规章条例</w:t>
            </w:r>
          </w:p>
          <w:p w14:paraId="63632E44">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·其他有关的中国规定</w:t>
            </w:r>
          </w:p>
          <w:p w14:paraId="3FBB453F">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·由</w:t>
            </w:r>
            <w:r>
              <w:rPr>
                <w:rFonts w:hint="eastAsia" w:asciiTheme="minorEastAsia" w:hAnsiTheme="minorEastAsia" w:eastAsiaTheme="minorEastAsia" w:cstheme="minorEastAsia"/>
                <w:color w:val="auto"/>
                <w:spacing w:val="-2"/>
                <w:sz w:val="24"/>
                <w:szCs w:val="24"/>
                <w:highlight w:val="none"/>
              </w:rPr>
              <w:t>采购人</w:t>
            </w:r>
            <w:r>
              <w:rPr>
                <w:rFonts w:hint="eastAsia" w:asciiTheme="minorEastAsia" w:hAnsiTheme="minorEastAsia" w:eastAsiaTheme="minorEastAsia" w:cstheme="minorEastAsia"/>
                <w:color w:val="auto"/>
                <w:sz w:val="24"/>
                <w:szCs w:val="24"/>
                <w:highlight w:val="none"/>
              </w:rPr>
              <w:t>认可的其它国家的其它权威标准。</w:t>
            </w:r>
          </w:p>
          <w:p w14:paraId="775B50D6">
            <w:pPr>
              <w:spacing w:line="360" w:lineRule="auto"/>
              <w:ind w:firstLine="474" w:firstLineChars="200"/>
              <w:rPr>
                <w:rFonts w:hint="eastAsia" w:asciiTheme="minorEastAsia" w:hAnsiTheme="minorEastAsia" w:eastAsiaTheme="minorEastAsia" w:cstheme="minorEastAsia"/>
                <w:b/>
                <w:bCs/>
                <w:color w:val="auto"/>
                <w:spacing w:val="-2"/>
                <w:sz w:val="24"/>
                <w:szCs w:val="24"/>
                <w:highlight w:val="none"/>
              </w:rPr>
            </w:pPr>
          </w:p>
        </w:tc>
        <w:tc>
          <w:tcPr>
            <w:tcW w:w="890" w:type="dxa"/>
            <w:vAlign w:val="center"/>
          </w:tcPr>
          <w:p w14:paraId="42656DBF">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bl>
    <w:p w14:paraId="24085C92">
      <w:pPr>
        <w:widowControl w:val="0"/>
        <w:kinsoku/>
        <w:spacing w:line="242" w:lineRule="auto"/>
        <w:rPr>
          <w:color w:val="auto"/>
          <w:highlight w:val="none"/>
          <w:lang w:eastAsia="zh-CN"/>
        </w:rPr>
      </w:pPr>
    </w:p>
    <w:p w14:paraId="2FC5F9A8">
      <w:pPr>
        <w:spacing w:line="360" w:lineRule="auto"/>
        <w:rPr>
          <w:color w:val="auto"/>
          <w:highlight w:val="none"/>
          <w:lang w:eastAsia="zh-CN"/>
        </w:rPr>
      </w:pPr>
      <w:r>
        <w:rPr>
          <w:rFonts w:hint="eastAsia" w:ascii="宋体" w:hAnsi="宋体"/>
          <w:b/>
          <w:color w:val="auto"/>
          <w:sz w:val="24"/>
          <w:highlight w:val="none"/>
          <w:lang w:eastAsia="zh-CN"/>
        </w:rPr>
        <w:t>以上“参数规格”为实质性要求，必须完全满足或优于，否则响应无效。</w:t>
      </w:r>
    </w:p>
    <w:p w14:paraId="40DAE139">
      <w:pPr>
        <w:widowControl w:val="0"/>
        <w:kinsoku/>
        <w:spacing w:line="245" w:lineRule="auto"/>
        <w:rPr>
          <w:color w:val="auto"/>
          <w:highlight w:val="none"/>
          <w:lang w:eastAsia="zh-CN"/>
        </w:rPr>
      </w:pPr>
    </w:p>
    <w:p w14:paraId="22D06C24">
      <w:pPr>
        <w:widowControl w:val="0"/>
        <w:kinsoku/>
        <w:spacing w:line="245" w:lineRule="auto"/>
        <w:rPr>
          <w:color w:val="auto"/>
          <w:highlight w:val="none"/>
          <w:lang w:eastAsia="zh-CN"/>
        </w:rPr>
      </w:pPr>
    </w:p>
    <w:p w14:paraId="3F6F53B0">
      <w:pPr>
        <w:widowControl w:val="0"/>
        <w:kinsoku/>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2A77CBA">
      <w:pPr>
        <w:widowControl w:val="0"/>
        <w:kinsoku/>
        <w:spacing w:line="249" w:lineRule="auto"/>
        <w:rPr>
          <w:color w:val="auto"/>
          <w:highlight w:val="none"/>
          <w:lang w:eastAsia="zh-CN"/>
        </w:rPr>
      </w:pPr>
    </w:p>
    <w:p w14:paraId="11BD6A96">
      <w:pPr>
        <w:numPr>
          <w:ilvl w:val="0"/>
          <w:numId w:val="1"/>
        </w:num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交货期：合同签订后</w:t>
      </w:r>
      <w:r>
        <w:rPr>
          <w:rFonts w:hint="eastAsia" w:ascii="宋体" w:hAnsi="宋体" w:cs="宋体"/>
          <w:color w:val="auto"/>
          <w:sz w:val="24"/>
          <w:szCs w:val="24"/>
          <w:highlight w:val="none"/>
          <w:lang w:val="en-US" w:eastAsia="zh-CN"/>
        </w:rPr>
        <w:t>40</w:t>
      </w:r>
      <w:r>
        <w:rPr>
          <w:rFonts w:hint="eastAsia" w:ascii="宋体" w:hAnsi="宋体" w:cs="宋体"/>
          <w:color w:val="auto"/>
          <w:sz w:val="24"/>
          <w:szCs w:val="24"/>
          <w:highlight w:val="none"/>
          <w:lang w:eastAsia="zh-CN"/>
        </w:rPr>
        <w:t xml:space="preserve">个日历日内供货并完成开箱验收，开箱验收合格后  </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0 个日历日内完成安装、调试、培训工作，</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0天内完成并提供检测合格的特种设备检验检测报告和使用登记证等合法手续。成交供应商应保证在要求时间内完成全部货物的供货、安装、调试试运行和培训工作,符合国家标准、行业规范和合同等相关文件的要求。成交供应商领取成交通知书后需及时与采购方对接，在电梯到货前，成交供应商需安排相关安装人员提前到现场查看井道的安装环境，对于影响电梯安装的任何细节和要求，须由成交供应商以文字书面形式提交给采购方，并预留两周时间配合土建单位进行整改，成交供应商承担协调沟通主要责任，因成交供应商未及时提出井道安装环境要求而导致的安装工期延误责任均由成交供应商承担。</w:t>
      </w:r>
    </w:p>
    <w:p w14:paraId="23CE17A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2、交货地点：南昌航空大学上海路校区（江西省南昌市青山湖区上海路173号），成交供应商按本合同项目要求全部向采购人交清并将所有产品安全运送到采购人指定地点，不另收任何费用。</w:t>
      </w:r>
    </w:p>
    <w:p w14:paraId="2ED15D2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履约保证金：（1）履约保证金为合同总金额的5%，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494D0A1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szCs w:val="24"/>
          <w:highlight w:val="none"/>
          <w:lang w:eastAsia="zh-CN"/>
        </w:rPr>
        <w:t>。</w:t>
      </w:r>
    </w:p>
    <w:p w14:paraId="6E7D5678">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lang w:eastAsia="zh-CN"/>
        </w:rPr>
        <w:t>。</w:t>
      </w:r>
    </w:p>
    <w:p w14:paraId="1D6CDA4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4、付款方式：本次项目按进度节点付款，设备到达现场经采购人、成交供应商双方、监理工程师共同开箱清点并初验（需提供所投产品主要部件的制造商、产地等证明材料）合格后支付合同总价的30％，设备完成安装并经江西省特种设备检验检测研究所按相应的国际标准和中国政府标准及其设备使用地质检部门的有关要求进行检测验收合格取得电梯的特种设备使用登记证等资料、并通过校方相关部门最终验收合格后支付合同余款。运输保险费、验收等所有一切费用包含在合同总价中。</w:t>
      </w:r>
    </w:p>
    <w:p w14:paraId="559EA76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5、质量保证和售后服务要求。</w:t>
      </w:r>
    </w:p>
    <w:p w14:paraId="01B65F2D">
      <w:pPr>
        <w:spacing w:line="360" w:lineRule="auto"/>
        <w:rPr>
          <w:rFonts w:ascii="宋体" w:hAnsi="宋体" w:cs="宋体"/>
          <w:color w:val="auto"/>
          <w:highlight w:val="none"/>
          <w:lang w:eastAsia="zh-CN"/>
        </w:rPr>
      </w:pPr>
      <w:r>
        <w:rPr>
          <w:rFonts w:hint="eastAsia" w:ascii="宋体" w:hAnsi="宋体" w:cs="宋体"/>
          <w:color w:val="auto"/>
          <w:sz w:val="24"/>
          <w:szCs w:val="24"/>
          <w:highlight w:val="none"/>
          <w:lang w:eastAsia="zh-CN"/>
        </w:rPr>
        <w:t>（1）质量保证期：提供</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eastAsia="zh-CN"/>
        </w:rPr>
        <w:t>年的免费质量保修期，质量保修期自本合同所有产品安装调试并初次验收合格之日起算</w:t>
      </w:r>
      <w:r>
        <w:rPr>
          <w:rFonts w:hint="eastAsia" w:ascii="宋体" w:hAnsi="宋体" w:cs="宋体"/>
          <w:b/>
          <w:bCs/>
          <w:color w:val="auto"/>
          <w:sz w:val="24"/>
          <w:szCs w:val="22"/>
          <w:highlight w:val="none"/>
          <w:lang w:eastAsia="zh-CN"/>
        </w:rPr>
        <w:t>。（费用包含在本项目响应报价中）</w:t>
      </w:r>
    </w:p>
    <w:p w14:paraId="6151C723">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2）约定服务期自本项目所有产品安装调试并初次验收合格之日起算，在约定服务期内，如果设备发生故障，成交供应商要调查故障原因并免费修复直至满足设备性能的要求，或者更换整机或部分有缺陷的组件和材料；约定服务期内成交供应商应对由于设计、工艺或材料的缺陷而发生的任何不足和故障负责任。约定服务期内提供及时的升级服务。</w:t>
      </w:r>
    </w:p>
    <w:p w14:paraId="2DCB56E2">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（3）约定服务期期满后，成交供应商继续为采购人提供专业维修及软件升级服务，由此发生的相关服务和备品备件费用由采购人承担</w:t>
      </w:r>
      <w:r>
        <w:rPr>
          <w:rFonts w:hint="eastAsia" w:ascii="宋体" w:hAnsi="宋体" w:cs="宋体"/>
          <w:color w:val="auto"/>
          <w:sz w:val="24"/>
          <w:szCs w:val="24"/>
          <w:highlight w:val="none"/>
          <w:lang w:eastAsia="zh-CN"/>
        </w:rPr>
        <w:t>。</w:t>
      </w:r>
    </w:p>
    <w:p w14:paraId="0B8F38C5">
      <w:pPr>
        <w:spacing w:line="360" w:lineRule="auto"/>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（4）提供7×24小时售后服务热线；在接到采购人通知维修后服务随时响应。若运用通讯工具不能解决问题，必须在48小时之内到达现场予以解决</w:t>
      </w:r>
      <w:r>
        <w:rPr>
          <w:rFonts w:hint="eastAsia" w:ascii="宋体" w:hAnsi="宋体" w:cs="宋体"/>
          <w:color w:val="auto"/>
          <w:sz w:val="24"/>
          <w:szCs w:val="24"/>
          <w:highlight w:val="none"/>
          <w:lang w:eastAsia="zh-CN"/>
        </w:rPr>
        <w:t>。</w:t>
      </w:r>
    </w:p>
    <w:p w14:paraId="18CC877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）成交供应商的其它售后服务承诺属于本合同的一部分，如果有不同约定的，以服务水平和层级更高的为准。</w:t>
      </w:r>
    </w:p>
    <w:p w14:paraId="2EEDDC54">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6、安装调试及货物验收</w:t>
      </w:r>
    </w:p>
    <w:p w14:paraId="7A5FDD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（1）成交供应商应按合同约定按时交货并通知采购人对货物开箱时进行开箱验收。</w:t>
      </w:r>
    </w:p>
    <w:p w14:paraId="0837FB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108C5DA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Theme="minorEastAsia" w:hAnsiTheme="minorEastAsia" w:eastAsiaTheme="minorEastAsia" w:cstheme="minorEastAsia"/>
          <w:iCs/>
          <w:color w:val="auto"/>
          <w:kern w:val="0"/>
          <w:sz w:val="24"/>
          <w:highlight w:val="none"/>
        </w:rPr>
        <w:t>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r>
        <w:rPr>
          <w:rFonts w:hint="eastAsia" w:ascii="宋体" w:hAnsi="宋体" w:eastAsia="宋体" w:cs="宋体"/>
          <w:color w:val="auto"/>
          <w:sz w:val="24"/>
          <w:szCs w:val="24"/>
          <w:highlight w:val="none"/>
          <w:lang w:eastAsia="zh-CN"/>
        </w:rPr>
        <w:t>。</w:t>
      </w:r>
    </w:p>
    <w:p w14:paraId="5E2B887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7、验收依据：《产品检验通用技术要求》和相关的中国国家标准；</w:t>
      </w:r>
    </w:p>
    <w:p w14:paraId="7316C62C">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20B7EC8F">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9、知识产权</w:t>
      </w:r>
    </w:p>
    <w:p w14:paraId="66E9D320">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成交供应商须保障采购人在使用该产品及所属服务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成交供应商应赔偿该损失。</w:t>
      </w:r>
    </w:p>
    <w:p w14:paraId="20C06C1F">
      <w:pPr>
        <w:pStyle w:val="7"/>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10、履约风险及措施</w:t>
      </w:r>
    </w:p>
    <w:p w14:paraId="6EC9658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w:t>
      </w:r>
      <w:r>
        <w:rPr>
          <w:rFonts w:ascii="宋体" w:hAnsi="宋体" w:eastAsia="宋体" w:cs="宋体"/>
          <w:color w:val="auto"/>
          <w:sz w:val="24"/>
          <w:szCs w:val="24"/>
          <w:highlight w:val="none"/>
          <w:lang w:eastAsia="zh-CN"/>
        </w:rPr>
        <w:t>未能按照本合同约定交货的，则每逾期一天，按照合同总价的</w:t>
      </w:r>
      <w:r>
        <w:rPr>
          <w:rFonts w:hint="eastAsia" w:ascii="宋体" w:hAnsi="宋体" w:eastAsia="宋体" w:cs="宋体"/>
          <w:color w:val="auto"/>
          <w:sz w:val="24"/>
          <w:szCs w:val="24"/>
          <w:highlight w:val="none"/>
          <w:lang w:val="en-US" w:eastAsia="zh-CN"/>
        </w:rPr>
        <w:t>5</w:t>
      </w:r>
      <w:r>
        <w:rPr>
          <w:rFonts w:ascii="宋体" w:hAnsi="宋体" w:eastAsia="宋体" w:cs="宋体"/>
          <w:color w:val="auto"/>
          <w:sz w:val="24"/>
          <w:szCs w:val="24"/>
          <w:highlight w:val="none"/>
          <w:lang w:eastAsia="zh-CN"/>
        </w:rPr>
        <w:t>‰向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支付违约金，最高延期赔偿金不超过本合同总价款的20%。</w:t>
      </w:r>
    </w:p>
    <w:p w14:paraId="73AC840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w:t>
      </w:r>
      <w:r>
        <w:rPr>
          <w:rFonts w:ascii="宋体" w:hAnsi="宋体" w:eastAsia="宋体" w:cs="宋体"/>
          <w:color w:val="auto"/>
          <w:sz w:val="24"/>
          <w:szCs w:val="24"/>
          <w:highlight w:val="none"/>
          <w:lang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明确告知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无法交付合同约定产品或提供合同约定的服务的，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应当承担违约责任，并应按本合同总金额的30%向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w:t>
      </w:r>
    </w:p>
    <w:p w14:paraId="4B4AF36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可单方通知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解除合同，解除合同通知送达</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当日合同立即终止。</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解除合同通知发送至</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指定电子邮箱系统即视为已送达。</w:t>
      </w:r>
    </w:p>
    <w:p w14:paraId="7B9D916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供应商提供的所有证明材料必须真实，有效。成交供应商与</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合同签订</w:t>
      </w:r>
      <w:r>
        <w:rPr>
          <w:rFonts w:hint="eastAsia" w:ascii="宋体" w:hAnsi="宋体" w:eastAsia="宋体" w:cs="宋体"/>
          <w:color w:val="auto"/>
          <w:sz w:val="24"/>
          <w:szCs w:val="24"/>
          <w:highlight w:val="none"/>
          <w:lang w:eastAsia="zh-CN"/>
        </w:rPr>
        <w:t>后</w:t>
      </w:r>
      <w:r>
        <w:rPr>
          <w:rFonts w:ascii="宋体" w:hAnsi="宋体" w:eastAsia="宋体" w:cs="宋体"/>
          <w:color w:val="auto"/>
          <w:sz w:val="24"/>
          <w:szCs w:val="24"/>
          <w:highlight w:val="none"/>
          <w:lang w:eastAsia="zh-CN"/>
        </w:rPr>
        <w:t>，成交供应商需按</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要求提供投标证明材料原件核查。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有权核实</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文件内容真实性。如证实成交供应商提供虚假材料，</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 xml:space="preserve">将上报至同级 财政监管部门，追究其法律责任。 </w:t>
      </w:r>
    </w:p>
    <w:p w14:paraId="7FAF287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11、其他要求:</w:t>
      </w:r>
    </w:p>
    <w:p w14:paraId="4DDA7B0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）成交供应商应提供与本项目所要求货物配套的免费维保服务，电梯维保期限同质量保修期一样。（按照GB(T18775)《电梯维修规范》、《电梯日常维护保养规则》执行免费维护保养）。</w:t>
      </w:r>
    </w:p>
    <w:p w14:paraId="32822E86">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从本项目验收合格后开始计算。服务内容如下：</w:t>
      </w:r>
    </w:p>
    <w:p w14:paraId="79F08BD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1)服务标准</w:t>
      </w:r>
    </w:p>
    <w:p w14:paraId="0D9E1B77">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①国家现行的电梯使用管理与维修保养规则</w:t>
      </w:r>
    </w:p>
    <w:p w14:paraId="67201EB6">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②国家现行的电梯维修规范</w:t>
      </w:r>
    </w:p>
    <w:p w14:paraId="07C46977">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③江西省现行的电梯维修保养安全管理规范</w:t>
      </w:r>
    </w:p>
    <w:p w14:paraId="08EBDCDE">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④电梯安装使用维护说明书</w:t>
      </w:r>
    </w:p>
    <w:p w14:paraId="262449EE">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⑤维保合同</w:t>
      </w:r>
    </w:p>
    <w:p w14:paraId="2D54B19D">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2)其它要求</w:t>
      </w:r>
    </w:p>
    <w:p w14:paraId="34B39642">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①甲方提供给维修保养公司的各种资料，维修保养公司应妥善保管，未经甲方同意不得复印和转借，合同期满后完好交回。</w:t>
      </w:r>
    </w:p>
    <w:p w14:paraId="1B8B9BE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②维修保养公司每次维修保养后应提交书面维修保养报告给甲方，双方签字存档；维修保养合同期满后，维修保养公司应向甲方提交详细的维修保养报告和维修统计资料等。</w:t>
      </w:r>
    </w:p>
    <w:p w14:paraId="0DCB114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③维修保养公司维修人员应取得国家相关部门颁发的维修证书，并购买人身意外保险；当电梯发生故障时维保人员须 30 分钟内到达现场，并及时排除故障；在各次检测、检查、维修保养必须具体使用部门和维修保养公司双方代表签字方能认可。</w:t>
      </w:r>
    </w:p>
    <w:p w14:paraId="67416EFD">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④维修保养公司须在响应文件中注明电梯主要配件（门机、门机控制器、电梯主机及主机相关配件、控制柜变频器、控制柜主板、对重轮等）的维修及更换时间。</w:t>
      </w:r>
    </w:p>
    <w:p w14:paraId="030C1DB0">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⑤自行配备工作所需的工具及设备，工作时设置现场安全警示标志，落实作业现场安全防护措施，保证作业安全。</w:t>
      </w:r>
    </w:p>
    <w:p w14:paraId="61F46ECA">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⑥随时听取甲方的反馈，对不正常的运行状况做认真分析及纠正。应当负责维保范围内所有电梯由国家相关部门年检的一切事项，并在电梯安全检验合格证有效期满前两个月向国家相关部门提出年检申请并备案，同时向甲方提供电梯年检缴费通知单。</w:t>
      </w:r>
    </w:p>
    <w:p w14:paraId="0BFFDFF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⑦其它事宜在维修保养合同中体现。</w:t>
      </w:r>
    </w:p>
    <w:p w14:paraId="394F88CD">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3)其它</w:t>
      </w:r>
    </w:p>
    <w:p w14:paraId="5640C633">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投标文件中应包括与维保内容有关的所有费用（比如人工、工具、零配件费用、利润、税金等等），按每组单价及合计总价标明报价。</w:t>
      </w:r>
    </w:p>
    <w:p w14:paraId="79A00E8C">
      <w:pPr>
        <w:spacing w:line="360" w:lineRule="auto"/>
        <w:rPr>
          <w:rFonts w:hint="eastAsia"/>
          <w:color w:val="auto"/>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按照南昌市市场监督管理局文件《关于在全市公众聚集场所电梯配备运行参数采集监测装置的通知》（洪市监字〔2023〕100号）要求提供运行参数采集和网络远程传输的监测装置，必须将有关数据和故障监测信号按规定格式传输至南昌市电梯应急处置服务平台，并免费提供3年期的数据传输服务。</w:t>
      </w:r>
    </w:p>
    <w:p w14:paraId="139D778A">
      <w:pPr>
        <w:widowControl w:val="0"/>
        <w:kinsoku/>
        <w:spacing w:line="249" w:lineRule="auto"/>
        <w:rPr>
          <w:color w:val="auto"/>
          <w:highlight w:val="none"/>
          <w:lang w:eastAsia="zh-CN"/>
        </w:rPr>
      </w:pPr>
      <w:r>
        <w:rPr>
          <w:rFonts w:hint="eastAsia" w:ascii="宋体" w:hAnsi="宋体" w:cs="宋体"/>
          <w:b/>
          <w:bCs/>
          <w:color w:val="auto"/>
          <w:sz w:val="24"/>
          <w:szCs w:val="24"/>
          <w:highlight w:val="none"/>
          <w:lang w:eastAsia="zh-CN"/>
        </w:rPr>
        <w:t>注：以上商务要求均须完全满足，否则视为无效响应。</w:t>
      </w:r>
    </w:p>
    <w:p w14:paraId="2AAA6912">
      <w:bookmarkStart w:id="3" w:name="_GoBack"/>
      <w:bookmarkEnd w:id="3"/>
      <w:bookmarkStart w:id="2" w:name="bookmark82"/>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BDB5F"/>
    <w:multiLevelType w:val="singleLevel"/>
    <w:tmpl w:val="978BDB5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9511B1"/>
    <w:rsid w:val="275C5DD5"/>
    <w:rsid w:val="318930A6"/>
    <w:rsid w:val="3C1F03B8"/>
    <w:rsid w:val="5A2D0343"/>
    <w:rsid w:val="5E951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Plain Text"/>
    <w:basedOn w:val="1"/>
    <w:next w:val="1"/>
    <w:qFormat/>
    <w:uiPriority w:val="0"/>
    <w:rPr>
      <w:rFonts w:ascii="宋体" w:hAnsi="Courier New"/>
      <w:sz w:val="20"/>
    </w:rPr>
  </w:style>
  <w:style w:type="character" w:customStyle="1" w:styleId="6">
    <w:name w:val="无"/>
    <w:autoRedefine/>
    <w:qFormat/>
    <w:uiPriority w:val="0"/>
  </w:style>
  <w:style w:type="paragraph" w:customStyle="1" w:styleId="7">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2026-07-01T06:56:00Z</dcterms:created>
  <dc:creator>LENOVO</dc:creator>
  <cp:lastModifiedBy>LENOVO</cp:lastModifiedBy>
  <dcterms:modified xsi:type="dcterms:W3CDTF">2026-07-01T06:56:50Z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D8C862D60DB24AACA4ED82F0E6671210_11</vt:lpwstr>
  </property>
</Properties>
</file>