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B1FACBC">
      <w:pPr>
        <w:kinsoku/>
        <w:topLinePunct/>
        <w:spacing w:line="360" w:lineRule="auto"/>
        <w:rPr>
          <w:rFonts w:hint="eastAsia"/>
          <w:b/>
          <w:bCs/>
          <w:sz w:val="24"/>
          <w:szCs w:val="22"/>
          <w:lang w:eastAsia="zh-CN"/>
        </w:rPr>
      </w:pPr>
      <w:r>
        <w:rPr>
          <w:rFonts w:hint="eastAsia"/>
          <w:b/>
          <w:bCs/>
          <w:sz w:val="24"/>
          <w:szCs w:val="22"/>
          <w:lang w:eastAsia="zh-CN"/>
        </w:rPr>
        <w:t>（一）</w:t>
      </w:r>
      <w:r>
        <w:rPr>
          <w:rFonts w:hint="eastAsia" w:ascii="宋体" w:hAnsi="宋体" w:eastAsia="宋体" w:cs="宋体"/>
          <w:b/>
          <w:bCs/>
          <w:sz w:val="24"/>
          <w:szCs w:val="22"/>
          <w:lang w:eastAsia="zh-CN"/>
        </w:rPr>
        <w:t>技术</w:t>
      </w:r>
      <w:r>
        <w:rPr>
          <w:rFonts w:hint="eastAsia"/>
          <w:b/>
          <w:bCs/>
          <w:sz w:val="24"/>
          <w:szCs w:val="22"/>
          <w:lang w:eastAsia="zh-CN"/>
        </w:rPr>
        <w:t>要求</w:t>
      </w:r>
    </w:p>
    <w:tbl>
      <w:tblPr>
        <w:tblStyle w:val="2"/>
        <w:tblW w:w="91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3"/>
        <w:gridCol w:w="1346"/>
        <w:gridCol w:w="1324"/>
        <w:gridCol w:w="5899"/>
      </w:tblGrid>
      <w:tr w14:paraId="242A9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5" w:hRule="atLeast"/>
          <w:tblHeader/>
          <w:jc w:val="center"/>
        </w:trPr>
        <w:tc>
          <w:tcPr>
            <w:tcW w:w="613" w:type="dxa"/>
            <w:noWrap w:val="0"/>
            <w:vAlign w:val="center"/>
          </w:tcPr>
          <w:p w14:paraId="4B8FBD73">
            <w:pPr>
              <w:widowControl w:val="0"/>
              <w:kinsoku/>
              <w:topLinePunct/>
              <w:autoSpaceDE/>
              <w:autoSpaceDN/>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序号</w:t>
            </w:r>
          </w:p>
        </w:tc>
        <w:tc>
          <w:tcPr>
            <w:tcW w:w="1346" w:type="dxa"/>
            <w:noWrap w:val="0"/>
            <w:vAlign w:val="center"/>
          </w:tcPr>
          <w:p w14:paraId="1A71AD54">
            <w:pPr>
              <w:widowControl w:val="0"/>
              <w:kinsoku/>
              <w:topLinePunct/>
              <w:autoSpaceDE/>
              <w:autoSpaceDN/>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岗位或项目名称</w:t>
            </w:r>
          </w:p>
        </w:tc>
        <w:tc>
          <w:tcPr>
            <w:tcW w:w="1324" w:type="dxa"/>
            <w:noWrap w:val="0"/>
            <w:vAlign w:val="center"/>
          </w:tcPr>
          <w:p w14:paraId="0CEF1B81">
            <w:pPr>
              <w:widowControl w:val="0"/>
              <w:kinsoku/>
              <w:topLinePunct/>
              <w:autoSpaceDE/>
              <w:autoSpaceDN/>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内容</w:t>
            </w:r>
          </w:p>
        </w:tc>
        <w:tc>
          <w:tcPr>
            <w:tcW w:w="5899" w:type="dxa"/>
            <w:noWrap w:val="0"/>
            <w:vAlign w:val="center"/>
          </w:tcPr>
          <w:p w14:paraId="451B5DF7">
            <w:pPr>
              <w:widowControl w:val="0"/>
              <w:kinsoku/>
              <w:topLinePunct/>
              <w:autoSpaceDE/>
              <w:autoSpaceDN/>
              <w:spacing w:line="360" w:lineRule="auto"/>
              <w:jc w:val="center"/>
              <w:rPr>
                <w:rFonts w:hint="eastAsia" w:ascii="宋体" w:hAnsi="宋体" w:eastAsia="宋体" w:cs="宋体"/>
                <w:b/>
                <w:bCs/>
                <w:sz w:val="24"/>
                <w:szCs w:val="24"/>
                <w:lang w:eastAsia="zh-CN"/>
              </w:rPr>
            </w:pPr>
            <w:r>
              <w:rPr>
                <w:rFonts w:hint="eastAsia" w:ascii="宋体" w:hAnsi="宋体" w:eastAsia="宋体" w:cs="宋体"/>
                <w:b/>
                <w:bCs/>
                <w:sz w:val="24"/>
                <w:szCs w:val="24"/>
                <w:lang w:eastAsia="zh-CN"/>
              </w:rPr>
              <w:t>要求</w:t>
            </w:r>
          </w:p>
        </w:tc>
      </w:tr>
      <w:tr w14:paraId="7B22B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19" w:hRule="atLeast"/>
          <w:jc w:val="center"/>
        </w:trPr>
        <w:tc>
          <w:tcPr>
            <w:tcW w:w="613" w:type="dxa"/>
            <w:noWrap w:val="0"/>
            <w:vAlign w:val="center"/>
          </w:tcPr>
          <w:p w14:paraId="3BF21ED3">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1</w:t>
            </w:r>
          </w:p>
        </w:tc>
        <w:tc>
          <w:tcPr>
            <w:tcW w:w="1346" w:type="dxa"/>
            <w:noWrap w:val="0"/>
            <w:vAlign w:val="center"/>
          </w:tcPr>
          <w:p w14:paraId="02F3893E">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环境管理</w:t>
            </w:r>
          </w:p>
        </w:tc>
        <w:tc>
          <w:tcPr>
            <w:tcW w:w="1324" w:type="dxa"/>
            <w:noWrap w:val="0"/>
            <w:vAlign w:val="center"/>
          </w:tcPr>
          <w:p w14:paraId="146B118F">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全面负责</w:t>
            </w:r>
          </w:p>
        </w:tc>
        <w:tc>
          <w:tcPr>
            <w:tcW w:w="5899" w:type="dxa"/>
            <w:noWrap w:val="0"/>
            <w:vAlign w:val="center"/>
          </w:tcPr>
          <w:p w14:paraId="66DC449F">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做好鄱阳湖水文生态监测研究基地的环境管理工作。1.负责组建后勤保障服务团队；</w:t>
            </w:r>
          </w:p>
          <w:p w14:paraId="7FFBA015">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2.制定岗位责任制度、工作纪律与劳动考勤制度、绩效考核与奖罚制度、职工教育培训管理制度等系列制度；</w:t>
            </w:r>
          </w:p>
          <w:p w14:paraId="58274AC2">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3.组织服务团队，要求做好鄱阳湖水文生态监测研究基地后勤保障运行管理中的卫生清扫、垃圾清运、防蛇防虫等各项工作，要求至少配备3名管理人员、4名环境管理运维人员。</w:t>
            </w:r>
          </w:p>
        </w:tc>
      </w:tr>
      <w:tr w14:paraId="24D99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8" w:hRule="atLeast"/>
          <w:jc w:val="center"/>
        </w:trPr>
        <w:tc>
          <w:tcPr>
            <w:tcW w:w="613" w:type="dxa"/>
            <w:noWrap w:val="0"/>
            <w:vAlign w:val="center"/>
          </w:tcPr>
          <w:p w14:paraId="2CCEE3E0">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3</w:t>
            </w:r>
          </w:p>
        </w:tc>
        <w:tc>
          <w:tcPr>
            <w:tcW w:w="1346" w:type="dxa"/>
            <w:noWrap w:val="0"/>
            <w:vAlign w:val="center"/>
          </w:tcPr>
          <w:p w14:paraId="4816B8F0">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绿化养护</w:t>
            </w:r>
          </w:p>
        </w:tc>
        <w:tc>
          <w:tcPr>
            <w:tcW w:w="1324" w:type="dxa"/>
            <w:noWrap w:val="0"/>
            <w:vAlign w:val="center"/>
          </w:tcPr>
          <w:p w14:paraId="68D284BB">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棠荫岛、蛇山岛园林绿化养护</w:t>
            </w:r>
          </w:p>
        </w:tc>
        <w:tc>
          <w:tcPr>
            <w:tcW w:w="5899" w:type="dxa"/>
            <w:noWrap w:val="0"/>
            <w:vAlign w:val="center"/>
          </w:tcPr>
          <w:p w14:paraId="5EA8C6AB">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负责棠荫岛水文基地院内30000㎡、蛇山岛40000㎡的园林绿化养护。</w:t>
            </w:r>
          </w:p>
          <w:p w14:paraId="748BCA1B">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1.绿化出现植株死亡时须及时补栽；</w:t>
            </w:r>
          </w:p>
          <w:p w14:paraId="11A30413">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2.每个月至少对园林绿化全方位养护1次，包括修剪、除草、杀虫等；</w:t>
            </w:r>
          </w:p>
          <w:p w14:paraId="3BF95566">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3.平常及时清理杂草，保持</w:t>
            </w:r>
            <w:r>
              <w:rPr>
                <w:rFonts w:hint="eastAsia" w:ascii="宋体" w:hAnsi="宋体" w:eastAsia="宋体" w:cs="宋体"/>
                <w:sz w:val="24"/>
                <w:szCs w:val="24"/>
                <w:lang w:eastAsia="zh-CN" w:bidi="ar"/>
              </w:rPr>
              <w:t>园林绿化</w:t>
            </w:r>
            <w:r>
              <w:rPr>
                <w:rFonts w:hint="eastAsia" w:ascii="宋体" w:hAnsi="宋体" w:eastAsia="宋体" w:cs="宋体"/>
                <w:sz w:val="24"/>
                <w:szCs w:val="24"/>
                <w:lang w:eastAsia="zh-CN"/>
              </w:rPr>
              <w:t>整洁美观，要求至少配备2名绿化养护人员。</w:t>
            </w:r>
          </w:p>
        </w:tc>
      </w:tr>
      <w:tr w14:paraId="12A3D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7" w:hRule="atLeast"/>
          <w:jc w:val="center"/>
        </w:trPr>
        <w:tc>
          <w:tcPr>
            <w:tcW w:w="613" w:type="dxa"/>
            <w:noWrap w:val="0"/>
            <w:vAlign w:val="center"/>
          </w:tcPr>
          <w:p w14:paraId="55735FDF">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4</w:t>
            </w:r>
          </w:p>
        </w:tc>
        <w:tc>
          <w:tcPr>
            <w:tcW w:w="1346" w:type="dxa"/>
            <w:noWrap w:val="0"/>
            <w:vAlign w:val="center"/>
          </w:tcPr>
          <w:p w14:paraId="7537C7BB">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安保</w:t>
            </w:r>
          </w:p>
        </w:tc>
        <w:tc>
          <w:tcPr>
            <w:tcW w:w="1324" w:type="dxa"/>
            <w:noWrap w:val="0"/>
            <w:vAlign w:val="center"/>
          </w:tcPr>
          <w:p w14:paraId="32E1D31F">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基地安保</w:t>
            </w:r>
          </w:p>
        </w:tc>
        <w:tc>
          <w:tcPr>
            <w:tcW w:w="5899" w:type="dxa"/>
            <w:noWrap w:val="0"/>
            <w:vAlign w:val="center"/>
          </w:tcPr>
          <w:p w14:paraId="60333B16">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负责基地安保工作。</w:t>
            </w:r>
          </w:p>
          <w:p w14:paraId="51D4BE7F">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1.每天至少巡逻2次（早上6:00、晚上21:00），巡逻内容包括基地用电安全、施工安全、防火、消防等；</w:t>
            </w:r>
          </w:p>
          <w:p w14:paraId="5D432842">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2.负责外来人员的登记，确保基地安全；</w:t>
            </w:r>
          </w:p>
          <w:p w14:paraId="1DBE6C03">
            <w:pPr>
              <w:widowControl w:val="0"/>
              <w:kinsoku/>
              <w:topLinePunct/>
              <w:autoSpaceDE/>
              <w:autoSpaceDN/>
              <w:spacing w:line="360" w:lineRule="auto"/>
              <w:rPr>
                <w:rFonts w:hint="eastAsia" w:ascii="宋体" w:hAnsi="宋体" w:eastAsia="宋体" w:cs="宋体"/>
                <w:sz w:val="24"/>
                <w:szCs w:val="24"/>
                <w:lang w:eastAsia="zh-CN"/>
              </w:rPr>
            </w:pPr>
            <w:r>
              <w:rPr>
                <w:rFonts w:ascii="宋体" w:hAnsi="宋体" w:eastAsia="宋体" w:cs="宋体"/>
                <w:sz w:val="24"/>
                <w:szCs w:val="24"/>
                <w:lang w:eastAsia="zh-CN"/>
              </w:rPr>
              <w:t>3</w:t>
            </w:r>
            <w:r>
              <w:rPr>
                <w:rFonts w:hint="eastAsia" w:ascii="宋体" w:hAnsi="宋体" w:eastAsia="宋体" w:cs="宋体"/>
                <w:sz w:val="24"/>
                <w:szCs w:val="24"/>
                <w:lang w:eastAsia="zh-CN"/>
              </w:rPr>
              <w:t>.需制定针对基地蛇虫鼠蚁的安全保护措施。要求至少配备3名安保人员。</w:t>
            </w:r>
          </w:p>
        </w:tc>
      </w:tr>
      <w:tr w14:paraId="16727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0" w:hRule="atLeast"/>
          <w:jc w:val="center"/>
        </w:trPr>
        <w:tc>
          <w:tcPr>
            <w:tcW w:w="613" w:type="dxa"/>
            <w:noWrap w:val="0"/>
            <w:vAlign w:val="center"/>
          </w:tcPr>
          <w:p w14:paraId="129558F6">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5</w:t>
            </w:r>
          </w:p>
        </w:tc>
        <w:tc>
          <w:tcPr>
            <w:tcW w:w="1346" w:type="dxa"/>
            <w:noWrap w:val="0"/>
            <w:vAlign w:val="center"/>
          </w:tcPr>
          <w:p w14:paraId="595C1403">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水电管理</w:t>
            </w:r>
          </w:p>
        </w:tc>
        <w:tc>
          <w:tcPr>
            <w:tcW w:w="1324" w:type="dxa"/>
            <w:noWrap w:val="0"/>
            <w:vAlign w:val="center"/>
          </w:tcPr>
          <w:p w14:paraId="1AB0ABD9">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基地水电维护</w:t>
            </w:r>
          </w:p>
        </w:tc>
        <w:tc>
          <w:tcPr>
            <w:tcW w:w="5899" w:type="dxa"/>
            <w:noWrap w:val="0"/>
            <w:vAlign w:val="center"/>
          </w:tcPr>
          <w:p w14:paraId="3D62FF7D">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负责水文基地供水供电系统的维护。</w:t>
            </w:r>
          </w:p>
          <w:p w14:paraId="66762489">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1.负责水文基地供电供水系统、发电机的养护，及时维修排除小故障；</w:t>
            </w:r>
          </w:p>
          <w:p w14:paraId="420AE58C">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2.负责发电、抽水、路灯管理；</w:t>
            </w:r>
          </w:p>
          <w:p w14:paraId="16D7DCD8">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3.负责联系供水供电系统、空调系统、发电机系统等设备的保养与维修相关事项；</w:t>
            </w:r>
          </w:p>
          <w:p w14:paraId="628BD346">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4.确保基地供电、供水正常，保障好鄱阳湖水文生态监测研究基地，特别是“三库一室一平台”的用水用电。要求至少配备1名水电工。</w:t>
            </w:r>
          </w:p>
        </w:tc>
      </w:tr>
      <w:tr w14:paraId="1017D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13" w:type="dxa"/>
            <w:noWrap w:val="0"/>
            <w:vAlign w:val="center"/>
          </w:tcPr>
          <w:p w14:paraId="0EB2C0C1">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6</w:t>
            </w:r>
          </w:p>
        </w:tc>
        <w:tc>
          <w:tcPr>
            <w:tcW w:w="1346" w:type="dxa"/>
            <w:noWrap w:val="0"/>
            <w:vAlign w:val="center"/>
          </w:tcPr>
          <w:p w14:paraId="6B729E34">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车辆船舶管理</w:t>
            </w:r>
          </w:p>
        </w:tc>
        <w:tc>
          <w:tcPr>
            <w:tcW w:w="1324" w:type="dxa"/>
            <w:noWrap w:val="0"/>
            <w:vAlign w:val="center"/>
          </w:tcPr>
          <w:p w14:paraId="2A32FD40">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车辆、快艇驾驶与管理</w:t>
            </w:r>
          </w:p>
        </w:tc>
        <w:tc>
          <w:tcPr>
            <w:tcW w:w="5899" w:type="dxa"/>
            <w:noWrap w:val="0"/>
            <w:vAlign w:val="center"/>
          </w:tcPr>
          <w:p w14:paraId="4AA6F96A">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负责水文07号、08号快艇以及基地越野车、观光电瓶车的管理、驾驶以及保障车辆船舶安全生产。</w:t>
            </w:r>
          </w:p>
          <w:p w14:paraId="2ED529A8">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1.负责快艇的管理；</w:t>
            </w:r>
          </w:p>
          <w:p w14:paraId="0602D49E">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2.负责快艇内外的卫生，保持快艇清洁；</w:t>
            </w:r>
          </w:p>
          <w:p w14:paraId="6CF9CD92">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3.负责快艇、发电机的燃油采购；</w:t>
            </w:r>
          </w:p>
          <w:p w14:paraId="1DE078CB">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4.负责越野车、电瓶车驾驶及管理；</w:t>
            </w:r>
          </w:p>
          <w:p w14:paraId="76D6ACD7">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5.确保行船、行车安全；</w:t>
            </w:r>
          </w:p>
          <w:p w14:paraId="43447A13">
            <w:pPr>
              <w:widowControl w:val="0"/>
              <w:kinsoku/>
              <w:topLinePunct/>
              <w:autoSpaceDE/>
              <w:autoSpaceDN/>
              <w:spacing w:line="360" w:lineRule="auto"/>
              <w:rPr>
                <w:rFonts w:ascii="宋体" w:hAnsi="宋体" w:eastAsia="宋体" w:cs="宋体"/>
                <w:sz w:val="24"/>
                <w:szCs w:val="24"/>
                <w:lang w:eastAsia="zh-CN"/>
              </w:rPr>
            </w:pPr>
            <w:r>
              <w:rPr>
                <w:rFonts w:hint="eastAsia" w:ascii="宋体" w:hAnsi="宋体" w:eastAsia="宋体" w:cs="宋体"/>
                <w:sz w:val="24"/>
                <w:szCs w:val="24"/>
                <w:lang w:eastAsia="zh-CN"/>
              </w:rPr>
              <w:t>6.快艇要为鄱阳湖区域35处水文站、112处水位站、480处雨量站、45处地下水监测站、71处墒情站、56处水质监测站、100处水生态监测站点的设备设施养护维修人员以及监测科研项目的采样提供及时、安全的水上交通保障；</w:t>
            </w:r>
          </w:p>
          <w:p w14:paraId="3648AF67">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7.负责联系快艇、车辆的保养维修等相关事项。要求至少配备1名车辆管理及驾驶人员，2名快艇管理及驾驶人员。</w:t>
            </w:r>
          </w:p>
          <w:p w14:paraId="61214F30">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8.中标人在履约期间不得擅自更换车辆、快艇管理及驾驶人员；如需更换，须经采购人书面同意。未经采购人书面同意，中标人擅自更换，采购人有权取消其中标资格。</w:t>
            </w:r>
          </w:p>
        </w:tc>
      </w:tr>
      <w:tr w14:paraId="29A97F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5" w:hRule="atLeast"/>
          <w:jc w:val="center"/>
        </w:trPr>
        <w:tc>
          <w:tcPr>
            <w:tcW w:w="613" w:type="dxa"/>
            <w:noWrap w:val="0"/>
            <w:vAlign w:val="center"/>
          </w:tcPr>
          <w:p w14:paraId="14F72716">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7</w:t>
            </w:r>
          </w:p>
        </w:tc>
        <w:tc>
          <w:tcPr>
            <w:tcW w:w="1346" w:type="dxa"/>
            <w:noWrap w:val="0"/>
            <w:vAlign w:val="center"/>
          </w:tcPr>
          <w:p w14:paraId="05CEDBB9">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运维人员后勤保障</w:t>
            </w:r>
          </w:p>
        </w:tc>
        <w:tc>
          <w:tcPr>
            <w:tcW w:w="1324" w:type="dxa"/>
            <w:noWrap w:val="0"/>
            <w:vAlign w:val="center"/>
          </w:tcPr>
          <w:p w14:paraId="08578E00">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运维人员住宿、饮食</w:t>
            </w:r>
          </w:p>
        </w:tc>
        <w:tc>
          <w:tcPr>
            <w:tcW w:w="5899" w:type="dxa"/>
            <w:noWrap w:val="0"/>
            <w:vAlign w:val="center"/>
          </w:tcPr>
          <w:p w14:paraId="27EBB491">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本项目涉及的所有人员需在履约期间提供驻场服务。驻场人员的工作时间须严格遵从采购人的日常作息制度，实行与采购人办公时间同步的工作制。不得擅自离岗或迟到早退。若有特殊运维保障需求或采购人临时调整工作时间，驻场人员须无条件配合执行。</w:t>
            </w:r>
          </w:p>
        </w:tc>
      </w:tr>
      <w:tr w14:paraId="3A072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613" w:type="dxa"/>
            <w:noWrap w:val="0"/>
            <w:vAlign w:val="center"/>
          </w:tcPr>
          <w:p w14:paraId="08E417F1">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8</w:t>
            </w:r>
          </w:p>
        </w:tc>
        <w:tc>
          <w:tcPr>
            <w:tcW w:w="1346" w:type="dxa"/>
            <w:noWrap w:val="0"/>
            <w:vAlign w:val="center"/>
          </w:tcPr>
          <w:p w14:paraId="5AE7C970">
            <w:pPr>
              <w:widowControl w:val="0"/>
              <w:kinsoku/>
              <w:topLinePunct/>
              <w:autoSpaceDE/>
              <w:autoSpaceDN/>
              <w:spacing w:line="360" w:lineRule="auto"/>
              <w:jc w:val="center"/>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bidi="ar"/>
              </w:rPr>
              <w:t>运维所需采购维修</w:t>
            </w:r>
          </w:p>
        </w:tc>
        <w:tc>
          <w:tcPr>
            <w:tcW w:w="1324" w:type="dxa"/>
            <w:noWrap w:val="0"/>
            <w:vAlign w:val="center"/>
          </w:tcPr>
          <w:p w14:paraId="3770C41C">
            <w:pPr>
              <w:widowControl w:val="0"/>
              <w:kinsoku/>
              <w:topLinePunct/>
              <w:autoSpaceDE/>
              <w:autoSpaceDN/>
              <w:spacing w:line="360" w:lineRule="auto"/>
              <w:jc w:val="center"/>
              <w:rPr>
                <w:rFonts w:hint="eastAsia" w:ascii="宋体" w:hAnsi="宋体" w:eastAsia="宋体" w:cs="宋体"/>
                <w:sz w:val="24"/>
                <w:szCs w:val="24"/>
                <w:lang w:eastAsia="zh-CN"/>
              </w:rPr>
            </w:pPr>
            <w:r>
              <w:rPr>
                <w:rFonts w:hint="eastAsia" w:ascii="宋体" w:hAnsi="宋体" w:eastAsia="宋体" w:cs="宋体"/>
                <w:sz w:val="24"/>
                <w:szCs w:val="24"/>
                <w:lang w:eastAsia="zh-CN"/>
              </w:rPr>
              <w:t>采购维修</w:t>
            </w:r>
          </w:p>
        </w:tc>
        <w:tc>
          <w:tcPr>
            <w:tcW w:w="5899" w:type="dxa"/>
            <w:noWrap w:val="0"/>
            <w:vAlign w:val="center"/>
          </w:tcPr>
          <w:p w14:paraId="268C24CD">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1.运维服务过程中所涉及的工具用品,如清扫、绿化工具,员工制服等,由中标方自行承担。</w:t>
            </w:r>
          </w:p>
          <w:p w14:paraId="478D95E5">
            <w:pPr>
              <w:widowControl w:val="0"/>
              <w:kinsoku/>
              <w:topLinePunct/>
              <w:autoSpaceDE/>
              <w:autoSpaceDN/>
              <w:spacing w:line="360" w:lineRule="auto"/>
              <w:rPr>
                <w:rFonts w:hint="eastAsia" w:ascii="宋体" w:hAnsi="宋体" w:eastAsia="宋体" w:cs="宋体"/>
                <w:sz w:val="24"/>
                <w:szCs w:val="24"/>
                <w:lang w:eastAsia="zh-CN"/>
              </w:rPr>
            </w:pPr>
            <w:r>
              <w:rPr>
                <w:rFonts w:hint="eastAsia" w:ascii="宋体" w:hAnsi="宋体" w:eastAsia="宋体" w:cs="宋体"/>
                <w:sz w:val="24"/>
                <w:szCs w:val="24"/>
                <w:lang w:eastAsia="zh-CN"/>
              </w:rPr>
              <w:t>2.水文基地部分基础设施可能会出现老化、损坏现象,运维人员需定期巡检,若发现有玻璃碎裂、门窗损坏、洗手池脱落、道路破损等情况的,需及时向采购方报告,经市场询价维修金额在2万元以内的,由中标方负责维修及承担维修费用,全年维修金额不超过25万元。</w:t>
            </w:r>
          </w:p>
        </w:tc>
      </w:tr>
    </w:tbl>
    <w:p w14:paraId="2E376935">
      <w:pPr>
        <w:pStyle w:val="4"/>
        <w:topLinePunct/>
        <w:snapToGrid w:val="0"/>
        <w:spacing w:line="360" w:lineRule="auto"/>
        <w:rPr>
          <w:rFonts w:hint="eastAsia" w:ascii="宋体" w:hAnsi="宋体"/>
        </w:rPr>
      </w:pPr>
      <w:r>
        <w:rPr>
          <w:rFonts w:hint="eastAsia" w:ascii="宋体" w:hAnsi="宋体"/>
          <w:b/>
          <w:bCs/>
        </w:rPr>
        <w:t>注：以上技术要求必须完全响应，否则视为无效投标。</w:t>
      </w:r>
    </w:p>
    <w:p w14:paraId="77832F3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2466D4E"/>
    <w:rsid w:val="72466D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2026-07-01T06:45:00Z</dcterms:created>
  <dc:creator>Administrator</dc:creator>
  <cp:lastModifiedBy>Administrator</cp:lastModifiedBy>
  <dcterms:modified xsi:type="dcterms:W3CDTF">2026-07-01T06:45:31Z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F4A0A221255040A79611E36E21ACB237_11</vt:lpwstr>
  </property>
  <property fmtid="{D5CDD505-2E9C-101B-9397-08002B2CF9AE}" pid="4" name="KSOTemplateDocerSaveRecord">
    <vt:lpwstr>eyJoZGlkIjoiZTg4MDllNzAzZWM5NThhNDQ5Mzk1ZDliMTk0ODdiNDgiLCJ1c2VySWQiOiIzODk5MzE2MTEifQ==</vt:lpwstr>
  </property>
</Properties>
</file>