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B92185">
      <w:pPr>
        <w:spacing w:before="97" w:line="219" w:lineRule="auto"/>
        <w:ind w:left="3821"/>
        <w:outlineLvl w:val="0"/>
        <w:rPr>
          <w:rFonts w:hint="eastAsia" w:ascii="宋体" w:hAnsi="宋体" w:eastAsia="宋体" w:cs="宋体"/>
          <w:sz w:val="30"/>
          <w:szCs w:val="30"/>
          <w:lang w:eastAsia="zh-CN"/>
        </w:rPr>
      </w:pPr>
      <w:r>
        <w:rPr>
          <w:rFonts w:ascii="宋体" w:hAnsi="宋体" w:eastAsia="宋体" w:cs="宋体"/>
          <w:b/>
          <w:bCs/>
          <w:spacing w:val="-5"/>
          <w:sz w:val="30"/>
          <w:szCs w:val="30"/>
          <w:lang w:eastAsia="zh-CN"/>
        </w:rPr>
        <w:t>采购需求</w:t>
      </w:r>
    </w:p>
    <w:p w14:paraId="2DA789DD">
      <w:pPr>
        <w:adjustRightInd/>
        <w:snapToGrid/>
        <w:spacing w:before="22" w:line="336" w:lineRule="auto"/>
        <w:ind w:left="18"/>
        <w:rPr>
          <w:rFonts w:hint="eastAsia" w:ascii="宋体" w:hAnsi="宋体" w:eastAsia="宋体" w:cs="宋体"/>
          <w:sz w:val="28"/>
          <w:szCs w:val="28"/>
          <w:lang w:eastAsia="zh-CN"/>
        </w:rPr>
      </w:pPr>
      <w:r>
        <w:rPr>
          <w:rFonts w:ascii="宋体" w:hAnsi="宋体" w:eastAsia="宋体" w:cs="宋体"/>
          <w:b/>
          <w:bCs/>
          <w:spacing w:val="-5"/>
          <w:sz w:val="28"/>
          <w:szCs w:val="28"/>
          <w:lang w:eastAsia="zh-CN"/>
        </w:rPr>
        <w:t>（一）服务需求</w:t>
      </w:r>
    </w:p>
    <w:p w14:paraId="22C7435B">
      <w:pPr>
        <w:adjustRightInd/>
        <w:snapToGrid/>
        <w:spacing w:before="78" w:line="336" w:lineRule="auto"/>
        <w:ind w:left="507"/>
        <w:outlineLvl w:val="0"/>
        <w:rPr>
          <w:rFonts w:hint="eastAsia" w:ascii="宋体" w:hAnsi="宋体" w:eastAsia="宋体" w:cs="宋体"/>
          <w:b/>
          <w:bCs/>
          <w:sz w:val="24"/>
          <w:szCs w:val="24"/>
          <w:lang w:eastAsia="zh-CN"/>
        </w:rPr>
      </w:pPr>
      <w:r>
        <w:rPr>
          <w:rFonts w:ascii="宋体" w:hAnsi="宋体" w:eastAsia="宋体" w:cs="宋体"/>
          <w:b/>
          <w:bCs/>
          <w:color w:val="0D0D0D"/>
          <w:spacing w:val="-5"/>
          <w:sz w:val="24"/>
          <w:szCs w:val="24"/>
          <w:lang w:eastAsia="zh-CN"/>
        </w:rPr>
        <w:t>1、服务项目概况</w:t>
      </w:r>
    </w:p>
    <w:p w14:paraId="1D198BC0">
      <w:pPr>
        <w:adjustRightInd/>
        <w:snapToGrid/>
        <w:spacing w:before="181" w:line="336" w:lineRule="auto"/>
        <w:ind w:left="11" w:firstLine="476" w:firstLineChars="200"/>
        <w:rPr>
          <w:rFonts w:hint="eastAsia" w:ascii="宋体" w:hAnsi="宋体" w:eastAsia="宋体" w:cs="宋体"/>
          <w:sz w:val="24"/>
          <w:szCs w:val="24"/>
          <w:lang w:eastAsia="zh-CN"/>
        </w:rPr>
      </w:pPr>
      <w:r>
        <w:rPr>
          <w:rFonts w:hint="eastAsia" w:ascii="宋体" w:hAnsi="宋体" w:eastAsia="宋体" w:cs="宋体"/>
          <w:color w:val="0D0D0D"/>
          <w:spacing w:val="-1"/>
          <w:sz w:val="24"/>
          <w:szCs w:val="24"/>
          <w:lang w:eastAsia="zh-CN"/>
        </w:rPr>
        <w:t>新干县城东片区城市排水防涝功能提升改造项目</w:t>
      </w:r>
      <w:r>
        <w:rPr>
          <w:rFonts w:ascii="宋体" w:hAnsi="宋体" w:eastAsia="宋体" w:cs="宋体"/>
          <w:color w:val="0D0D0D"/>
          <w:spacing w:val="-1"/>
          <w:sz w:val="24"/>
          <w:szCs w:val="24"/>
          <w:lang w:eastAsia="zh-CN"/>
        </w:rPr>
        <w:t>主要建设内容为</w:t>
      </w:r>
      <w:r>
        <w:rPr>
          <w:rFonts w:hint="eastAsia" w:ascii="宋体" w:hAnsi="宋体" w:eastAsia="宋体" w:cs="宋体"/>
          <w:color w:val="0D0D0D"/>
          <w:spacing w:val="-1"/>
          <w:sz w:val="24"/>
          <w:szCs w:val="24"/>
          <w:lang w:eastAsia="zh-CN"/>
        </w:rPr>
        <w:t>改造雨污水管网总长约27.3公里；同步实施道路破复、土方开挖、检查井建设等配套工程</w:t>
      </w:r>
      <w:r>
        <w:rPr>
          <w:rFonts w:ascii="宋体" w:hAnsi="宋体" w:eastAsia="宋体" w:cs="宋体"/>
          <w:color w:val="0D0D0D"/>
          <w:spacing w:val="-3"/>
          <w:sz w:val="24"/>
          <w:szCs w:val="24"/>
          <w:lang w:eastAsia="zh-CN"/>
        </w:rPr>
        <w:t>。</w:t>
      </w:r>
      <w:r>
        <w:rPr>
          <w:rFonts w:hint="eastAsia" w:ascii="宋体" w:hAnsi="宋体" w:eastAsia="宋体" w:cs="宋体"/>
          <w:color w:val="0D0D0D"/>
          <w:spacing w:val="-3"/>
          <w:sz w:val="24"/>
          <w:szCs w:val="24"/>
          <w:lang w:eastAsia="zh-CN"/>
        </w:rPr>
        <w:t>项目总投资约6826.00万元，建设地点为吉安市新干县城区前家路、新樾城、琴湘路、城东大道、康乐路、孙家路等地。建设工期为12个月。</w:t>
      </w:r>
    </w:p>
    <w:p w14:paraId="07736B65">
      <w:pPr>
        <w:adjustRightInd/>
        <w:snapToGrid/>
        <w:spacing w:before="181" w:line="336" w:lineRule="auto"/>
        <w:ind w:left="492"/>
        <w:outlineLvl w:val="0"/>
        <w:rPr>
          <w:rFonts w:hint="eastAsia" w:ascii="宋体" w:hAnsi="宋体" w:eastAsia="宋体" w:cs="宋体"/>
          <w:b/>
          <w:bCs/>
          <w:sz w:val="24"/>
          <w:szCs w:val="24"/>
          <w:lang w:eastAsia="zh-CN"/>
        </w:rPr>
      </w:pPr>
      <w:r>
        <w:rPr>
          <w:rFonts w:ascii="宋体" w:hAnsi="宋体" w:eastAsia="宋体" w:cs="宋体"/>
          <w:b/>
          <w:bCs/>
          <w:color w:val="0D0D0D"/>
          <w:spacing w:val="-6"/>
          <w:sz w:val="24"/>
          <w:szCs w:val="24"/>
          <w:lang w:eastAsia="zh-CN"/>
        </w:rPr>
        <w:t>2、服务范围</w:t>
      </w:r>
    </w:p>
    <w:p w14:paraId="22DB315F">
      <w:pPr>
        <w:keepNext w:val="0"/>
        <w:keepLines w:val="0"/>
        <w:pageBreakBefore w:val="0"/>
        <w:widowControl/>
        <w:kinsoku w:val="0"/>
        <w:wordWrap/>
        <w:overflowPunct/>
        <w:topLinePunct w:val="0"/>
        <w:autoSpaceDE w:val="0"/>
        <w:autoSpaceDN w:val="0"/>
        <w:bidi w:val="0"/>
        <w:adjustRightInd/>
        <w:snapToGrid/>
        <w:spacing w:before="181" w:line="336" w:lineRule="auto"/>
        <w:ind w:firstLine="480" w:firstLineChars="200"/>
        <w:textAlignment w:val="baseline"/>
        <w:outlineLvl w:val="0"/>
        <w:rPr>
          <w:rFonts w:hint="eastAsia" w:ascii="宋体" w:hAnsi="宋体" w:eastAsia="宋体" w:cs="宋体"/>
          <w:color w:val="0D0D0D"/>
          <w:sz w:val="24"/>
          <w:szCs w:val="24"/>
          <w:lang w:eastAsia="zh-CN"/>
        </w:rPr>
      </w:pPr>
      <w:r>
        <w:rPr>
          <w:rFonts w:hint="eastAsia" w:ascii="宋体" w:hAnsi="宋体" w:eastAsia="宋体" w:cs="宋体"/>
          <w:color w:val="0D0D0D"/>
          <w:sz w:val="24"/>
          <w:szCs w:val="24"/>
          <w:lang w:eastAsia="zh-CN"/>
        </w:rPr>
        <w:t>本次采购服务涵盖“初步设计、施工图设计（含施工图预算）、工程量清单编制、投标限价编制”全过程技术服务，具体内容及标准如下，所有服务成果需符合国家及行业现行规范标准。</w:t>
      </w:r>
    </w:p>
    <w:p w14:paraId="1CFFCAE0">
      <w:pPr>
        <w:pStyle w:val="2"/>
        <w:adjustRightInd/>
        <w:snapToGrid/>
        <w:spacing w:line="336" w:lineRule="auto"/>
        <w:ind w:firstLine="466" w:firstLineChars="200"/>
        <w:rPr>
          <w:rFonts w:hint="eastAsia" w:ascii="宋体" w:hAnsi="宋体" w:eastAsia="宋体" w:cs="宋体"/>
          <w:b/>
          <w:bCs/>
          <w:color w:val="0D0D0D"/>
          <w:spacing w:val="-4"/>
          <w:sz w:val="24"/>
          <w:szCs w:val="24"/>
          <w:lang w:eastAsia="zh-CN"/>
        </w:rPr>
      </w:pPr>
      <w:r>
        <w:rPr>
          <w:rFonts w:hint="eastAsia" w:ascii="宋体" w:hAnsi="宋体" w:eastAsia="宋体" w:cs="宋体"/>
          <w:b/>
          <w:bCs/>
          <w:color w:val="0D0D0D"/>
          <w:spacing w:val="-4"/>
          <w:sz w:val="24"/>
          <w:szCs w:val="24"/>
          <w:lang w:eastAsia="zh-CN"/>
        </w:rPr>
        <w:t>3、服务要求</w:t>
      </w:r>
    </w:p>
    <w:p w14:paraId="39EB62A1">
      <w:pPr>
        <w:pStyle w:val="2"/>
        <w:adjustRightInd/>
        <w:snapToGrid/>
        <w:spacing w:line="336" w:lineRule="auto"/>
        <w:ind w:firstLine="464" w:firstLineChars="200"/>
        <w:rPr>
          <w:rFonts w:hint="eastAsia" w:ascii="宋体" w:hAnsi="宋体" w:eastAsia="宋体" w:cs="宋体"/>
          <w:color w:val="0D0D0D"/>
          <w:spacing w:val="-4"/>
          <w:sz w:val="24"/>
          <w:szCs w:val="24"/>
          <w:lang w:eastAsia="zh-CN"/>
        </w:rPr>
      </w:pPr>
      <w:r>
        <w:rPr>
          <w:rFonts w:hint="eastAsia" w:ascii="宋体" w:hAnsi="宋体" w:eastAsia="宋体" w:cs="宋体"/>
          <w:color w:val="0D0D0D"/>
          <w:spacing w:val="-4"/>
          <w:sz w:val="24"/>
          <w:szCs w:val="24"/>
          <w:lang w:eastAsia="zh-CN"/>
        </w:rPr>
        <w:t>本次采购服务涵盖“初步设计、施工图设计（含施工图预算）、工程量清单编制、投标限价编制”全过程技术服务。具体事项如下：</w:t>
      </w:r>
    </w:p>
    <w:p w14:paraId="71EAA671">
      <w:pPr>
        <w:pStyle w:val="2"/>
        <w:adjustRightInd/>
        <w:snapToGrid/>
        <w:spacing w:line="336" w:lineRule="auto"/>
        <w:ind w:firstLine="466" w:firstLineChars="200"/>
        <w:rPr>
          <w:rFonts w:hint="eastAsia" w:ascii="宋体" w:hAnsi="宋体" w:eastAsia="宋体" w:cs="宋体"/>
          <w:color w:val="0D0D0D"/>
          <w:spacing w:val="-4"/>
          <w:sz w:val="24"/>
          <w:szCs w:val="24"/>
          <w:lang w:eastAsia="zh-CN"/>
        </w:rPr>
      </w:pPr>
      <w:r>
        <w:rPr>
          <w:rFonts w:hint="eastAsia" w:ascii="宋体" w:hAnsi="宋体" w:eastAsia="宋体" w:cs="宋体"/>
          <w:b/>
          <w:bCs/>
          <w:color w:val="0D0D0D"/>
          <w:spacing w:val="-4"/>
          <w:sz w:val="24"/>
          <w:szCs w:val="24"/>
          <w:lang w:eastAsia="zh-CN"/>
        </w:rPr>
        <w:t>（1）初步设计服务：</w:t>
      </w:r>
      <w:r>
        <w:rPr>
          <w:rFonts w:hint="eastAsia" w:ascii="宋体" w:hAnsi="宋体" w:eastAsia="宋体" w:cs="宋体"/>
          <w:color w:val="0D0D0D"/>
          <w:spacing w:val="-4"/>
          <w:sz w:val="24"/>
          <w:szCs w:val="24"/>
          <w:lang w:eastAsia="zh-CN"/>
        </w:rPr>
        <w:t>依据批复的可研报告，开展管线系统初步设计、配套工程初步设计、相关专项初步设计及投资概算编制，深度满足《建筑工程设计文件编制深度规定》（2016年版）及指导施工图设计要求，并协助通过住建部门审查。</w:t>
      </w:r>
    </w:p>
    <w:p w14:paraId="2D8A5335">
      <w:pPr>
        <w:pStyle w:val="2"/>
        <w:adjustRightInd/>
        <w:snapToGrid/>
        <w:spacing w:line="336" w:lineRule="auto"/>
        <w:ind w:firstLine="466" w:firstLineChars="200"/>
        <w:rPr>
          <w:rFonts w:hint="eastAsia" w:ascii="宋体" w:hAnsi="宋体" w:eastAsia="宋体" w:cs="宋体"/>
          <w:color w:val="auto"/>
          <w:spacing w:val="-4"/>
          <w:sz w:val="24"/>
          <w:szCs w:val="24"/>
          <w:highlight w:val="none"/>
          <w:lang w:eastAsia="zh-CN"/>
        </w:rPr>
      </w:pPr>
      <w:r>
        <w:rPr>
          <w:rFonts w:hint="eastAsia" w:ascii="宋体" w:hAnsi="宋体" w:eastAsia="宋体" w:cs="宋体"/>
          <w:b/>
          <w:bCs/>
          <w:color w:val="0D0D0D"/>
          <w:spacing w:val="-4"/>
          <w:sz w:val="24"/>
          <w:szCs w:val="24"/>
          <w:lang w:eastAsia="zh-CN"/>
        </w:rPr>
        <w:t>（2）施工图设计（含施工图预算）服务：</w:t>
      </w:r>
      <w:r>
        <w:rPr>
          <w:rFonts w:hint="eastAsia" w:ascii="宋体" w:hAnsi="宋体" w:eastAsia="宋体" w:cs="宋体"/>
          <w:color w:val="0D0D0D"/>
          <w:spacing w:val="-4"/>
          <w:sz w:val="24"/>
          <w:szCs w:val="24"/>
          <w:lang w:eastAsia="zh-CN"/>
        </w:rPr>
        <w:t>深化管线详细设计、配套设施设计，配合图纸审查修改，</w:t>
      </w:r>
      <w:r>
        <w:rPr>
          <w:rFonts w:hint="eastAsia" w:ascii="宋体" w:hAnsi="宋体" w:eastAsia="宋体" w:cs="宋体"/>
          <w:color w:val="auto"/>
          <w:spacing w:val="-4"/>
          <w:sz w:val="24"/>
          <w:szCs w:val="24"/>
          <w:highlight w:val="none"/>
          <w:lang w:eastAsia="zh-CN"/>
        </w:rPr>
        <w:t>依据《建设工程工程量清单计价标准》GB/T50500-2024等相关规范编制施工图预算，确保图纸无错漏碰缺、预算数据准确。</w:t>
      </w:r>
    </w:p>
    <w:p w14:paraId="37F8C611">
      <w:pPr>
        <w:pStyle w:val="2"/>
        <w:adjustRightInd/>
        <w:snapToGrid/>
        <w:spacing w:line="336" w:lineRule="auto"/>
        <w:ind w:firstLine="466" w:firstLineChars="200"/>
        <w:rPr>
          <w:rFonts w:hint="eastAsia" w:ascii="宋体" w:hAnsi="宋体" w:eastAsia="宋体" w:cs="宋体"/>
          <w:color w:val="0D0D0D"/>
          <w:spacing w:val="-4"/>
          <w:sz w:val="24"/>
          <w:szCs w:val="24"/>
          <w:lang w:eastAsia="zh-CN"/>
        </w:rPr>
      </w:pPr>
      <w:r>
        <w:rPr>
          <w:rFonts w:hint="eastAsia" w:ascii="宋体" w:hAnsi="宋体" w:eastAsia="宋体" w:cs="宋体"/>
          <w:b/>
          <w:bCs/>
          <w:color w:val="auto"/>
          <w:spacing w:val="-4"/>
          <w:sz w:val="24"/>
          <w:szCs w:val="24"/>
          <w:highlight w:val="none"/>
          <w:lang w:eastAsia="zh-CN"/>
        </w:rPr>
        <w:t>（3）工程量清单及</w:t>
      </w:r>
      <w:r>
        <w:rPr>
          <w:rFonts w:hint="eastAsia" w:ascii="宋体" w:hAnsi="宋体" w:eastAsia="宋体" w:cs="宋体"/>
          <w:b/>
          <w:bCs/>
          <w:color w:val="0D0D0D"/>
          <w:spacing w:val="-4"/>
          <w:sz w:val="24"/>
          <w:szCs w:val="24"/>
          <w:lang w:eastAsia="zh-CN"/>
        </w:rPr>
        <w:t>投标限价编制服务</w:t>
      </w:r>
      <w:r>
        <w:rPr>
          <w:rFonts w:hint="eastAsia" w:ascii="宋体" w:hAnsi="宋体" w:eastAsia="宋体" w:cs="宋体"/>
          <w:b/>
          <w:bCs/>
          <w:color w:val="auto"/>
          <w:spacing w:val="-4"/>
          <w:sz w:val="24"/>
          <w:szCs w:val="24"/>
          <w:highlight w:val="none"/>
          <w:lang w:eastAsia="zh-CN"/>
        </w:rPr>
        <w:t>：</w:t>
      </w:r>
      <w:r>
        <w:rPr>
          <w:rFonts w:hint="eastAsia" w:ascii="宋体" w:hAnsi="宋体" w:eastAsia="宋体" w:cs="宋体"/>
          <w:color w:val="auto"/>
          <w:spacing w:val="-4"/>
          <w:sz w:val="24"/>
          <w:szCs w:val="24"/>
          <w:highlight w:val="none"/>
          <w:lang w:eastAsia="zh-CN"/>
        </w:rPr>
        <w:t>依据审查通过的施工图及《建设工程工程量清单计价标准》GB/T50500-2024等计价规范，编制分部分</w:t>
      </w:r>
      <w:r>
        <w:rPr>
          <w:rFonts w:hint="eastAsia" w:ascii="宋体" w:hAnsi="宋体" w:eastAsia="宋体" w:cs="宋体"/>
          <w:color w:val="0D0D0D"/>
          <w:spacing w:val="-4"/>
          <w:sz w:val="24"/>
          <w:szCs w:val="24"/>
          <w:lang w:eastAsia="zh-CN"/>
        </w:rPr>
        <w:t>项工程量清单、措施项目清单、其他项目清单及清单说明，计算分部分项工程费、措施项目费、其他项目费、规费及税金形成总限价并协助通过财政部门或第三方机构审核。</w:t>
      </w:r>
    </w:p>
    <w:p w14:paraId="43E5EB94">
      <w:pPr>
        <w:adjustRightInd/>
        <w:snapToGrid/>
        <w:spacing w:before="78" w:line="336" w:lineRule="auto"/>
        <w:ind w:left="10" w:right="143" w:hanging="1"/>
        <w:rPr>
          <w:rFonts w:hint="eastAsia" w:ascii="宋体" w:hAnsi="宋体" w:eastAsia="宋体" w:cs="宋体"/>
          <w:b/>
          <w:bCs/>
          <w:spacing w:val="-2"/>
          <w:sz w:val="24"/>
          <w:szCs w:val="24"/>
          <w:lang w:eastAsia="zh-CN"/>
        </w:rPr>
      </w:pPr>
      <w:r>
        <w:rPr>
          <w:rFonts w:ascii="宋体" w:hAnsi="宋体" w:eastAsia="宋体" w:cs="宋体"/>
          <w:b/>
          <w:bCs/>
          <w:spacing w:val="-2"/>
          <w:sz w:val="24"/>
          <w:szCs w:val="24"/>
          <w:lang w:eastAsia="zh-CN"/>
        </w:rPr>
        <w:t>注：①本项目不组织集中现场勘察，各潜在供应商如认为有需要，可自行勘察现场，采购单位不作任何接待。</w:t>
      </w:r>
    </w:p>
    <w:p w14:paraId="7432F974">
      <w:pPr>
        <w:adjustRightInd/>
        <w:snapToGrid/>
        <w:spacing w:before="78" w:line="336" w:lineRule="auto"/>
        <w:ind w:left="10" w:right="143" w:hanging="1"/>
        <w:rPr>
          <w:rFonts w:hint="eastAsia" w:ascii="宋体" w:hAnsi="宋体" w:eastAsia="宋体" w:cs="宋体"/>
          <w:b/>
          <w:bCs/>
          <w:spacing w:val="-2"/>
          <w:sz w:val="24"/>
          <w:szCs w:val="24"/>
          <w:lang w:eastAsia="zh-CN"/>
        </w:rPr>
      </w:pPr>
      <w:r>
        <w:rPr>
          <w:rFonts w:ascii="宋体" w:hAnsi="宋体" w:eastAsia="宋体" w:cs="宋体"/>
          <w:b/>
          <w:bCs/>
          <w:spacing w:val="-2"/>
          <w:sz w:val="24"/>
          <w:szCs w:val="24"/>
          <w:lang w:eastAsia="zh-CN"/>
        </w:rPr>
        <w:t>②以上服务需求必须完全响应，任意一项不满足投标无效。</w:t>
      </w:r>
    </w:p>
    <w:p w14:paraId="22DC15CA">
      <w:pPr>
        <w:spacing w:line="217" w:lineRule="auto"/>
        <w:rPr>
          <w:rFonts w:hint="eastAsia" w:ascii="宋体" w:hAnsi="宋体" w:eastAsia="宋体" w:cs="宋体"/>
          <w:sz w:val="24"/>
          <w:szCs w:val="24"/>
          <w:lang w:eastAsia="zh-CN"/>
        </w:rPr>
        <w:sectPr>
          <w:pgSz w:w="11906" w:h="16840"/>
          <w:pgMar w:top="1134" w:right="1080" w:bottom="1134" w:left="1080" w:header="0" w:footer="973" w:gutter="0"/>
          <w:cols w:space="0" w:num="1"/>
        </w:sectPr>
      </w:pPr>
    </w:p>
    <w:p w14:paraId="42900CC4">
      <w:pPr>
        <w:adjustRightInd/>
        <w:snapToGrid/>
        <w:spacing w:line="336" w:lineRule="auto"/>
        <w:rPr>
          <w:rFonts w:hint="eastAsia" w:ascii="宋体" w:hAnsi="宋体" w:eastAsia="宋体" w:cs="宋体"/>
          <w:sz w:val="28"/>
          <w:szCs w:val="28"/>
          <w:lang w:eastAsia="zh-CN"/>
        </w:rPr>
      </w:pPr>
      <w:r>
        <w:rPr>
          <w:rFonts w:ascii="宋体" w:hAnsi="宋体" w:eastAsia="宋体" w:cs="宋体"/>
          <w:b/>
          <w:bCs/>
          <w:spacing w:val="-10"/>
          <w:sz w:val="28"/>
          <w:szCs w:val="28"/>
          <w:lang w:eastAsia="zh-CN"/>
        </w:rPr>
        <w:t>（二）商务要求</w:t>
      </w:r>
    </w:p>
    <w:p w14:paraId="27699140">
      <w:pPr>
        <w:adjustRightInd/>
        <w:snapToGrid/>
        <w:spacing w:line="336" w:lineRule="auto"/>
        <w:ind w:firstLine="466" w:firstLineChars="200"/>
        <w:rPr>
          <w:rFonts w:hint="eastAsia" w:ascii="宋体" w:hAnsi="宋体" w:eastAsia="宋体" w:cs="宋体"/>
          <w:sz w:val="24"/>
          <w:szCs w:val="24"/>
          <w:lang w:eastAsia="zh-CN"/>
        </w:rPr>
      </w:pPr>
      <w:r>
        <w:rPr>
          <w:rFonts w:ascii="宋体" w:hAnsi="宋体" w:eastAsia="宋体" w:cs="宋体"/>
          <w:b/>
          <w:bCs/>
          <w:spacing w:val="-4"/>
          <w:sz w:val="24"/>
          <w:szCs w:val="24"/>
          <w:lang w:eastAsia="zh-CN"/>
        </w:rPr>
        <w:t>1、服务地点：</w:t>
      </w:r>
      <w:r>
        <w:rPr>
          <w:rFonts w:ascii="宋体" w:hAnsi="宋体" w:eastAsia="宋体" w:cs="宋体"/>
          <w:spacing w:val="-4"/>
          <w:sz w:val="24"/>
          <w:szCs w:val="24"/>
          <w:lang w:eastAsia="zh-CN"/>
        </w:rPr>
        <w:t>采购人指定地点。</w:t>
      </w:r>
    </w:p>
    <w:p w14:paraId="469146CF">
      <w:pPr>
        <w:adjustRightInd/>
        <w:snapToGrid/>
        <w:spacing w:line="336" w:lineRule="auto"/>
        <w:ind w:firstLine="474" w:firstLineChars="200"/>
        <w:rPr>
          <w:rFonts w:hint="eastAsia" w:ascii="宋体" w:hAnsi="宋体" w:eastAsia="宋体" w:cs="宋体"/>
          <w:sz w:val="24"/>
          <w:szCs w:val="24"/>
          <w:lang w:eastAsia="zh-CN"/>
        </w:rPr>
      </w:pPr>
      <w:r>
        <w:rPr>
          <w:rFonts w:ascii="宋体" w:hAnsi="宋体" w:eastAsia="宋体" w:cs="宋体"/>
          <w:b/>
          <w:bCs/>
          <w:spacing w:val="-2"/>
          <w:sz w:val="24"/>
          <w:szCs w:val="24"/>
          <w:lang w:eastAsia="zh-CN"/>
        </w:rPr>
        <w:t>2、服务期限：</w:t>
      </w:r>
      <w:r>
        <w:rPr>
          <w:rFonts w:ascii="宋体" w:hAnsi="宋体" w:eastAsia="宋体" w:cs="宋体"/>
          <w:spacing w:val="-2"/>
          <w:sz w:val="24"/>
          <w:szCs w:val="24"/>
          <w:lang w:eastAsia="zh-CN"/>
        </w:rPr>
        <w:t>合同签订</w:t>
      </w:r>
      <w:r>
        <w:rPr>
          <w:rFonts w:hint="eastAsia" w:ascii="宋体" w:hAnsi="宋体" w:eastAsia="宋体" w:cs="宋体"/>
          <w:spacing w:val="-2"/>
          <w:sz w:val="24"/>
          <w:szCs w:val="24"/>
          <w:lang w:eastAsia="zh-CN"/>
        </w:rPr>
        <w:t>之日起</w:t>
      </w:r>
      <w:r>
        <w:rPr>
          <w:rFonts w:hint="eastAsia" w:ascii="宋体" w:hAnsi="宋体" w:eastAsia="宋体" w:cs="宋体"/>
          <w:spacing w:val="-2"/>
          <w:sz w:val="24"/>
          <w:szCs w:val="24"/>
          <w:lang w:val="en-US" w:eastAsia="zh-CN"/>
        </w:rPr>
        <w:t>60个日历天</w:t>
      </w:r>
      <w:r>
        <w:rPr>
          <w:rFonts w:ascii="宋体" w:hAnsi="宋体" w:eastAsia="宋体" w:cs="宋体"/>
          <w:spacing w:val="-2"/>
          <w:sz w:val="24"/>
          <w:szCs w:val="24"/>
          <w:lang w:eastAsia="zh-CN"/>
        </w:rPr>
        <w:t>。</w:t>
      </w:r>
    </w:p>
    <w:p w14:paraId="545FD77D">
      <w:pPr>
        <w:adjustRightInd/>
        <w:snapToGrid/>
        <w:spacing w:line="336" w:lineRule="auto"/>
        <w:ind w:firstLine="474" w:firstLineChars="200"/>
        <w:rPr>
          <w:rFonts w:hint="eastAsia" w:ascii="宋体" w:hAnsi="宋体" w:eastAsia="宋体" w:cs="宋体"/>
          <w:b/>
          <w:bCs/>
          <w:spacing w:val="-2"/>
          <w:sz w:val="24"/>
          <w:szCs w:val="24"/>
          <w:lang w:eastAsia="zh-CN"/>
        </w:rPr>
      </w:pPr>
      <w:r>
        <w:rPr>
          <w:rFonts w:ascii="宋体" w:hAnsi="宋体" w:eastAsia="宋体" w:cs="宋体"/>
          <w:b/>
          <w:bCs/>
          <w:spacing w:val="-2"/>
          <w:sz w:val="24"/>
          <w:szCs w:val="24"/>
          <w:lang w:eastAsia="zh-CN"/>
        </w:rPr>
        <w:t>3、付款方式：</w:t>
      </w:r>
    </w:p>
    <w:p w14:paraId="0B2E1CFF">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（1）初步设计通过审查后15个工作日内，支付至合同金额的40%；</w:t>
      </w:r>
    </w:p>
    <w:p w14:paraId="67BA5E9D">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（2）施工图取得审查合格书后15个工作日内，支付至合同金额的90%；</w:t>
      </w:r>
    </w:p>
    <w:p w14:paraId="25C2C5F1">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（3）工程量清单及投标限价通过财政审核备案后15个工作日内，支付至合同金额的95%；</w:t>
      </w:r>
    </w:p>
    <w:p w14:paraId="5A4BBA1B">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（4）工程完成竣工验收后，支付剩余5%。</w:t>
      </w:r>
    </w:p>
    <w:p w14:paraId="75143956">
      <w:pPr>
        <w:adjustRightInd/>
        <w:snapToGrid/>
        <w:spacing w:line="336" w:lineRule="auto"/>
        <w:ind w:firstLine="474" w:firstLineChars="200"/>
        <w:rPr>
          <w:rFonts w:hint="eastAsia" w:ascii="宋体" w:hAnsi="宋体" w:eastAsia="宋体" w:cs="宋体"/>
          <w:strike w:val="0"/>
          <w:dstrike w:val="0"/>
          <w:color w:val="auto"/>
          <w:spacing w:val="-2"/>
          <w:sz w:val="24"/>
          <w:szCs w:val="24"/>
          <w:highlight w:val="none"/>
          <w:lang w:eastAsia="zh-CN"/>
        </w:rPr>
      </w:pPr>
      <w:r>
        <w:rPr>
          <w:rFonts w:hint="eastAsia" w:ascii="宋体" w:hAnsi="宋体" w:eastAsia="宋体" w:cs="宋体"/>
          <w:b/>
          <w:bCs/>
          <w:spacing w:val="-2"/>
          <w:sz w:val="24"/>
          <w:szCs w:val="24"/>
          <w:lang w:eastAsia="zh-CN"/>
        </w:rPr>
        <w:t>4、报</w:t>
      </w:r>
      <w:r>
        <w:rPr>
          <w:rFonts w:hint="eastAsia" w:ascii="宋体" w:hAnsi="宋体" w:eastAsia="宋体" w:cs="宋体"/>
          <w:b/>
          <w:bCs/>
          <w:strike w:val="0"/>
          <w:dstrike w:val="0"/>
          <w:color w:val="auto"/>
          <w:spacing w:val="-2"/>
          <w:sz w:val="24"/>
          <w:szCs w:val="24"/>
          <w:highlight w:val="none"/>
          <w:lang w:eastAsia="zh-CN"/>
        </w:rPr>
        <w:t>价方式：</w:t>
      </w:r>
      <w:r>
        <w:rPr>
          <w:rFonts w:hint="eastAsia" w:ascii="宋体" w:hAnsi="宋体" w:eastAsia="宋体" w:cs="宋体"/>
          <w:strike w:val="0"/>
          <w:dstrike w:val="0"/>
          <w:color w:val="auto"/>
          <w:spacing w:val="-2"/>
          <w:sz w:val="24"/>
          <w:szCs w:val="24"/>
          <w:highlight w:val="none"/>
          <w:lang w:eastAsia="zh-CN"/>
        </w:rPr>
        <w:t>报价包括投标人按本合同规定向采购人服务合同项目的一切费用，包括本项目相关服务所需的设备、人员、培训、评审、技术支持、税费等一切相关费用。</w:t>
      </w:r>
    </w:p>
    <w:p w14:paraId="14160A0A">
      <w:pPr>
        <w:adjustRightInd/>
        <w:snapToGrid/>
        <w:spacing w:line="360" w:lineRule="auto"/>
        <w:ind w:firstLine="474" w:firstLineChars="200"/>
        <w:rPr>
          <w:rFonts w:hint="eastAsia" w:ascii="宋体" w:hAnsi="宋体" w:eastAsia="宋体" w:cs="宋体"/>
          <w:b/>
          <w:bCs/>
          <w:spacing w:val="-2"/>
          <w:sz w:val="24"/>
          <w:szCs w:val="24"/>
          <w:lang w:eastAsia="zh-CN"/>
        </w:rPr>
      </w:pPr>
      <w:r>
        <w:rPr>
          <w:rFonts w:hint="eastAsia" w:ascii="宋体" w:hAnsi="宋体" w:eastAsia="宋体" w:cs="宋体"/>
          <w:b/>
          <w:bCs/>
          <w:spacing w:val="-2"/>
          <w:sz w:val="24"/>
          <w:szCs w:val="24"/>
          <w:lang w:eastAsia="zh-CN"/>
        </w:rPr>
        <w:t>5</w:t>
      </w:r>
      <w:r>
        <w:rPr>
          <w:rFonts w:ascii="宋体" w:hAnsi="宋体" w:eastAsia="宋体" w:cs="宋体"/>
          <w:b/>
          <w:bCs/>
          <w:spacing w:val="-2"/>
          <w:sz w:val="24"/>
          <w:szCs w:val="24"/>
          <w:lang w:eastAsia="zh-CN"/>
        </w:rPr>
        <w:t>、</w:t>
      </w:r>
      <w:r>
        <w:rPr>
          <w:rFonts w:hint="eastAsia" w:ascii="宋体" w:hAnsi="宋体" w:eastAsia="宋体" w:cs="宋体"/>
          <w:b/>
          <w:bCs/>
          <w:spacing w:val="-2"/>
          <w:sz w:val="24"/>
          <w:szCs w:val="24"/>
          <w:lang w:eastAsia="zh-CN"/>
        </w:rPr>
        <w:t>人员配置要求：</w:t>
      </w:r>
    </w:p>
    <w:p w14:paraId="5FC077CB">
      <w:pPr>
        <w:adjustRightInd/>
        <w:snapToGrid/>
        <w:spacing w:line="360"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5.1 投标人应当具有与本工程规模及委托内容相适应的全过程咨询服务能力，须满足以下团队配置要求：至少配备1名项目负责人、1名设计负责人、1名造价负责人及其他4名专业技术人员，团队总人数不少于</w:t>
      </w:r>
      <w:r>
        <w:rPr>
          <w:rFonts w:hint="eastAsia" w:ascii="宋体" w:hAnsi="宋体" w:eastAsia="宋体" w:cs="宋体"/>
          <w:spacing w:val="-2"/>
          <w:sz w:val="24"/>
          <w:szCs w:val="24"/>
          <w:lang w:val="en-US" w:eastAsia="zh-CN"/>
        </w:rPr>
        <w:t>7</w:t>
      </w:r>
      <w:r>
        <w:rPr>
          <w:rFonts w:hint="eastAsia" w:ascii="宋体" w:hAnsi="宋体" w:eastAsia="宋体" w:cs="宋体"/>
          <w:spacing w:val="-2"/>
          <w:sz w:val="24"/>
          <w:szCs w:val="24"/>
          <w:lang w:eastAsia="zh-CN"/>
        </w:rPr>
        <w:t>人。【</w:t>
      </w:r>
      <w:r>
        <w:rPr>
          <w:rFonts w:hint="eastAsia" w:ascii="宋体" w:hAnsi="宋体" w:eastAsia="宋体" w:cs="宋体"/>
          <w:b/>
          <w:bCs/>
          <w:spacing w:val="-2"/>
          <w:sz w:val="24"/>
          <w:szCs w:val="24"/>
          <w:lang w:eastAsia="zh-CN"/>
        </w:rPr>
        <w:t>投标文件中需提供项目组团队人员清单和投标人为其缴纳的开标前近6个月中任意一个月（不含开标当月）的社保证明材料</w:t>
      </w:r>
      <w:r>
        <w:rPr>
          <w:rFonts w:hint="eastAsia" w:ascii="宋体" w:hAnsi="宋体" w:eastAsia="宋体" w:cs="宋体"/>
          <w:spacing w:val="-2"/>
          <w:sz w:val="24"/>
          <w:szCs w:val="24"/>
          <w:lang w:eastAsia="zh-CN"/>
        </w:rPr>
        <w:t>】</w:t>
      </w:r>
    </w:p>
    <w:p w14:paraId="2CAA745E">
      <w:pPr>
        <w:adjustRightInd/>
        <w:snapToGrid/>
        <w:spacing w:line="360"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5.</w:t>
      </w:r>
      <w:r>
        <w:rPr>
          <w:rFonts w:hint="eastAsia" w:ascii="宋体" w:hAnsi="宋体" w:eastAsia="宋体" w:cs="宋体"/>
          <w:spacing w:val="-2"/>
          <w:sz w:val="24"/>
          <w:szCs w:val="24"/>
          <w:lang w:val="en-US" w:eastAsia="zh-CN"/>
        </w:rPr>
        <w:t>2</w:t>
      </w:r>
      <w:r>
        <w:rPr>
          <w:rFonts w:hint="eastAsia" w:ascii="宋体" w:hAnsi="宋体" w:eastAsia="宋体" w:cs="宋体"/>
          <w:spacing w:val="-2"/>
          <w:sz w:val="24"/>
          <w:szCs w:val="24"/>
          <w:lang w:eastAsia="zh-CN"/>
        </w:rPr>
        <w:t xml:space="preserve"> 本次招标要求投标人拟投入本项目主要负责人的资格条件：</w:t>
      </w:r>
    </w:p>
    <w:p w14:paraId="234C057A">
      <w:pPr>
        <w:adjustRightInd/>
        <w:snapToGrid/>
        <w:spacing w:line="360" w:lineRule="auto"/>
        <w:ind w:firstLine="474" w:firstLineChars="200"/>
        <w:rPr>
          <w:rFonts w:hint="eastAsia" w:ascii="宋体" w:hAnsi="宋体" w:eastAsia="宋体" w:cs="宋体"/>
          <w:spacing w:val="-2"/>
          <w:sz w:val="24"/>
          <w:szCs w:val="24"/>
          <w:lang w:eastAsia="zh-CN"/>
        </w:rPr>
      </w:pPr>
      <w:r>
        <w:rPr>
          <w:rFonts w:hint="eastAsia" w:ascii="宋体" w:hAnsi="宋体" w:eastAsia="宋体" w:cs="宋体"/>
          <w:b/>
          <w:bCs/>
          <w:spacing w:val="-2"/>
          <w:sz w:val="24"/>
          <w:szCs w:val="24"/>
          <w:lang w:eastAsia="zh-CN"/>
        </w:rPr>
        <w:t>（1）项目负责人：具备给排水专业高级及以上职称；</w:t>
      </w:r>
    </w:p>
    <w:p w14:paraId="1F0DC422">
      <w:pPr>
        <w:adjustRightInd/>
        <w:snapToGrid/>
        <w:spacing w:line="360" w:lineRule="auto"/>
        <w:ind w:firstLine="474" w:firstLineChars="200"/>
        <w:rPr>
          <w:rFonts w:hint="eastAsia" w:ascii="宋体" w:hAnsi="宋体" w:eastAsia="宋体" w:cs="宋体"/>
          <w:spacing w:val="-2"/>
          <w:sz w:val="24"/>
          <w:szCs w:val="24"/>
          <w:lang w:eastAsia="zh-CN"/>
        </w:rPr>
      </w:pPr>
      <w:r>
        <w:rPr>
          <w:rFonts w:hint="eastAsia" w:ascii="宋体" w:hAnsi="宋体" w:eastAsia="宋体" w:cs="宋体"/>
          <w:b/>
          <w:bCs/>
          <w:spacing w:val="-2"/>
          <w:sz w:val="24"/>
          <w:szCs w:val="24"/>
          <w:lang w:eastAsia="zh-CN"/>
        </w:rPr>
        <w:t>（</w:t>
      </w:r>
      <w:r>
        <w:rPr>
          <w:rFonts w:hint="eastAsia" w:ascii="宋体" w:hAnsi="宋体" w:eastAsia="宋体" w:cs="宋体"/>
          <w:b/>
          <w:bCs/>
          <w:spacing w:val="-2"/>
          <w:sz w:val="24"/>
          <w:szCs w:val="24"/>
          <w:lang w:val="en-US" w:eastAsia="zh-CN"/>
        </w:rPr>
        <w:t>2</w:t>
      </w:r>
      <w:r>
        <w:rPr>
          <w:rFonts w:hint="eastAsia" w:ascii="宋体" w:hAnsi="宋体" w:eastAsia="宋体" w:cs="宋体"/>
          <w:b/>
          <w:bCs/>
          <w:spacing w:val="-2"/>
          <w:sz w:val="24"/>
          <w:szCs w:val="24"/>
          <w:lang w:eastAsia="zh-CN"/>
        </w:rPr>
        <w:t>）设计负责人：具备给排水专业中级及以上职称；</w:t>
      </w:r>
    </w:p>
    <w:p w14:paraId="480722AA">
      <w:pPr>
        <w:adjustRightInd/>
        <w:snapToGrid/>
        <w:spacing w:line="360" w:lineRule="auto"/>
        <w:ind w:firstLine="474" w:firstLineChars="200"/>
        <w:rPr>
          <w:rFonts w:hint="eastAsia" w:ascii="宋体" w:hAnsi="宋体" w:eastAsia="宋体" w:cs="宋体"/>
          <w:b/>
          <w:bCs/>
          <w:spacing w:val="-2"/>
          <w:sz w:val="24"/>
          <w:szCs w:val="24"/>
          <w:lang w:eastAsia="zh-CN"/>
        </w:rPr>
      </w:pPr>
      <w:r>
        <w:rPr>
          <w:rFonts w:hint="eastAsia" w:ascii="宋体" w:hAnsi="宋体" w:eastAsia="宋体" w:cs="宋体"/>
          <w:b/>
          <w:bCs/>
          <w:spacing w:val="-2"/>
          <w:sz w:val="24"/>
          <w:szCs w:val="24"/>
          <w:lang w:eastAsia="zh-CN"/>
        </w:rPr>
        <w:t>（</w:t>
      </w:r>
      <w:r>
        <w:rPr>
          <w:rFonts w:hint="eastAsia" w:ascii="宋体" w:hAnsi="宋体" w:eastAsia="宋体" w:cs="宋体"/>
          <w:b/>
          <w:bCs/>
          <w:spacing w:val="-2"/>
          <w:sz w:val="24"/>
          <w:szCs w:val="24"/>
          <w:lang w:val="en-US" w:eastAsia="zh-CN"/>
        </w:rPr>
        <w:t>3</w:t>
      </w:r>
      <w:r>
        <w:rPr>
          <w:rFonts w:hint="eastAsia" w:ascii="宋体" w:hAnsi="宋体" w:eastAsia="宋体" w:cs="宋体"/>
          <w:b/>
          <w:bCs/>
          <w:spacing w:val="-2"/>
          <w:sz w:val="24"/>
          <w:szCs w:val="24"/>
          <w:lang w:eastAsia="zh-CN"/>
        </w:rPr>
        <w:t>）造价负责人：</w:t>
      </w:r>
      <w:r>
        <w:rPr>
          <w:rFonts w:hint="eastAsia" w:ascii="宋体" w:hAnsi="宋体" w:eastAsia="宋体" w:cs="宋体"/>
          <w:b/>
          <w:bCs/>
          <w:color w:val="auto"/>
          <w:spacing w:val="-2"/>
          <w:sz w:val="24"/>
          <w:szCs w:val="24"/>
          <w:highlight w:val="none"/>
          <w:lang w:eastAsia="zh-CN"/>
        </w:rPr>
        <w:t>具备工程经济或工程</w:t>
      </w:r>
      <w:bookmarkStart w:id="0" w:name="_GoBack"/>
      <w:bookmarkEnd w:id="0"/>
      <w:r>
        <w:rPr>
          <w:rFonts w:hint="eastAsia" w:ascii="宋体" w:hAnsi="宋体" w:eastAsia="宋体" w:cs="宋体"/>
          <w:b/>
          <w:bCs/>
          <w:color w:val="auto"/>
          <w:spacing w:val="-2"/>
          <w:sz w:val="24"/>
          <w:szCs w:val="24"/>
          <w:highlight w:val="none"/>
          <w:lang w:eastAsia="zh-CN"/>
        </w:rPr>
        <w:t>造价类专业中级及以上职称证。</w:t>
      </w:r>
    </w:p>
    <w:p w14:paraId="48C7BDD0">
      <w:pPr>
        <w:pStyle w:val="6"/>
        <w:numPr>
          <w:ilvl w:val="0"/>
          <w:numId w:val="0"/>
        </w:numPr>
        <w:adjustRightInd w:val="0"/>
        <w:snapToGrid w:val="0"/>
        <w:spacing w:line="288" w:lineRule="auto"/>
        <w:ind w:leftChars="0" w:firstLine="474" w:firstLineChars="200"/>
        <w:contextualSpacing w:val="0"/>
        <w:rPr>
          <w:rFonts w:hint="eastAsia"/>
          <w:b/>
          <w:bCs/>
          <w:sz w:val="24"/>
        </w:rPr>
      </w:pPr>
      <w:r>
        <w:rPr>
          <w:rFonts w:hint="eastAsia" w:ascii="宋体" w:hAnsi="宋体" w:eastAsia="宋体" w:cs="宋体"/>
          <w:b/>
          <w:bCs/>
          <w:color w:val="auto"/>
          <w:spacing w:val="-2"/>
          <w:sz w:val="24"/>
          <w:szCs w:val="24"/>
          <w:highlight w:val="none"/>
          <w:lang w:val="en-US" w:eastAsia="zh-CN"/>
        </w:rPr>
        <w:t>6、</w:t>
      </w:r>
      <w:r>
        <w:rPr>
          <w:b/>
          <w:bCs/>
          <w:sz w:val="24"/>
        </w:rPr>
        <w:t>服务周期要求</w:t>
      </w:r>
    </w:p>
    <w:tbl>
      <w:tblPr>
        <w:tblStyle w:val="4"/>
        <w:tblW w:w="0" w:type="auto"/>
        <w:tblInd w:w="6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2180"/>
        <w:gridCol w:w="7075"/>
      </w:tblGrid>
      <w:tr w14:paraId="327E5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blHeader/>
        </w:trPr>
        <w:tc>
          <w:tcPr>
            <w:tcW w:w="2180" w:type="dxa"/>
            <w:tcMar>
              <w:top w:w="180" w:type="dxa"/>
              <w:left w:w="270" w:type="dxa"/>
              <w:bottom w:w="180" w:type="dxa"/>
              <w:right w:w="270" w:type="dxa"/>
            </w:tcMar>
            <w:vAlign w:val="center"/>
          </w:tcPr>
          <w:p w14:paraId="4C440D71">
            <w:pPr>
              <w:adjustRightInd w:val="0"/>
              <w:snapToGrid w:val="0"/>
              <w:spacing w:after="0" w:line="288" w:lineRule="auto"/>
              <w:jc w:val="center"/>
              <w:rPr>
                <w:rFonts w:hint="eastAsia"/>
                <w:b/>
                <w:bCs/>
                <w:sz w:val="24"/>
              </w:rPr>
            </w:pPr>
            <w:r>
              <w:rPr>
                <w:b/>
                <w:bCs/>
                <w:sz w:val="24"/>
              </w:rPr>
              <w:t>服务阶段</w:t>
            </w:r>
          </w:p>
        </w:tc>
        <w:tc>
          <w:tcPr>
            <w:tcW w:w="7075" w:type="dxa"/>
            <w:tcMar>
              <w:top w:w="180" w:type="dxa"/>
              <w:left w:w="270" w:type="dxa"/>
              <w:bottom w:w="180" w:type="dxa"/>
              <w:right w:w="270" w:type="dxa"/>
            </w:tcMar>
            <w:vAlign w:val="center"/>
          </w:tcPr>
          <w:p w14:paraId="69C48064">
            <w:pPr>
              <w:adjustRightInd w:val="0"/>
              <w:snapToGrid w:val="0"/>
              <w:spacing w:after="0" w:line="288" w:lineRule="auto"/>
              <w:jc w:val="center"/>
              <w:rPr>
                <w:rFonts w:hint="eastAsia"/>
                <w:b/>
                <w:bCs/>
                <w:sz w:val="24"/>
              </w:rPr>
            </w:pPr>
            <w:r>
              <w:rPr>
                <w:b/>
                <w:bCs/>
                <w:sz w:val="24"/>
              </w:rPr>
              <w:t>周期要求</w:t>
            </w:r>
          </w:p>
        </w:tc>
      </w:tr>
      <w:tr w14:paraId="43EAAE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2180" w:type="dxa"/>
            <w:tcMar>
              <w:top w:w="180" w:type="dxa"/>
              <w:left w:w="270" w:type="dxa"/>
              <w:bottom w:w="180" w:type="dxa"/>
              <w:right w:w="270" w:type="dxa"/>
            </w:tcMar>
            <w:vAlign w:val="center"/>
          </w:tcPr>
          <w:p w14:paraId="1CA66AF5">
            <w:pPr>
              <w:keepNext w:val="0"/>
              <w:keepLines w:val="0"/>
              <w:pageBreakBefore w:val="0"/>
              <w:widowControl/>
              <w:kinsoku w:val="0"/>
              <w:wordWrap/>
              <w:overflowPunct/>
              <w:topLinePunct w:val="0"/>
              <w:autoSpaceDE w:val="0"/>
              <w:autoSpaceDN w:val="0"/>
              <w:bidi w:val="0"/>
              <w:adjustRightInd/>
              <w:snapToGrid/>
              <w:spacing w:after="0" w:line="288" w:lineRule="auto"/>
              <w:ind w:left="105" w:leftChars="50" w:right="105" w:rightChars="50"/>
              <w:textAlignment w:val="baseline"/>
              <w:rPr>
                <w:rFonts w:hint="eastAsia"/>
                <w:sz w:val="24"/>
              </w:rPr>
            </w:pPr>
            <w:r>
              <w:rPr>
                <w:sz w:val="24"/>
              </w:rPr>
              <w:t>初步设计</w:t>
            </w:r>
          </w:p>
        </w:tc>
        <w:tc>
          <w:tcPr>
            <w:tcW w:w="7075" w:type="dxa"/>
            <w:tcMar>
              <w:top w:w="180" w:type="dxa"/>
              <w:left w:w="270" w:type="dxa"/>
              <w:bottom w:w="180" w:type="dxa"/>
              <w:right w:w="270" w:type="dxa"/>
            </w:tcMar>
            <w:vAlign w:val="center"/>
          </w:tcPr>
          <w:p w14:paraId="3761F46C">
            <w:pPr>
              <w:keepNext w:val="0"/>
              <w:keepLines w:val="0"/>
              <w:pageBreakBefore w:val="0"/>
              <w:widowControl/>
              <w:kinsoku w:val="0"/>
              <w:wordWrap/>
              <w:overflowPunct/>
              <w:topLinePunct w:val="0"/>
              <w:autoSpaceDE w:val="0"/>
              <w:autoSpaceDN w:val="0"/>
              <w:bidi w:val="0"/>
              <w:adjustRightInd/>
              <w:snapToGrid/>
              <w:spacing w:after="0" w:line="288" w:lineRule="auto"/>
              <w:ind w:left="-151" w:leftChars="-72" w:right="-248" w:rightChars="-118" w:firstLine="12" w:firstLineChars="5"/>
              <w:textAlignment w:val="baseline"/>
              <w:rPr>
                <w:rFonts w:hint="eastAsia" w:eastAsia="宋体"/>
                <w:sz w:val="24"/>
                <w:lang w:eastAsia="zh-CN"/>
              </w:rPr>
            </w:pPr>
            <w:r>
              <w:rPr>
                <w:sz w:val="24"/>
              </w:rPr>
              <w:t>可研批复后</w:t>
            </w:r>
            <w:r>
              <w:rPr>
                <w:rFonts w:hint="eastAsia"/>
                <w:sz w:val="24"/>
              </w:rPr>
              <w:t>20</w:t>
            </w:r>
            <w:r>
              <w:rPr>
                <w:sz w:val="24"/>
              </w:rPr>
              <w:t>个日历天内完成</w:t>
            </w:r>
            <w:r>
              <w:rPr>
                <w:rFonts w:hint="eastAsia"/>
                <w:sz w:val="24"/>
              </w:rPr>
              <w:t>编制工作，并</w:t>
            </w:r>
            <w:r>
              <w:rPr>
                <w:sz w:val="24"/>
              </w:rPr>
              <w:t>协助通过初步设计审查</w:t>
            </w:r>
            <w:r>
              <w:rPr>
                <w:rFonts w:hint="eastAsia" w:eastAsia="宋体"/>
                <w:sz w:val="24"/>
                <w:lang w:eastAsia="zh-CN"/>
              </w:rPr>
              <w:t>。</w:t>
            </w:r>
          </w:p>
        </w:tc>
      </w:tr>
      <w:tr w14:paraId="50E50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2180" w:type="dxa"/>
            <w:tcMar>
              <w:top w:w="180" w:type="dxa"/>
              <w:left w:w="270" w:type="dxa"/>
              <w:bottom w:w="180" w:type="dxa"/>
              <w:right w:w="270" w:type="dxa"/>
            </w:tcMar>
            <w:vAlign w:val="center"/>
          </w:tcPr>
          <w:p w14:paraId="1D3AE0DC">
            <w:pPr>
              <w:keepNext w:val="0"/>
              <w:keepLines w:val="0"/>
              <w:pageBreakBefore w:val="0"/>
              <w:widowControl/>
              <w:kinsoku w:val="0"/>
              <w:wordWrap/>
              <w:overflowPunct/>
              <w:topLinePunct w:val="0"/>
              <w:autoSpaceDE w:val="0"/>
              <w:autoSpaceDN w:val="0"/>
              <w:bidi w:val="0"/>
              <w:adjustRightInd/>
              <w:snapToGrid/>
              <w:spacing w:after="0" w:line="288" w:lineRule="auto"/>
              <w:ind w:left="105" w:leftChars="50" w:right="105" w:rightChars="50"/>
              <w:textAlignment w:val="baseline"/>
              <w:rPr>
                <w:rFonts w:hint="eastAsia"/>
                <w:sz w:val="24"/>
              </w:rPr>
            </w:pPr>
            <w:r>
              <w:rPr>
                <w:sz w:val="24"/>
              </w:rPr>
              <w:t>施工图设计</w:t>
            </w:r>
          </w:p>
        </w:tc>
        <w:tc>
          <w:tcPr>
            <w:tcW w:w="7075" w:type="dxa"/>
            <w:tcMar>
              <w:top w:w="180" w:type="dxa"/>
              <w:left w:w="270" w:type="dxa"/>
              <w:bottom w:w="180" w:type="dxa"/>
              <w:right w:w="270" w:type="dxa"/>
            </w:tcMar>
            <w:vAlign w:val="center"/>
          </w:tcPr>
          <w:p w14:paraId="76D1277E">
            <w:pPr>
              <w:keepNext w:val="0"/>
              <w:keepLines w:val="0"/>
              <w:pageBreakBefore w:val="0"/>
              <w:widowControl/>
              <w:tabs>
                <w:tab w:val="left" w:pos="7320"/>
              </w:tabs>
              <w:kinsoku w:val="0"/>
              <w:wordWrap/>
              <w:overflowPunct/>
              <w:topLinePunct w:val="0"/>
              <w:autoSpaceDE w:val="0"/>
              <w:autoSpaceDN w:val="0"/>
              <w:bidi w:val="0"/>
              <w:adjustRightInd/>
              <w:snapToGrid/>
              <w:spacing w:after="0" w:line="288" w:lineRule="auto"/>
              <w:ind w:left="-139" w:leftChars="-66" w:right="-248" w:rightChars="-118" w:firstLine="0" w:firstLineChars="0"/>
              <w:textAlignment w:val="baseline"/>
              <w:rPr>
                <w:rFonts w:hint="eastAsia"/>
                <w:sz w:val="24"/>
              </w:rPr>
            </w:pPr>
            <w:r>
              <w:rPr>
                <w:sz w:val="24"/>
              </w:rPr>
              <w:t>初步设计审查通过后</w:t>
            </w:r>
            <w:r>
              <w:rPr>
                <w:rFonts w:hint="eastAsia"/>
                <w:sz w:val="24"/>
              </w:rPr>
              <w:t>20</w:t>
            </w:r>
            <w:r>
              <w:rPr>
                <w:sz w:val="24"/>
              </w:rPr>
              <w:t>个日历天内完成</w:t>
            </w:r>
            <w:r>
              <w:rPr>
                <w:rFonts w:hint="eastAsia"/>
                <w:sz w:val="24"/>
              </w:rPr>
              <w:t>编制工作</w:t>
            </w:r>
            <w:r>
              <w:rPr>
                <w:sz w:val="24"/>
              </w:rPr>
              <w:t>，</w:t>
            </w:r>
            <w:r>
              <w:rPr>
                <w:rFonts w:hint="eastAsia"/>
                <w:sz w:val="24"/>
              </w:rPr>
              <w:t>并</w:t>
            </w:r>
            <w:r>
              <w:rPr>
                <w:sz w:val="24"/>
              </w:rPr>
              <w:t>协助取得施工图审查合格书</w:t>
            </w:r>
            <w:r>
              <w:rPr>
                <w:rFonts w:hint="eastAsia"/>
                <w:sz w:val="24"/>
              </w:rPr>
              <w:t>。</w:t>
            </w:r>
          </w:p>
        </w:tc>
      </w:tr>
      <w:tr w14:paraId="10368C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283" w:hRule="atLeast"/>
        </w:trPr>
        <w:tc>
          <w:tcPr>
            <w:tcW w:w="2180" w:type="dxa"/>
            <w:tcMar>
              <w:top w:w="180" w:type="dxa"/>
              <w:left w:w="270" w:type="dxa"/>
              <w:bottom w:w="180" w:type="dxa"/>
              <w:right w:w="270" w:type="dxa"/>
            </w:tcMar>
            <w:vAlign w:val="center"/>
          </w:tcPr>
          <w:p w14:paraId="7D9FEB08">
            <w:pPr>
              <w:keepNext w:val="0"/>
              <w:keepLines w:val="0"/>
              <w:pageBreakBefore w:val="0"/>
              <w:widowControl/>
              <w:kinsoku w:val="0"/>
              <w:wordWrap/>
              <w:overflowPunct/>
              <w:topLinePunct w:val="0"/>
              <w:autoSpaceDE w:val="0"/>
              <w:autoSpaceDN w:val="0"/>
              <w:bidi w:val="0"/>
              <w:adjustRightInd/>
              <w:snapToGrid/>
              <w:spacing w:after="0" w:line="288" w:lineRule="auto"/>
              <w:ind w:left="105" w:leftChars="50" w:right="105" w:rightChars="50"/>
              <w:textAlignment w:val="baseline"/>
              <w:rPr>
                <w:rFonts w:hint="eastAsia"/>
                <w:sz w:val="24"/>
              </w:rPr>
            </w:pPr>
            <w:r>
              <w:rPr>
                <w:sz w:val="24"/>
              </w:rPr>
              <w:t>工程量清单及投标限价</w:t>
            </w:r>
          </w:p>
        </w:tc>
        <w:tc>
          <w:tcPr>
            <w:tcW w:w="7075" w:type="dxa"/>
            <w:tcMar>
              <w:top w:w="180" w:type="dxa"/>
              <w:left w:w="270" w:type="dxa"/>
              <w:bottom w:w="180" w:type="dxa"/>
              <w:right w:w="270" w:type="dxa"/>
            </w:tcMar>
            <w:vAlign w:val="center"/>
          </w:tcPr>
          <w:p w14:paraId="7B08807F">
            <w:pPr>
              <w:keepNext w:val="0"/>
              <w:keepLines w:val="0"/>
              <w:pageBreakBefore w:val="0"/>
              <w:widowControl/>
              <w:tabs>
                <w:tab w:val="left" w:pos="7360"/>
              </w:tabs>
              <w:kinsoku w:val="0"/>
              <w:wordWrap/>
              <w:overflowPunct/>
              <w:topLinePunct w:val="0"/>
              <w:autoSpaceDE w:val="0"/>
              <w:autoSpaceDN w:val="0"/>
              <w:bidi w:val="0"/>
              <w:adjustRightInd/>
              <w:snapToGrid/>
              <w:spacing w:after="0" w:line="288" w:lineRule="auto"/>
              <w:ind w:left="-178" w:leftChars="-85" w:right="-248" w:rightChars="-118" w:firstLine="0" w:firstLineChars="0"/>
              <w:textAlignment w:val="baseline"/>
              <w:rPr>
                <w:rFonts w:hint="eastAsia"/>
                <w:sz w:val="24"/>
              </w:rPr>
            </w:pPr>
            <w:r>
              <w:rPr>
                <w:sz w:val="24"/>
              </w:rPr>
              <w:t>施工图审查合格后</w:t>
            </w:r>
            <w:r>
              <w:rPr>
                <w:rFonts w:hint="eastAsia" w:eastAsia="宋体"/>
                <w:sz w:val="24"/>
                <w:lang w:val="en-US" w:eastAsia="zh-CN"/>
              </w:rPr>
              <w:t>20</w:t>
            </w:r>
            <w:r>
              <w:rPr>
                <w:sz w:val="24"/>
              </w:rPr>
              <w:t>个日历天内完成编制，</w:t>
            </w:r>
            <w:r>
              <w:rPr>
                <w:rFonts w:hint="eastAsia"/>
                <w:sz w:val="24"/>
              </w:rPr>
              <w:t>并</w:t>
            </w:r>
            <w:r>
              <w:rPr>
                <w:sz w:val="24"/>
              </w:rPr>
              <w:t>协助通过财政部门审核备案</w:t>
            </w:r>
            <w:r>
              <w:rPr>
                <w:rFonts w:hint="eastAsia"/>
                <w:sz w:val="24"/>
              </w:rPr>
              <w:t>。</w:t>
            </w:r>
          </w:p>
        </w:tc>
      </w:tr>
    </w:tbl>
    <w:p w14:paraId="2C994681">
      <w:pPr>
        <w:adjustRightInd/>
        <w:snapToGrid/>
        <w:spacing w:line="336" w:lineRule="auto"/>
        <w:ind w:firstLine="414" w:firstLineChars="200"/>
        <w:rPr>
          <w:rFonts w:hint="eastAsia" w:ascii="宋体" w:hAnsi="宋体" w:eastAsia="宋体" w:cs="宋体"/>
          <w:b/>
          <w:bCs/>
          <w:color w:val="auto"/>
          <w:spacing w:val="-2"/>
          <w:sz w:val="21"/>
          <w:szCs w:val="21"/>
          <w:highlight w:val="none"/>
          <w:lang w:eastAsia="zh-CN"/>
        </w:rPr>
      </w:pPr>
    </w:p>
    <w:p w14:paraId="2A451157">
      <w:pPr>
        <w:numPr>
          <w:ilvl w:val="0"/>
          <w:numId w:val="1"/>
        </w:numPr>
        <w:adjustRightInd/>
        <w:snapToGrid/>
        <w:spacing w:line="336" w:lineRule="auto"/>
        <w:ind w:firstLine="474" w:firstLineChars="200"/>
        <w:rPr>
          <w:rFonts w:hint="eastAsia" w:ascii="宋体" w:hAnsi="宋体" w:eastAsia="宋体" w:cs="宋体"/>
          <w:color w:val="auto"/>
          <w:spacing w:val="-2"/>
          <w:sz w:val="24"/>
          <w:szCs w:val="24"/>
          <w:highlight w:val="none"/>
          <w:lang w:eastAsia="zh-CN"/>
        </w:rPr>
      </w:pPr>
      <w:r>
        <w:rPr>
          <w:rFonts w:ascii="宋体" w:hAnsi="宋体" w:eastAsia="宋体" w:cs="宋体"/>
          <w:b/>
          <w:bCs/>
          <w:color w:val="auto"/>
          <w:spacing w:val="-2"/>
          <w:sz w:val="24"/>
          <w:szCs w:val="24"/>
          <w:highlight w:val="none"/>
          <w:lang w:eastAsia="zh-CN"/>
        </w:rPr>
        <w:t>售后服务：</w:t>
      </w:r>
      <w:r>
        <w:rPr>
          <w:rFonts w:hint="eastAsia" w:ascii="宋体" w:hAnsi="宋体" w:eastAsia="宋体" w:cs="宋体"/>
          <w:color w:val="auto"/>
          <w:spacing w:val="-2"/>
          <w:sz w:val="24"/>
          <w:szCs w:val="24"/>
          <w:highlight w:val="none"/>
          <w:lang w:eastAsia="zh-CN"/>
        </w:rPr>
        <w:t>本项目服务需符合国家规定的质量标准、深度要求和现行技术规范、规程要求。售后服务期内，中标人所提供的团队人员的售后服务不收取任何费用（含运输、关税、材料、人工、食宿差旅等费用）。</w:t>
      </w:r>
    </w:p>
    <w:p w14:paraId="6C8EEB57">
      <w:pPr>
        <w:numPr>
          <w:ilvl w:val="0"/>
          <w:numId w:val="1"/>
        </w:numPr>
        <w:adjustRightInd/>
        <w:snapToGrid/>
        <w:spacing w:line="336" w:lineRule="auto"/>
        <w:ind w:firstLine="474" w:firstLineChars="200"/>
        <w:rPr>
          <w:rFonts w:hint="eastAsia" w:ascii="宋体" w:hAnsi="宋体" w:eastAsia="宋体" w:cs="宋体"/>
          <w:b/>
          <w:bCs/>
          <w:spacing w:val="-2"/>
          <w:sz w:val="24"/>
          <w:szCs w:val="24"/>
          <w:lang w:eastAsia="zh-CN"/>
        </w:rPr>
      </w:pPr>
      <w:r>
        <w:rPr>
          <w:rFonts w:ascii="宋体" w:hAnsi="宋体" w:eastAsia="宋体" w:cs="宋体"/>
          <w:b/>
          <w:bCs/>
          <w:spacing w:val="-2"/>
          <w:sz w:val="24"/>
          <w:szCs w:val="24"/>
          <w:lang w:eastAsia="zh-CN"/>
        </w:rPr>
        <w:t>采购标的的验收标准:</w:t>
      </w:r>
    </w:p>
    <w:p w14:paraId="3A16F5EA">
      <w:pPr>
        <w:adjustRightInd/>
        <w:snapToGrid/>
        <w:spacing w:line="336" w:lineRule="auto"/>
        <w:ind w:firstLine="472" w:firstLineChars="200"/>
        <w:rPr>
          <w:rFonts w:hint="eastAsia" w:ascii="宋体" w:hAnsi="宋体" w:eastAsia="宋体" w:cs="宋体"/>
          <w:spacing w:val="-2"/>
          <w:sz w:val="24"/>
          <w:szCs w:val="24"/>
          <w:lang w:eastAsia="zh-CN"/>
        </w:rPr>
      </w:pPr>
      <w:r>
        <w:rPr>
          <w:rFonts w:ascii="宋体" w:hAnsi="宋体" w:eastAsia="宋体" w:cs="宋体"/>
          <w:spacing w:val="-2"/>
          <w:sz w:val="24"/>
          <w:szCs w:val="24"/>
          <w:lang w:eastAsia="zh-CN"/>
        </w:rPr>
        <w:t>（1）按国家相关规定和招标文件、响应文件要求及合同内容，由采购人组织验收。</w:t>
      </w:r>
    </w:p>
    <w:p w14:paraId="1BB4234A">
      <w:pPr>
        <w:adjustRightInd/>
        <w:snapToGrid/>
        <w:spacing w:line="336" w:lineRule="auto"/>
        <w:ind w:firstLine="472" w:firstLineChars="200"/>
        <w:rPr>
          <w:rFonts w:ascii="宋体" w:hAnsi="宋体" w:eastAsia="宋体" w:cs="宋体"/>
          <w:spacing w:val="-2"/>
          <w:sz w:val="24"/>
          <w:szCs w:val="24"/>
          <w:lang w:eastAsia="zh-CN"/>
        </w:rPr>
      </w:pPr>
      <w:r>
        <w:rPr>
          <w:rFonts w:ascii="宋体" w:hAnsi="宋体" w:eastAsia="宋体" w:cs="宋体"/>
          <w:spacing w:val="-2"/>
          <w:sz w:val="24"/>
          <w:szCs w:val="24"/>
          <w:lang w:eastAsia="zh-CN"/>
        </w:rPr>
        <w:t>（2）成交供应商须按中标的合同履约期限各阶段服务时间节点进行服务，同时满足上级主管部门的时间节点要求。</w:t>
      </w:r>
    </w:p>
    <w:p w14:paraId="3A665FB2">
      <w:pPr>
        <w:adjustRightInd/>
        <w:snapToGrid/>
        <w:spacing w:line="336" w:lineRule="auto"/>
        <w:ind w:firstLine="474" w:firstLineChars="200"/>
        <w:rPr>
          <w:rFonts w:hint="eastAsia" w:ascii="宋体" w:hAnsi="宋体" w:eastAsia="宋体" w:cs="宋体"/>
          <w:b/>
          <w:bCs/>
          <w:spacing w:val="-2"/>
          <w:sz w:val="24"/>
          <w:szCs w:val="24"/>
          <w:lang w:eastAsia="zh-CN"/>
        </w:rPr>
      </w:pPr>
      <w:r>
        <w:rPr>
          <w:rFonts w:hint="eastAsia" w:ascii="宋体" w:hAnsi="宋体" w:eastAsia="宋体" w:cs="宋体"/>
          <w:b/>
          <w:bCs/>
          <w:spacing w:val="-2"/>
          <w:sz w:val="24"/>
          <w:szCs w:val="24"/>
          <w:lang w:val="en-US" w:eastAsia="zh-CN"/>
        </w:rPr>
        <w:t>9</w:t>
      </w:r>
      <w:r>
        <w:rPr>
          <w:rFonts w:ascii="宋体" w:hAnsi="宋体" w:eastAsia="宋体" w:cs="宋体"/>
          <w:b/>
          <w:bCs/>
          <w:spacing w:val="-2"/>
          <w:sz w:val="24"/>
          <w:szCs w:val="24"/>
          <w:lang w:eastAsia="zh-CN"/>
        </w:rPr>
        <w:t>、其他</w:t>
      </w:r>
    </w:p>
    <w:p w14:paraId="0E0E6522">
      <w:pPr>
        <w:adjustRightInd/>
        <w:snapToGrid/>
        <w:spacing w:line="336" w:lineRule="auto"/>
        <w:ind w:firstLine="472" w:firstLineChars="200"/>
        <w:rPr>
          <w:rFonts w:hint="eastAsia" w:ascii="宋体" w:hAnsi="宋体" w:eastAsia="宋体" w:cs="宋体"/>
          <w:spacing w:val="-2"/>
          <w:sz w:val="24"/>
          <w:szCs w:val="24"/>
          <w:lang w:eastAsia="zh-CN"/>
        </w:rPr>
      </w:pPr>
      <w:r>
        <w:rPr>
          <w:rFonts w:ascii="宋体" w:hAnsi="宋体" w:eastAsia="宋体" w:cs="宋体"/>
          <w:spacing w:val="-2"/>
          <w:sz w:val="24"/>
          <w:szCs w:val="24"/>
          <w:lang w:eastAsia="zh-CN"/>
        </w:rPr>
        <w:t>（1）</w:t>
      </w:r>
      <w:r>
        <w:rPr>
          <w:rFonts w:hint="eastAsia" w:ascii="宋体" w:hAnsi="宋体" w:eastAsia="宋体" w:cs="宋体"/>
          <w:spacing w:val="-2"/>
          <w:sz w:val="24"/>
          <w:szCs w:val="24"/>
          <w:lang w:eastAsia="zh-CN"/>
        </w:rPr>
        <w:t>保密要求:中标单位在项目实施过程中，对采购人所提供的所有相关资料、数据，未经采购人书面同意不得向任何第三方泄露，且保密责任不因合同的终止或解除而失效。</w:t>
      </w:r>
    </w:p>
    <w:p w14:paraId="750248F6">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（2）如发现中标单位有违规、违法现象，采购人有权随时单方中止合同，由此产生的所有责任均由中标单位承担。</w:t>
      </w:r>
    </w:p>
    <w:p w14:paraId="3651D36D">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（3）中标单位不得以任何形式将合同转包或者部分分包给他人,一经发现采购人将上报政府采购监督管理部门,取消其中标资格,并有权向中标单位提出索赔。</w:t>
      </w:r>
    </w:p>
    <w:p w14:paraId="031DDFE5">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4）中标单位应保证采购人在中华人民共和国使用中标单位所提供的货物或服务的任何一部分时，免受第三方提出的侵犯其专利权、商标权的起诉:如果任何第三方提出侵权指控,中标单位承担一切与之有关的责任。</w:t>
      </w:r>
    </w:p>
    <w:p w14:paraId="71E2ED3D">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(5)中标单位应将所提供服务的纸质成果材料、电子全过程数据等交付给采购单位，中标单位不能完整交付的，视为未按合同约定服务，中标单位必须负责补齐，因此导致逾期交付的由中标单位承担相关的违约责任。</w:t>
      </w:r>
    </w:p>
    <w:p w14:paraId="034F1F68">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（6）安全管理：中标单位应加强相应安全管理，在服务过程中若出现安全事故，产生的法律责任及经济纠纷均由中标单位承担。</w:t>
      </w:r>
    </w:p>
    <w:p w14:paraId="15DA29C4">
      <w:pPr>
        <w:adjustRightInd/>
        <w:snapToGrid/>
        <w:spacing w:line="336" w:lineRule="auto"/>
        <w:ind w:firstLine="472" w:firstLineChars="200"/>
        <w:rPr>
          <w:rFonts w:hint="eastAsia" w:ascii="宋体" w:hAnsi="宋体" w:eastAsia="宋体" w:cs="宋体"/>
          <w:spacing w:val="-2"/>
          <w:sz w:val="24"/>
          <w:szCs w:val="24"/>
          <w:lang w:eastAsia="zh-CN"/>
        </w:rPr>
      </w:pPr>
      <w:r>
        <w:rPr>
          <w:rFonts w:hint="eastAsia" w:ascii="宋体" w:hAnsi="宋体" w:eastAsia="宋体" w:cs="宋体"/>
          <w:spacing w:val="-2"/>
          <w:sz w:val="24"/>
          <w:szCs w:val="24"/>
          <w:lang w:eastAsia="zh-CN"/>
        </w:rPr>
        <w:t>（</w:t>
      </w:r>
      <w:r>
        <w:rPr>
          <w:rFonts w:hint="eastAsia" w:ascii="宋体" w:hAnsi="宋体" w:eastAsia="宋体" w:cs="宋体"/>
          <w:spacing w:val="-2"/>
          <w:sz w:val="24"/>
          <w:szCs w:val="24"/>
          <w:lang w:val="en-US" w:eastAsia="zh-CN"/>
        </w:rPr>
        <w:t>7</w:t>
      </w:r>
      <w:r>
        <w:rPr>
          <w:rFonts w:hint="eastAsia" w:ascii="宋体" w:hAnsi="宋体" w:eastAsia="宋体" w:cs="宋体"/>
          <w:spacing w:val="-2"/>
          <w:sz w:val="24"/>
          <w:szCs w:val="24"/>
          <w:lang w:eastAsia="zh-CN"/>
        </w:rPr>
        <w:t>）</w:t>
      </w:r>
      <w:r>
        <w:rPr>
          <w:rFonts w:hint="eastAsia" w:ascii="宋体" w:hAnsi="宋体" w:eastAsia="宋体" w:cs="宋体"/>
          <w:spacing w:val="-2"/>
          <w:sz w:val="24"/>
          <w:szCs w:val="24"/>
          <w:lang w:val="en-US" w:eastAsia="zh-CN"/>
        </w:rPr>
        <w:t>其它未尽事宜，请与招标单位联系。</w:t>
      </w:r>
    </w:p>
    <w:p w14:paraId="10F763FD">
      <w:pPr>
        <w:keepNext w:val="0"/>
        <w:keepLines w:val="0"/>
        <w:pageBreakBefore w:val="0"/>
        <w:widowControl/>
        <w:kinsoku w:val="0"/>
        <w:wordWrap/>
        <w:overflowPunct/>
        <w:topLinePunct w:val="0"/>
        <w:autoSpaceDE w:val="0"/>
        <w:autoSpaceDN w:val="0"/>
        <w:bidi w:val="0"/>
        <w:adjustRightInd/>
        <w:snapToGrid/>
        <w:spacing w:line="360" w:lineRule="auto"/>
        <w:ind w:left="0" w:leftChars="0" w:right="0" w:rightChars="0"/>
        <w:jc w:val="both"/>
        <w:textAlignment w:val="baseline"/>
        <w:rPr>
          <w:rFonts w:hint="eastAsia" w:ascii="宋体" w:hAnsi="宋体" w:eastAsia="宋体" w:cs="宋体"/>
          <w:sz w:val="24"/>
          <w:szCs w:val="24"/>
          <w:lang w:eastAsia="zh-CN"/>
        </w:rPr>
      </w:pPr>
      <w:r>
        <w:rPr>
          <w:rFonts w:ascii="宋体" w:hAnsi="宋体" w:eastAsia="宋体" w:cs="宋体"/>
          <w:b/>
          <w:bCs/>
          <w:spacing w:val="-5"/>
          <w:sz w:val="24"/>
          <w:szCs w:val="24"/>
          <w:lang w:eastAsia="zh-CN"/>
        </w:rPr>
        <w:t>注：以上商务要求必须完全响应，任意一项不满足投标无效。</w:t>
      </w:r>
    </w:p>
    <w:sectPr>
      <w:footerReference r:id="rId3" w:type="default"/>
      <w:pgSz w:w="11906" w:h="16838"/>
      <w:pgMar w:top="1134" w:right="1080" w:bottom="1134"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roman"/>
    <w:pitch w:val="default"/>
    <w:sig w:usb0="E0002AFF" w:usb1="C0007841" w:usb2="00000009" w:usb3="00000000" w:csb0="400001FF" w:csb1="FFFF0000"/>
  </w:font>
  <w:font w:name="宋体">
    <w:panose1 w:val="02010600030101010101"/>
    <w:charset w:val="02"/>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FD1344">
    <w:pPr>
      <w:pStyle w:val="3"/>
      <w:rPr>
        <w:lang w:eastAsia="zh-CN"/>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6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345FB67">
                          <w:pPr>
                            <w:pStyle w:val="3"/>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qU6g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UalOoKwIAAFcEAAAOAAAAAAAAAAEAIAAAAB8BAABkcnMvZTJvRG9jLnhtbFBLBQYAAAAABgAG&#10;AFkBAAC8BQAAAAA=&#10;">
              <v:fill on="f" focussize="0,0"/>
              <v:stroke on="f" weight="0.5pt"/>
              <v:imagedata o:title=""/>
              <o:lock v:ext="edit" aspectratio="f"/>
              <v:textbox inset="0mm,0mm,0mm,0mm" style="mso-fit-shape-to-text:t;">
                <w:txbxContent>
                  <w:p w14:paraId="0345FB67">
                    <w:pPr>
                      <w:pStyle w:val="3"/>
                    </w:pPr>
                    <w:r>
                      <w:fldChar w:fldCharType="begin"/>
                    </w:r>
                    <w:r>
                      <w:instrText xml:space="preserve"> PAGE  \* MERGEFORMAT </w:instrText>
                    </w:r>
                    <w:r>
                      <w:fldChar w:fldCharType="separate"/>
                    </w:r>
                    <w:r>
                      <w:t>56</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4BF4AD"/>
    <w:multiLevelType w:val="singleLevel"/>
    <w:tmpl w:val="BE4BF4AD"/>
    <w:lvl w:ilvl="0" w:tentative="0">
      <w:start w:val="7"/>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8E2352"/>
    <w:rsid w:val="3DC21902"/>
    <w:rsid w:val="681B7646"/>
    <w:rsid w:val="6B082262"/>
    <w:rsid w:val="6B8E23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style>
  <w:style w:type="paragraph" w:styleId="3">
    <w:name w:val="footer"/>
    <w:basedOn w:val="1"/>
    <w:qFormat/>
    <w:uiPriority w:val="0"/>
    <w:pPr>
      <w:tabs>
        <w:tab w:val="center" w:pos="4153"/>
        <w:tab w:val="right" w:pos="8306"/>
      </w:tabs>
    </w:pPr>
    <w:rPr>
      <w:sz w:val="18"/>
    </w:rPr>
  </w:style>
  <w:style w:type="paragraph" w:styleId="6">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2025</Words>
  <Characters>2084</Characters>
  <Lines>0</Lines>
  <Paragraphs>0</Paragraphs>
  <TotalTime>0</TotalTime>
  <ScaleCrop>false</ScaleCrop>
  <LinksUpToDate>false</LinksUpToDate>
  <CharactersWithSpaces>2086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2026-02-10T11:19:00Z</dcterms:created>
  <dc:creator>Administrator</dc:creator>
  <cp:lastModifiedBy>Administrator</cp:lastModifiedBy>
  <dcterms:modified xsi:type="dcterms:W3CDTF">2026-07-01T03:53:11Z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D051A5A739924EB78D152722F812857F_11</vt:lpwstr>
  </property>
  <property fmtid="{D5CDD505-2E9C-101B-9397-08002B2CF9AE}" pid="4" name="KSOTemplateDocerSaveRecord">
    <vt:lpwstr>eyJoZGlkIjoiYWMyYmQxMDE3ZmM0N2Y5MWM2ZmJkMTVmNTRhYThjMjMiLCJ1c2VySWQiOiIzMzk0NDkyMTcifQ==</vt:lpwstr>
  </property>
</Properties>
</file>