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359008">
      <w:pPr>
        <w:jc w:val="center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采购需求</w:t>
      </w:r>
    </w:p>
    <w:p w14:paraId="11B2226F">
      <w:pPr>
        <w:spacing w:beforeAutospacing="0"/>
        <w:jc w:val="center"/>
        <w:rPr>
          <w:rFonts w:asciiTheme="minorEastAsia" w:hAnsiTheme="minorEastAsia" w:eastAsiaTheme="minorEastAsia" w:cstheme="minorEastAsia"/>
          <w:b/>
          <w:color w:val="auto"/>
          <w:sz w:val="30"/>
          <w:szCs w:val="30"/>
          <w:highlight w:val="none"/>
        </w:rPr>
      </w:pPr>
    </w:p>
    <w:p w14:paraId="56789641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(一)响应供应商须提供符合质量标准的服务。</w:t>
      </w:r>
    </w:p>
    <w:p w14:paraId="71F9AB04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(二)所有服务的知识产权问题，由各响应供应商自行负责。</w:t>
      </w:r>
    </w:p>
    <w:p w14:paraId="00A992F9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(三)本采购文件提出的是最低限度的要求，响应供应商的服务应达到或优于本采购文件要求，且符合国家相关标准和规范要求。</w:t>
      </w:r>
    </w:p>
    <w:p w14:paraId="14DB7D25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(四)本项目标的所属行业：其他未列明行业。</w:t>
      </w:r>
    </w:p>
    <w:p w14:paraId="545F2638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default" w:ascii="宋体" w:hAnsi="宋体" w:eastAsia="宋体" w:cs="宋体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val="en-US" w:eastAsia="zh-CN"/>
        </w:rPr>
        <w:t>（五）特定资格条件：具有省级及以上市场监督管理部门颁发的、在有效期内的《检验检测机构资质认定证书》（CMA）；（响应文件中提供CMA证书扫描件及附表扫描件）</w:t>
      </w:r>
    </w:p>
    <w:p w14:paraId="4A5966DA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default" w:ascii="宋体" w:hAnsi="宋体" w:eastAsia="宋体" w:cs="宋体"/>
          <w:b/>
          <w:bCs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highlight w:val="none"/>
          <w:lang w:val="en-US" w:eastAsia="zh-CN"/>
        </w:rPr>
        <w:t>（六）主要服务内容</w:t>
      </w:r>
    </w:p>
    <w:p w14:paraId="0CD32655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1、检测范围：2026年全县农村供水保障水质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检测。</w:t>
      </w:r>
    </w:p>
    <w:p w14:paraId="03A42635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2、检测项目：</w:t>
      </w:r>
    </w:p>
    <w:p w14:paraId="24FC33B9">
      <w:pPr>
        <w:keepNext w:val="0"/>
        <w:keepLines w:val="0"/>
        <w:pageBreakBefore w:val="0"/>
        <w:widowControl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2.1、集中供水工程共进行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3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eastAsia="zh-CN"/>
        </w:rPr>
        <w:t>项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水质检测，分别为：</w:t>
      </w:r>
    </w:p>
    <w:p w14:paraId="755F18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微生物指标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2项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）：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总大肠杆菌群、菌落总数；</w:t>
      </w:r>
    </w:p>
    <w:p w14:paraId="222108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360" w:lineRule="auto"/>
        <w:textAlignment w:val="auto"/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毒理指标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17项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：砷、镉、铬（六价）、铅、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硒、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汞、氰化物、氟化物、硝酸盐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以N计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、三氯甲烷、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一氯二溴甲烷、二氯一溴甲烷、三溴甲烷、三卤甲烷、三氯乙酸、亚氯酸盐、氯酸盐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；</w:t>
      </w:r>
    </w:p>
    <w:p w14:paraId="629210F6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left="0" w:leftChars="0" w:firstLine="0" w:firstLineChars="0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感官性状和一般化学指标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16项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：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色度（铂钴色度单位）、浑浊度（散射浑浊度单位）、臭和味、肉眼可见物、pH、铝、铁、锰、铜、锌、氯化物、硫酸盐、溶解性总固体、总硬度（以CaCO₃计）、高锰酸盐指数（以O₂计）、氨（以N计）；</w:t>
      </w:r>
    </w:p>
    <w:p w14:paraId="0B42CADD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消毒剂常规指标（1项）：游离氯。</w:t>
      </w:r>
    </w:p>
    <w:p w14:paraId="38C1F37A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firstLine="0" w:firstLineChars="0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2.2、各行政村东、南、西、北、中分散供水工程共进行27项水质检测，分别为：</w:t>
      </w:r>
    </w:p>
    <w:p w14:paraId="48C420AF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firstLine="560" w:firstLineChars="200"/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微生物指标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（2项）：</w:t>
      </w: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总大肠菌群、菌落总数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；</w:t>
      </w:r>
    </w:p>
    <w:p w14:paraId="6E1DAAFE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firstLine="560" w:firstLineChars="200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毒理指标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（9项）：</w:t>
      </w: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砷、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镉、铬（六价）、铅、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硒、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汞、氰化物、</w:t>
      </w: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氟化物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、</w:t>
      </w: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硝酸盐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、；</w:t>
      </w:r>
    </w:p>
    <w:p w14:paraId="1A549B9A">
      <w:pPr>
        <w:pStyle w:val="2"/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firstLine="560" w:firstLineChars="200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感官性状指标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和</w:t>
      </w: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一般化学指标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（16项）：色度（铂钴色度单位）、浑浊度（散射浑浊度单位）、臭和味、肉眼可见物、</w:t>
      </w: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pH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、铝、铁、锰、铜、锌、氯化物、</w:t>
      </w: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硫酸盐、溶解性总固体、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总硬度（以CaCO₃计）</w:t>
      </w:r>
      <w:r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高锰酸盐指数（以O₂计）、氨（以N计）。</w:t>
      </w:r>
    </w:p>
    <w:p w14:paraId="085C64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3、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eastAsia="zh-CN"/>
        </w:rPr>
        <w:t>样品采集地点：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由采购人提供各乡镇和水厂联系人员及联系方式，由检测公司自行前往水样采集地采集水样；水样采集、保存应符合《生活饮用水标准检验方法》（GB/T5750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-2023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）的规定。</w:t>
      </w:r>
    </w:p>
    <w:p w14:paraId="6837E1E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4、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eastAsia="zh-CN"/>
        </w:rPr>
        <w:t>采集</w:t>
      </w:r>
      <w:r>
        <w:rPr>
          <w:rFonts w:hint="eastAsia" w:ascii="宋体" w:hAnsi="宋体" w:eastAsia="宋体" w:cs="宋体"/>
          <w:b/>
          <w:bCs/>
          <w:color w:val="auto"/>
          <w:sz w:val="28"/>
          <w:szCs w:val="28"/>
          <w:lang w:val="en-US" w:eastAsia="zh-CN"/>
        </w:rPr>
        <w:t>数量：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每年4次（每季度一次）对全县27座千吨万人水厂出厂水、末梢水进行检测，每年2次（丰水期、枯水期各一次）对全县280处小型供水工程出厂水、末梢水及全县357个行政村东南西北中典型水样进行检测，每处水样各出具一份水质检测报告；同时，服务期内需无条件配合采购人完成因信访投诉、应急处置等特殊情况产生的约20个水样的临时检测任务，并出具水质检测报告，相关费用已包含在总报价中。</w:t>
      </w:r>
    </w:p>
    <w:p w14:paraId="0A50A0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textAlignment w:val="auto"/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5、水质检测标准：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水质检测标准须符合《生活饮用水卫生标准》（GB 5749-2022）中相关标准及规范要求，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水质检测方法应符合《生活饮用水标准检验方法》（GB/T5750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-2023</w:t>
      </w:r>
      <w:r>
        <w:rPr>
          <w:rFonts w:hint="eastAsia" w:ascii="宋体" w:hAnsi="宋体" w:eastAsia="宋体" w:cs="宋体"/>
          <w:color w:val="auto"/>
          <w:sz w:val="28"/>
          <w:szCs w:val="28"/>
          <w:lang w:eastAsia="zh-CN"/>
        </w:rPr>
        <w:t>）的规定。</w:t>
      </w:r>
    </w:p>
    <w:p w14:paraId="527BFCE3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textAlignment w:val="baseline"/>
        <w:rPr>
          <w:rFonts w:hint="eastAsia" w:ascii="宋体" w:hAnsi="宋体" w:eastAsia="宋体" w:cs="宋体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6、</w:t>
      </w:r>
      <w:r>
        <w:rPr>
          <w:rFonts w:hint="eastAsia" w:ascii="宋体" w:hAnsi="宋体" w:eastAsia="宋体" w:cs="宋体"/>
          <w:b/>
          <w:bCs/>
          <w:sz w:val="28"/>
          <w:szCs w:val="28"/>
        </w:rPr>
        <w:t>质量要求</w:t>
      </w:r>
      <w:r>
        <w:rPr>
          <w:rFonts w:hint="eastAsia" w:ascii="宋体" w:hAnsi="宋体" w:eastAsia="宋体" w:cs="宋体"/>
          <w:b/>
          <w:bCs/>
          <w:sz w:val="28"/>
          <w:szCs w:val="28"/>
          <w:lang w:eastAsia="zh-CN"/>
        </w:rPr>
        <w:t>：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响应供应商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必须现场取样，提供具有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法律效应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的正式报告，对检测成果负责。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响应供应商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提供的正式报告，如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采购人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或群众存疑，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采购人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可以委托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其他权威第三方检测机构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进行复核，如果复核结果与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成交供应商出具的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结果相差较大的话，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采购人有权解除合同并要求供应商进行违约赔偿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。</w:t>
      </w:r>
    </w:p>
    <w:p w14:paraId="34AD6A85">
      <w:pPr>
        <w:keepNext w:val="0"/>
        <w:keepLines w:val="0"/>
        <w:pageBreakBefore w:val="0"/>
        <w:widowControl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firstLine="0" w:firstLineChars="0"/>
        <w:textAlignment w:val="baseline"/>
        <w:rPr>
          <w:rFonts w:hint="default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highlight w:val="none"/>
          <w:lang w:val="en-US" w:eastAsia="zh-CN"/>
        </w:rPr>
        <w:t>（六）商务要求</w:t>
      </w:r>
    </w:p>
    <w:p w14:paraId="664EDA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0" w:firstLineChars="0"/>
        <w:jc w:val="both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（一）履行期限、地点、方式</w:t>
      </w:r>
    </w:p>
    <w:p w14:paraId="3A45AF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1.履行期限：合同签订后1年内。</w:t>
      </w:r>
    </w:p>
    <w:p w14:paraId="11F748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2.履行地点：具体地点由采购人指定，全县</w:t>
      </w:r>
      <w:r>
        <w:rPr>
          <w:rFonts w:hint="eastAsia" w:ascii="宋体" w:hAnsi="宋体" w:eastAsia="宋体" w:cs="宋体"/>
          <w:color w:val="auto"/>
          <w:sz w:val="28"/>
          <w:szCs w:val="28"/>
          <w:lang w:val="en-US" w:eastAsia="zh-CN"/>
        </w:rPr>
        <w:t>27座千吨万人水厂和280处小型供水工程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出厂水、末梢水及全县357个行政村东南西北中典型水样。</w:t>
      </w:r>
    </w:p>
    <w:p w14:paraId="209CFE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560" w:firstLineChars="200"/>
        <w:jc w:val="both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3.合同履行期限：合同签订后按采购人要求进行取样接样，并在接样后16个工作日内必须出具检测评价报告（纸质版及扫描件）并送至采购单位。</w:t>
      </w:r>
    </w:p>
    <w:p w14:paraId="1A9D1978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ind w:firstLine="560" w:firstLineChars="200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.付款方式：向采购人提供第一批次检测报告并验收合格后，支付至合同总金额的60%，完成第二批次检测报告并验收合格后，支付至合同总金额的80%，剩余金额在提供所有检测报告并验收合格后的一个月内一次性付清。</w:t>
      </w:r>
    </w:p>
    <w:p w14:paraId="236CF25B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 5.服务响应：在接到采购人通知后须在6小时内响应做出响应并开始处理，专业技术人员在24小时内到达现场进行服务。</w:t>
      </w:r>
    </w:p>
    <w:p w14:paraId="414A72BF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检测时效：接样后16个工作日内必须出具检测评价报告（纸质版及扫描件）并送至采购单位，每延迟一天扣除总额费用的1%。</w:t>
      </w:r>
    </w:p>
    <w:p w14:paraId="48E75DE0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6.预算金额包含但不限于采样取样、人</w:t>
      </w:r>
      <w:bookmarkStart w:id="0" w:name="_GoBack"/>
      <w:bookmarkEnd w:id="0"/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工、取样检测、第三方送检等一切费用。</w:t>
      </w:r>
    </w:p>
    <w:p w14:paraId="57F053DC">
      <w:pPr>
        <w:keepNext w:val="0"/>
        <w:keepLines w:val="0"/>
        <w:pageBreakBefore w:val="0"/>
        <w:wordWrap/>
        <w:overflowPunct/>
        <w:topLinePunct w:val="0"/>
        <w:bidi w:val="0"/>
        <w:spacing w:line="360" w:lineRule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  7.验收方式：项目的验收应由采购方按国家标准、行业标准进行质量验收。验收中发现服务达不到验收标准或合同的规定，成交供应商必须免费进行整改，并且承担由此对采购方造成的损失。</w:t>
      </w:r>
    </w:p>
    <w:p w14:paraId="6EB21C2D">
      <w:pPr>
        <w:jc w:val="both"/>
        <w:rPr>
          <w:rFonts w:hint="default"/>
          <w:b/>
          <w:bCs/>
          <w:sz w:val="28"/>
          <w:szCs w:val="28"/>
          <w:lang w:val="en-US" w:eastAsia="zh-CN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78491A"/>
    <w:rsid w:val="22175F93"/>
    <w:rsid w:val="5B78491A"/>
    <w:rsid w:val="62D43425"/>
    <w:rsid w:val="6F732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uiPriority w:val="0"/>
  </w:style>
  <w:style w:type="table" w:default="1" w:styleId="8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ind w:firstLine="420" w:firstLineChars="100"/>
    </w:pPr>
  </w:style>
  <w:style w:type="paragraph" w:styleId="3">
    <w:name w:val="Body Text"/>
    <w:basedOn w:val="1"/>
    <w:next w:val="2"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Body Text First Indent 2"/>
    <w:basedOn w:val="5"/>
    <w:qFormat/>
    <w:uiPriority w:val="0"/>
    <w:pPr>
      <w:ind w:firstLine="420"/>
    </w:pPr>
  </w:style>
  <w:style w:type="paragraph" w:styleId="5">
    <w:name w:val="Body Text Indent"/>
    <w:basedOn w:val="1"/>
    <w:next w:val="4"/>
    <w:qFormat/>
    <w:uiPriority w:val="0"/>
    <w:pPr>
      <w:ind w:firstLine="501" w:firstLineChars="179"/>
    </w:pPr>
    <w:rPr>
      <w:rFonts w:eastAsia="仿宋_GB2312"/>
      <w:sz w:val="30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7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character" w:styleId="10">
    <w:name w:val="page number"/>
    <w:basedOn w:val="9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3316</Words>
  <Characters>3539</Characters>
  <Lines>0</Lines>
  <Paragraphs>0</Paragraphs>
  <TotalTime>0</TotalTime>
  <ScaleCrop>false</ScaleCrop>
  <LinksUpToDate>false</LinksUpToDate>
  <CharactersWithSpaces>3569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2026-05-29T01:30:00Z</dcterms:created>
  <dc:creator>Administrator</dc:creator>
  <cp:lastModifiedBy>Administrator</cp:lastModifiedBy>
  <dcterms:modified xsi:type="dcterms:W3CDTF">2026-06-09T01:10:14Z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42D40B81F3354D86BA3F1B8C788A9364_11</vt:lpwstr>
  </property>
  <property fmtid="{D5CDD505-2E9C-101B-9397-08002B2CF9AE}" pid="4" name="KSOTemplateDocerSaveRecord">
    <vt:lpwstr>eyJoZGlkIjoiYzdlZjk3OTRiYTlhZDFlM2RkZmVlODRhYjRkY2VkMTIiLCJ1c2VySWQiOiIyMzgwNDM3NTUifQ==</vt:lpwstr>
  </property>
</Properties>
</file>