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82947D">
      <w:pPr>
        <w:widowControl w:val="0"/>
        <w:spacing w:before="78" w:line="219" w:lineRule="auto"/>
        <w:rPr>
          <w:rFonts w:ascii="宋体" w:hAnsi="宋体" w:eastAsia="宋体" w:cs="宋体"/>
          <w:color w:val="auto"/>
          <w:sz w:val="24"/>
          <w:szCs w:val="24"/>
        </w:rPr>
      </w:pPr>
      <w:r>
        <w:rPr>
          <w:rFonts w:ascii="宋体" w:hAnsi="宋体" w:eastAsia="宋体" w:cs="宋体"/>
          <w:color w:val="auto"/>
          <w:spacing w:val="-5"/>
          <w:sz w:val="24"/>
          <w:szCs w:val="24"/>
        </w:rPr>
        <w:t>（一）</w:t>
      </w:r>
      <w:r>
        <w:rPr>
          <w:rFonts w:ascii="宋体" w:hAnsi="宋体" w:eastAsia="宋体" w:cs="宋体"/>
          <w:color w:val="auto"/>
          <w:spacing w:val="25"/>
          <w:sz w:val="24"/>
          <w:szCs w:val="24"/>
        </w:rPr>
        <w:t xml:space="preserve"> </w:t>
      </w:r>
      <w:r>
        <w:rPr>
          <w:rFonts w:hint="eastAsia" w:ascii="宋体" w:hAnsi="宋体" w:eastAsia="宋体" w:cs="宋体"/>
          <w:color w:val="auto"/>
          <w:spacing w:val="-5"/>
          <w:sz w:val="24"/>
          <w:szCs w:val="24"/>
          <w:lang w:eastAsia="zh-CN"/>
        </w:rPr>
        <w:t>服务</w:t>
      </w:r>
      <w:r>
        <w:rPr>
          <w:rFonts w:ascii="宋体" w:hAnsi="宋体" w:eastAsia="宋体" w:cs="宋体"/>
          <w:color w:val="auto"/>
          <w:spacing w:val="-5"/>
          <w:sz w:val="24"/>
          <w:szCs w:val="24"/>
        </w:rPr>
        <w:t>需求</w:t>
      </w:r>
    </w:p>
    <w:p w14:paraId="4D5165A7">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（1）服务明细</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742"/>
        <w:gridCol w:w="1985"/>
        <w:gridCol w:w="1945"/>
        <w:gridCol w:w="1847"/>
        <w:gridCol w:w="925"/>
        <w:gridCol w:w="882"/>
      </w:tblGrid>
      <w:tr w14:paraId="15490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207BA67B">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序号</w:t>
            </w:r>
          </w:p>
        </w:tc>
        <w:tc>
          <w:tcPr>
            <w:tcW w:w="2126" w:type="dxa"/>
            <w:vAlign w:val="center"/>
          </w:tcPr>
          <w:p w14:paraId="42B49B48">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种类</w:t>
            </w:r>
          </w:p>
        </w:tc>
        <w:tc>
          <w:tcPr>
            <w:tcW w:w="2126" w:type="dxa"/>
            <w:vAlign w:val="center"/>
          </w:tcPr>
          <w:p w14:paraId="009AD1D7">
            <w:pPr>
              <w:widowControl w:val="0"/>
              <w:spacing w:before="1" w:line="360" w:lineRule="auto"/>
              <w:jc w:val="center"/>
              <w:rPr>
                <w:rFonts w:ascii="宋体" w:hAnsi="宋体" w:eastAsia="宋体" w:cs="宋体"/>
                <w:color w:val="auto"/>
                <w:spacing w:val="-1"/>
                <w:sz w:val="24"/>
                <w:szCs w:val="24"/>
                <w:lang w:eastAsia="zh-CN"/>
              </w:rPr>
            </w:pPr>
            <w:bookmarkStart w:id="0" w:name="OLE_LINK6"/>
            <w:bookmarkStart w:id="1" w:name="OLE_LINK5"/>
            <w:r>
              <w:rPr>
                <w:rFonts w:hint="eastAsia" w:ascii="宋体" w:hAnsi="宋体" w:eastAsia="宋体" w:cs="宋体"/>
                <w:color w:val="auto"/>
                <w:spacing w:val="-1"/>
                <w:sz w:val="24"/>
                <w:szCs w:val="24"/>
                <w:lang w:eastAsia="zh-CN"/>
              </w:rPr>
              <w:t>出具鉴定结论时限</w:t>
            </w:r>
            <w:bookmarkEnd w:id="0"/>
            <w:bookmarkEnd w:id="1"/>
            <w:bookmarkStart w:id="2" w:name="OLE_LINK1"/>
            <w:bookmarkStart w:id="3" w:name="OLE_LINK4"/>
            <w:r>
              <w:rPr>
                <w:rFonts w:hint="eastAsia" w:ascii="宋体" w:hAnsi="宋体" w:eastAsia="宋体" w:cs="宋体"/>
                <w:color w:val="auto"/>
                <w:spacing w:val="-1"/>
                <w:sz w:val="24"/>
                <w:szCs w:val="24"/>
                <w:lang w:eastAsia="zh-CN"/>
              </w:rPr>
              <w:t>（日历天）</w:t>
            </w:r>
            <w:bookmarkEnd w:id="2"/>
            <w:bookmarkEnd w:id="3"/>
          </w:p>
        </w:tc>
        <w:tc>
          <w:tcPr>
            <w:tcW w:w="2016" w:type="dxa"/>
          </w:tcPr>
          <w:p w14:paraId="4FD46464">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送达正式报告时限（日历天）含出具鉴定结论时限</w:t>
            </w:r>
          </w:p>
        </w:tc>
        <w:tc>
          <w:tcPr>
            <w:tcW w:w="993" w:type="dxa"/>
            <w:vAlign w:val="center"/>
          </w:tcPr>
          <w:p w14:paraId="0475D031">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数量</w:t>
            </w:r>
          </w:p>
        </w:tc>
        <w:tc>
          <w:tcPr>
            <w:tcW w:w="960" w:type="dxa"/>
            <w:vAlign w:val="center"/>
          </w:tcPr>
          <w:p w14:paraId="1FBEAFA3">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单位</w:t>
            </w:r>
          </w:p>
        </w:tc>
      </w:tr>
      <w:tr w14:paraId="0D2E1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68CB2003">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w:t>
            </w:r>
          </w:p>
        </w:tc>
        <w:tc>
          <w:tcPr>
            <w:tcW w:w="2126" w:type="dxa"/>
            <w:vAlign w:val="center"/>
          </w:tcPr>
          <w:p w14:paraId="75C0C162">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涉案需要的车辆安全技术性能鉴定</w:t>
            </w:r>
          </w:p>
        </w:tc>
        <w:tc>
          <w:tcPr>
            <w:tcW w:w="2126" w:type="dxa"/>
            <w:vAlign w:val="center"/>
          </w:tcPr>
          <w:p w14:paraId="5C7ECA7B">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3181291C">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08E7FE99">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200</w:t>
            </w:r>
          </w:p>
        </w:tc>
        <w:tc>
          <w:tcPr>
            <w:tcW w:w="960" w:type="dxa"/>
            <w:vAlign w:val="center"/>
          </w:tcPr>
          <w:p w14:paraId="2AEB682C">
            <w:pPr>
              <w:widowControl w:val="0"/>
              <w:spacing w:before="1" w:line="360" w:lineRule="auto"/>
              <w:jc w:val="center"/>
              <w:rPr>
                <w:rFonts w:ascii="宋体" w:hAnsi="宋体" w:eastAsia="宋体" w:cs="宋体"/>
                <w:color w:val="auto"/>
                <w:spacing w:val="-1"/>
                <w:sz w:val="24"/>
                <w:szCs w:val="24"/>
                <w:lang w:eastAsia="zh-CN"/>
              </w:rPr>
            </w:pPr>
            <w:bookmarkStart w:id="4" w:name="OLE_LINK7"/>
            <w:r>
              <w:rPr>
                <w:rFonts w:hint="eastAsia" w:ascii="宋体" w:hAnsi="宋体" w:eastAsia="宋体" w:cs="宋体"/>
                <w:color w:val="auto"/>
                <w:spacing w:val="-1"/>
                <w:sz w:val="24"/>
                <w:szCs w:val="24"/>
                <w:lang w:eastAsia="zh-CN"/>
              </w:rPr>
              <w:t>次</w:t>
            </w:r>
            <w:bookmarkEnd w:id="4"/>
          </w:p>
        </w:tc>
      </w:tr>
      <w:tr w14:paraId="7658A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446A1B86">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2</w:t>
            </w:r>
          </w:p>
        </w:tc>
        <w:tc>
          <w:tcPr>
            <w:tcW w:w="2126" w:type="dxa"/>
            <w:vAlign w:val="center"/>
          </w:tcPr>
          <w:p w14:paraId="65D183CE">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车速鉴定（包含路面痕迹、视频）</w:t>
            </w:r>
          </w:p>
        </w:tc>
        <w:tc>
          <w:tcPr>
            <w:tcW w:w="2126" w:type="dxa"/>
            <w:vAlign w:val="center"/>
          </w:tcPr>
          <w:p w14:paraId="5BE8819E">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72F74CFD">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7024CEC5">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130</w:t>
            </w:r>
          </w:p>
        </w:tc>
        <w:tc>
          <w:tcPr>
            <w:tcW w:w="960" w:type="dxa"/>
            <w:vAlign w:val="center"/>
          </w:tcPr>
          <w:p w14:paraId="59C2CB9D">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1DDC3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500B76C5">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3</w:t>
            </w:r>
          </w:p>
        </w:tc>
        <w:tc>
          <w:tcPr>
            <w:tcW w:w="2126" w:type="dxa"/>
            <w:vAlign w:val="center"/>
          </w:tcPr>
          <w:p w14:paraId="0540F4F5">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外观痕迹物证鉴定</w:t>
            </w:r>
          </w:p>
        </w:tc>
        <w:tc>
          <w:tcPr>
            <w:tcW w:w="2126" w:type="dxa"/>
            <w:vAlign w:val="center"/>
          </w:tcPr>
          <w:p w14:paraId="59805262">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4A2B328E">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6D31DB31">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870</w:t>
            </w:r>
          </w:p>
        </w:tc>
        <w:tc>
          <w:tcPr>
            <w:tcW w:w="960" w:type="dxa"/>
            <w:vAlign w:val="center"/>
          </w:tcPr>
          <w:p w14:paraId="6F3A97A5">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0F7CC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257B59C4">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4</w:t>
            </w:r>
          </w:p>
        </w:tc>
        <w:tc>
          <w:tcPr>
            <w:tcW w:w="2126" w:type="dxa"/>
            <w:vAlign w:val="center"/>
          </w:tcPr>
          <w:p w14:paraId="099077D1">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机非属性鉴定</w:t>
            </w:r>
          </w:p>
        </w:tc>
        <w:tc>
          <w:tcPr>
            <w:tcW w:w="2126" w:type="dxa"/>
            <w:vAlign w:val="center"/>
          </w:tcPr>
          <w:p w14:paraId="79037B14">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438CC74F">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545D6CD3">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200</w:t>
            </w:r>
          </w:p>
        </w:tc>
        <w:tc>
          <w:tcPr>
            <w:tcW w:w="960" w:type="dxa"/>
            <w:vAlign w:val="center"/>
          </w:tcPr>
          <w:p w14:paraId="1E963199">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1F76F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1CEE2E62">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126" w:type="dxa"/>
            <w:vAlign w:val="center"/>
          </w:tcPr>
          <w:p w14:paraId="14E4C5A3">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法医毒物鉴定（血液中乙醇含量测定）</w:t>
            </w:r>
          </w:p>
        </w:tc>
        <w:tc>
          <w:tcPr>
            <w:tcW w:w="2126" w:type="dxa"/>
            <w:vAlign w:val="center"/>
          </w:tcPr>
          <w:p w14:paraId="3B43B79F">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2</w:t>
            </w:r>
          </w:p>
        </w:tc>
        <w:tc>
          <w:tcPr>
            <w:tcW w:w="2016" w:type="dxa"/>
            <w:vAlign w:val="center"/>
          </w:tcPr>
          <w:p w14:paraId="22ABB30B">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3</w:t>
            </w:r>
          </w:p>
        </w:tc>
        <w:tc>
          <w:tcPr>
            <w:tcW w:w="993" w:type="dxa"/>
            <w:vAlign w:val="center"/>
          </w:tcPr>
          <w:p w14:paraId="104AD342">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300</w:t>
            </w:r>
          </w:p>
        </w:tc>
        <w:tc>
          <w:tcPr>
            <w:tcW w:w="960" w:type="dxa"/>
            <w:vAlign w:val="center"/>
          </w:tcPr>
          <w:p w14:paraId="1BAF57F1">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08CB2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51899D26">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6</w:t>
            </w:r>
          </w:p>
        </w:tc>
        <w:tc>
          <w:tcPr>
            <w:tcW w:w="2126" w:type="dxa"/>
            <w:vAlign w:val="center"/>
          </w:tcPr>
          <w:p w14:paraId="3AC2C74F">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法医临床鉴定（损伤程度鉴定）</w:t>
            </w:r>
          </w:p>
        </w:tc>
        <w:tc>
          <w:tcPr>
            <w:tcW w:w="2126" w:type="dxa"/>
            <w:vAlign w:val="center"/>
          </w:tcPr>
          <w:p w14:paraId="35FE6680">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38C5A238">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4A9E475D">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60</w:t>
            </w:r>
          </w:p>
        </w:tc>
        <w:tc>
          <w:tcPr>
            <w:tcW w:w="960" w:type="dxa"/>
            <w:vAlign w:val="center"/>
          </w:tcPr>
          <w:p w14:paraId="7DC2F4CE">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41651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0F6A214F">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2126" w:type="dxa"/>
            <w:vAlign w:val="center"/>
          </w:tcPr>
          <w:p w14:paraId="62C4913B">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法医病理鉴定（尸表检验）</w:t>
            </w:r>
          </w:p>
        </w:tc>
        <w:tc>
          <w:tcPr>
            <w:tcW w:w="2126" w:type="dxa"/>
            <w:vAlign w:val="center"/>
          </w:tcPr>
          <w:p w14:paraId="4C2C3B64">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30D23B61">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72778D3D">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80</w:t>
            </w:r>
          </w:p>
        </w:tc>
        <w:tc>
          <w:tcPr>
            <w:tcW w:w="960" w:type="dxa"/>
            <w:vAlign w:val="center"/>
          </w:tcPr>
          <w:p w14:paraId="4B8F2C3E">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7C3B3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1E2F62CF">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8</w:t>
            </w:r>
          </w:p>
        </w:tc>
        <w:tc>
          <w:tcPr>
            <w:tcW w:w="2126" w:type="dxa"/>
            <w:vAlign w:val="center"/>
          </w:tcPr>
          <w:p w14:paraId="2F1B5FA9">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法医病理鉴定（尸体解剖）</w:t>
            </w:r>
          </w:p>
        </w:tc>
        <w:tc>
          <w:tcPr>
            <w:tcW w:w="2126" w:type="dxa"/>
            <w:vAlign w:val="center"/>
          </w:tcPr>
          <w:p w14:paraId="4A292571">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17DD9FB4">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0C0FE4A2">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6</w:t>
            </w:r>
          </w:p>
        </w:tc>
        <w:tc>
          <w:tcPr>
            <w:tcW w:w="960" w:type="dxa"/>
            <w:vAlign w:val="center"/>
          </w:tcPr>
          <w:p w14:paraId="647A60E6">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129CB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216B16FB">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9</w:t>
            </w:r>
          </w:p>
        </w:tc>
        <w:tc>
          <w:tcPr>
            <w:tcW w:w="2126" w:type="dxa"/>
            <w:vAlign w:val="center"/>
          </w:tcPr>
          <w:p w14:paraId="395E4C9E">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道路交通事故痕迹物证鉴定（车辆EDR/VDR数据读取）</w:t>
            </w:r>
          </w:p>
        </w:tc>
        <w:tc>
          <w:tcPr>
            <w:tcW w:w="2126" w:type="dxa"/>
            <w:vAlign w:val="center"/>
          </w:tcPr>
          <w:p w14:paraId="4A5B6ED6">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4EE5F7C2">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3377EE1E">
            <w:pPr>
              <w:widowControl w:val="0"/>
              <w:spacing w:before="1" w:line="360" w:lineRule="auto"/>
              <w:jc w:val="center"/>
              <w:rPr>
                <w:rFonts w:ascii="宋体" w:hAnsi="宋体" w:eastAsia="宋体"/>
                <w:spacing w:val="-1"/>
                <w:sz w:val="24"/>
                <w:szCs w:val="24"/>
              </w:rPr>
            </w:pPr>
            <w:r>
              <w:rPr>
                <w:rFonts w:hint="eastAsia" w:ascii="宋体" w:hAnsi="宋体" w:eastAsia="宋体"/>
                <w:spacing w:val="-1"/>
                <w:sz w:val="24"/>
                <w:szCs w:val="24"/>
                <w:lang w:eastAsia="zh-CN"/>
              </w:rPr>
              <w:t>5</w:t>
            </w:r>
          </w:p>
        </w:tc>
        <w:tc>
          <w:tcPr>
            <w:tcW w:w="960" w:type="dxa"/>
            <w:vAlign w:val="center"/>
          </w:tcPr>
          <w:p w14:paraId="7BB6198B">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68678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803" w:type="dxa"/>
            <w:vAlign w:val="center"/>
          </w:tcPr>
          <w:p w14:paraId="33FF230E">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10</w:t>
            </w:r>
          </w:p>
        </w:tc>
        <w:tc>
          <w:tcPr>
            <w:tcW w:w="2126" w:type="dxa"/>
            <w:vAlign w:val="center"/>
          </w:tcPr>
          <w:p w14:paraId="15704193">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道路交通事故信号灯指示状态鉴定</w:t>
            </w:r>
          </w:p>
        </w:tc>
        <w:tc>
          <w:tcPr>
            <w:tcW w:w="2126" w:type="dxa"/>
            <w:vAlign w:val="center"/>
          </w:tcPr>
          <w:p w14:paraId="41DBE48E">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w:t>
            </w:r>
          </w:p>
        </w:tc>
        <w:tc>
          <w:tcPr>
            <w:tcW w:w="2016" w:type="dxa"/>
            <w:vAlign w:val="center"/>
          </w:tcPr>
          <w:p w14:paraId="5178D560">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p>
        </w:tc>
        <w:tc>
          <w:tcPr>
            <w:tcW w:w="993" w:type="dxa"/>
            <w:vAlign w:val="center"/>
          </w:tcPr>
          <w:p w14:paraId="150B3E62">
            <w:pPr>
              <w:widowControl w:val="0"/>
              <w:spacing w:before="1" w:line="360" w:lineRule="auto"/>
              <w:jc w:val="center"/>
              <w:rPr>
                <w:rFonts w:ascii="宋体" w:hAnsi="宋体" w:eastAsiaTheme="minorEastAsia"/>
                <w:spacing w:val="-1"/>
                <w:sz w:val="24"/>
                <w:szCs w:val="24"/>
                <w:lang w:eastAsia="zh-CN"/>
              </w:rPr>
            </w:pPr>
            <w:r>
              <w:rPr>
                <w:rFonts w:hint="eastAsia" w:ascii="宋体" w:hAnsi="宋体" w:eastAsiaTheme="minorEastAsia"/>
                <w:spacing w:val="-1"/>
                <w:sz w:val="24"/>
                <w:szCs w:val="24"/>
                <w:lang w:eastAsia="zh-CN"/>
              </w:rPr>
              <w:t>3</w:t>
            </w:r>
          </w:p>
        </w:tc>
        <w:tc>
          <w:tcPr>
            <w:tcW w:w="960" w:type="dxa"/>
            <w:vAlign w:val="center"/>
          </w:tcPr>
          <w:p w14:paraId="7B5B6BCF">
            <w:pPr>
              <w:widowControl w:val="0"/>
              <w:spacing w:before="1" w:line="360" w:lineRule="auto"/>
              <w:jc w:val="center"/>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次</w:t>
            </w:r>
          </w:p>
        </w:tc>
      </w:tr>
      <w:tr w14:paraId="150ED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0" w:hRule="atLeast"/>
          <w:jc w:val="center"/>
        </w:trPr>
        <w:tc>
          <w:tcPr>
            <w:tcW w:w="9024" w:type="dxa"/>
            <w:gridSpan w:val="6"/>
          </w:tcPr>
          <w:p w14:paraId="48CC54B9">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注：</w:t>
            </w:r>
          </w:p>
          <w:p w14:paraId="462056A7">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1、以上时间从采购人办案部门委托之日起计算，如遇重特大交通事故、肇事逃逸、涉外及采购人认为紧急的其他特殊情况，投标人需在采购人另外要求的时限</w:t>
            </w:r>
            <w:r>
              <w:rPr>
                <w:rFonts w:ascii="宋体" w:hAnsi="宋体" w:eastAsia="宋体" w:cs="宋体"/>
                <w:color w:val="auto"/>
                <w:spacing w:val="-1"/>
                <w:sz w:val="24"/>
                <w:szCs w:val="24"/>
                <w:lang w:eastAsia="zh-CN"/>
              </w:rPr>
              <w:t>(</w:t>
            </w:r>
            <w:r>
              <w:rPr>
                <w:rFonts w:hint="eastAsia" w:ascii="宋体" w:hAnsi="宋体" w:eastAsia="宋体" w:cs="宋体"/>
                <w:color w:val="auto"/>
                <w:spacing w:val="-1"/>
                <w:sz w:val="24"/>
                <w:szCs w:val="24"/>
                <w:lang w:eastAsia="zh-CN"/>
              </w:rPr>
              <w:t>具体时限以采购人的办案部门要求为准</w:t>
            </w:r>
            <w:r>
              <w:rPr>
                <w:rFonts w:ascii="宋体" w:hAnsi="宋体" w:eastAsia="宋体" w:cs="宋体"/>
                <w:color w:val="auto"/>
                <w:spacing w:val="-1"/>
                <w:sz w:val="24"/>
                <w:szCs w:val="24"/>
                <w:lang w:eastAsia="zh-CN"/>
              </w:rPr>
              <w:t>)</w:t>
            </w:r>
            <w:r>
              <w:rPr>
                <w:rFonts w:hint="eastAsia" w:ascii="宋体" w:hAnsi="宋体" w:eastAsia="宋体" w:cs="宋体"/>
                <w:color w:val="auto"/>
                <w:spacing w:val="-1"/>
                <w:sz w:val="24"/>
                <w:szCs w:val="24"/>
                <w:lang w:eastAsia="zh-CN"/>
              </w:rPr>
              <w:t>内完成。</w:t>
            </w:r>
          </w:p>
          <w:p w14:paraId="1A5BCC9F">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2、按委托单提交次数为准，不同类别的鉴定项目需分别委托；</w:t>
            </w:r>
          </w:p>
          <w:p w14:paraId="6233F31B">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3、本项目采购</w:t>
            </w:r>
            <w:bookmarkStart w:id="5" w:name="OLE_LINK2"/>
            <w:bookmarkStart w:id="6" w:name="OLE_LINK3"/>
            <w:r>
              <w:rPr>
                <w:rFonts w:hint="eastAsia" w:ascii="宋体" w:hAnsi="宋体" w:eastAsia="宋体" w:cs="宋体"/>
                <w:color w:val="auto"/>
                <w:spacing w:val="-1"/>
                <w:sz w:val="24"/>
                <w:szCs w:val="24"/>
                <w:lang w:eastAsia="zh-CN"/>
              </w:rPr>
              <w:t>预算</w:t>
            </w:r>
            <w:bookmarkEnd w:id="5"/>
            <w:bookmarkEnd w:id="6"/>
            <w:r>
              <w:rPr>
                <w:rFonts w:hint="eastAsia" w:ascii="宋体" w:hAnsi="宋体" w:eastAsia="宋体" w:cs="宋体"/>
                <w:color w:val="auto"/>
                <w:spacing w:val="-1"/>
                <w:sz w:val="24"/>
                <w:szCs w:val="24"/>
                <w:lang w:eastAsia="zh-CN"/>
              </w:rPr>
              <w:t>为81万元/年，投标人的报价不得超过采购预算价及最高限价，分项报价自行拟订，如服务费用超出合同约定总价款，则超出部分采购人不予支付，合同期结束时如服务费未超出合同价，则按单价司法鉴定服务种类单价*数量据实结算。</w:t>
            </w:r>
          </w:p>
        </w:tc>
      </w:tr>
    </w:tbl>
    <w:p w14:paraId="69C65BAD">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（2）服务要求</w:t>
      </w:r>
    </w:p>
    <w:p w14:paraId="246580DE">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1、必须在约定的时间内完成相关检验鉴定，如遇重特大交通事故、肇事逃逸、涉外及采购人认为紧急的其他特殊情况，投标人需在采购人另外要求的时限（具体时限以采购人的办</w:t>
      </w:r>
      <w:bookmarkStart w:id="17" w:name="_GoBack"/>
      <w:bookmarkEnd w:id="17"/>
      <w:r>
        <w:rPr>
          <w:rFonts w:hint="eastAsia" w:ascii="宋体" w:hAnsi="宋体" w:eastAsia="宋体" w:cs="宋体"/>
          <w:color w:val="auto"/>
          <w:spacing w:val="-1"/>
          <w:sz w:val="24"/>
          <w:szCs w:val="24"/>
          <w:lang w:eastAsia="zh-CN"/>
        </w:rPr>
        <w:t>案部门要求为准）内完成。</w:t>
      </w:r>
    </w:p>
    <w:p w14:paraId="14816BBC">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2、必须具备24小时内完成鉴定报告并送达受委托单位的能力。</w:t>
      </w:r>
    </w:p>
    <w:p w14:paraId="05838B1D">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3、人员要求：</w:t>
      </w:r>
    </w:p>
    <w:p w14:paraId="48FB6519">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①根据江西省司法厅《赣司规字［2020］2号》文件，“交通事故痕迹物证鉴定”包含：车辆技术安全技术状况鉴定、交通事故痕迹鉴定、车辆速度鉴定、交通事故痕迹物证综合鉴定等，日常交通事故痕迹鉴定必须2名有全项资质的鉴定人到场鉴定，业主单位管辖区域每天同时不同地发生2起以上交通事故概率较高，所以供应商必须提供车辆痕迹鉴定人员全项资质人员至少4人，每位鉴定人员执业范围必须包含车辆技术安全技术状况鉴定、交通事故痕迹鉴定、车辆速度鉴定、交通事故痕迹物证综合鉴定，严禁临时聘用或者外聘不具备资质辅助人员到现场取证。</w:t>
      </w:r>
      <w:r>
        <w:rPr>
          <w:rFonts w:hint="eastAsia" w:ascii="宋体" w:hAnsi="宋体" w:eastAsia="宋体" w:cs="宋体"/>
          <w:b/>
          <w:color w:val="auto"/>
          <w:spacing w:val="-1"/>
          <w:sz w:val="24"/>
          <w:szCs w:val="24"/>
          <w:lang w:eastAsia="zh-CN"/>
        </w:rPr>
        <w:t>（响应文件中提供司法鉴定人员花名册及《司法鉴定人执业证》，执业范围为：“痕迹（限交通事故痕迹物证）鉴定或包含以上全项，否则视为不响应作无效投标处理）</w:t>
      </w:r>
      <w:r>
        <w:rPr>
          <w:rFonts w:hint="eastAsia" w:ascii="宋体" w:hAnsi="宋体" w:eastAsia="宋体" w:cs="宋体"/>
          <w:color w:val="auto"/>
          <w:spacing w:val="-1"/>
          <w:sz w:val="24"/>
          <w:szCs w:val="24"/>
          <w:lang w:eastAsia="zh-CN"/>
        </w:rPr>
        <w:t>。</w:t>
      </w:r>
    </w:p>
    <w:p w14:paraId="3ADF70D0">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②供应商需具备1名有鉴定及沟通能力较强的车辆鉴定项目负责人，负责与采购人办案民警对接日常案件信息，回复采购人办案过程中的鉴定相关咨询分析，并及时解决采购人案件鉴定过程中遇到的各种问题；该负责人需持有车辆鉴定全项范围的司法鉴定人证，即执业范围为：“痕迹（限交通事故痕迹物证）鉴定”或包含车辆技术安全技术状况鉴定、交通事故痕迹鉴定、车辆速度鉴定、交通事故痕迹物证综合鉴定；</w:t>
      </w:r>
      <w:r>
        <w:rPr>
          <w:rFonts w:hint="eastAsia" w:ascii="宋体" w:hAnsi="宋体" w:eastAsia="宋体" w:cs="宋体"/>
          <w:b/>
          <w:color w:val="auto"/>
          <w:spacing w:val="-1"/>
          <w:sz w:val="24"/>
          <w:szCs w:val="24"/>
          <w:lang w:eastAsia="zh-CN"/>
        </w:rPr>
        <w:t>（提供人员《司法鉴定人执业证》，否则视为不响应作无效投标处理）</w:t>
      </w:r>
      <w:r>
        <w:rPr>
          <w:rFonts w:hint="eastAsia" w:ascii="宋体" w:hAnsi="宋体" w:eastAsia="宋体" w:cs="宋体"/>
          <w:color w:val="auto"/>
          <w:spacing w:val="-1"/>
          <w:sz w:val="24"/>
          <w:szCs w:val="24"/>
          <w:lang w:eastAsia="zh-CN"/>
        </w:rPr>
        <w:t>。</w:t>
      </w:r>
    </w:p>
    <w:p w14:paraId="76A09998">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③供应商需具备2名法医临床及2名法医病理鉴定人员。</w:t>
      </w:r>
    </w:p>
    <w:p w14:paraId="117AC434">
      <w:pPr>
        <w:widowControl w:val="0"/>
        <w:spacing w:before="1" w:line="360" w:lineRule="auto"/>
        <w:rPr>
          <w:rFonts w:ascii="宋体" w:hAnsi="宋体" w:eastAsia="宋体" w:cs="宋体"/>
          <w:b/>
          <w:color w:val="auto"/>
          <w:spacing w:val="-1"/>
          <w:sz w:val="24"/>
          <w:szCs w:val="24"/>
          <w:lang w:eastAsia="zh-CN"/>
        </w:rPr>
      </w:pPr>
      <w:r>
        <w:rPr>
          <w:rFonts w:hint="eastAsia" w:ascii="宋体" w:hAnsi="宋体" w:eastAsia="宋体" w:cs="宋体"/>
          <w:color w:val="auto"/>
          <w:spacing w:val="-1"/>
          <w:sz w:val="24"/>
          <w:szCs w:val="24"/>
          <w:lang w:eastAsia="zh-CN"/>
        </w:rPr>
        <w:t>4、依照公安机关办理行政、刑事案件等程序相关规定，鉴于采购人本着及时送检，确保检材避免受温度等外在条件影响，提高工作效率，同时节约开支，降低送检人员路途风险，投标人应承诺具备全天候24小时随时接受检材条件，遇特殊需要，能及时派鉴定人员到达采购人指定的事故现场协助民警固定证据。为提高采购人办案效率及降低办案民警送检血液样品路途风险，成交供应商需承诺中标结果公示后</w:t>
      </w:r>
      <w:r>
        <w:rPr>
          <w:rFonts w:hint="eastAsia" w:ascii="宋体" w:hAnsi="宋体" w:eastAsia="宋体" w:cs="宋体"/>
          <w:color w:val="auto"/>
          <w:sz w:val="24"/>
          <w:szCs w:val="24"/>
          <w:lang w:eastAsia="zh-CN"/>
        </w:rPr>
        <w:t>60个自然</w:t>
      </w:r>
      <w:r>
        <w:rPr>
          <w:rFonts w:hint="eastAsia" w:ascii="宋体" w:hAnsi="宋体" w:eastAsia="宋体" w:cs="宋体"/>
          <w:color w:val="auto"/>
          <w:spacing w:val="-1"/>
          <w:sz w:val="24"/>
          <w:szCs w:val="24"/>
          <w:lang w:eastAsia="zh-CN"/>
        </w:rPr>
        <w:t>日内在距采购人单位地址所在地300公里内（含300公里）(以高德地图或百度地图或北斗地图路线图为准），设立完成经司法鉴定主管部门批准登记的工作对接场所，特殊案件能满足24小时内完成鉴定报告送达采购人。合同签定前采购人到成交供应商设立的工作对接场所进行核实，如未设立工作对接场所距离采购人单位的汽车车程距离超过300公里内（含300公里）的则视为虚假响应采购文件，取消其中标资格，成交供应商承担相应的法律责任。</w:t>
      </w:r>
      <w:r>
        <w:rPr>
          <w:rFonts w:hint="eastAsia" w:ascii="宋体" w:hAnsi="宋体" w:eastAsia="宋体" w:cs="宋体"/>
          <w:b/>
          <w:color w:val="auto"/>
          <w:spacing w:val="-1"/>
          <w:sz w:val="24"/>
          <w:szCs w:val="24"/>
          <w:lang w:eastAsia="zh-CN"/>
        </w:rPr>
        <w:t>(提供承诺函，格式自拟)</w:t>
      </w:r>
    </w:p>
    <w:p w14:paraId="44A30532">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5、成交供应商必须全程严格按照国家有关法律法规及采购人关于保密等要求提供服务，对于管理不当、弄虚作假、徇私舞弊等造成服务项目泄密或造成其他负面影响负法律责任，并成交供应商就造成采购人的损失另行赔偿，赔偿金额不超过合同总价的20%，采购人可单方解除合同，同时保留追究成交供应商及其服务人员法律责任的权利。</w:t>
      </w:r>
      <w:r>
        <w:rPr>
          <w:rFonts w:hint="eastAsia" w:ascii="宋体" w:hAnsi="宋体" w:eastAsia="宋体" w:cs="宋体"/>
          <w:b/>
          <w:color w:val="auto"/>
          <w:spacing w:val="-1"/>
          <w:sz w:val="24"/>
          <w:szCs w:val="24"/>
          <w:lang w:eastAsia="zh-CN"/>
        </w:rPr>
        <w:t>（提供承诺函，格式自拟）</w:t>
      </w:r>
    </w:p>
    <w:p w14:paraId="2AD9BE39">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（3）安全及质量保证</w:t>
      </w:r>
    </w:p>
    <w:p w14:paraId="3245C111">
      <w:pPr>
        <w:widowControl w:val="0"/>
        <w:spacing w:before="1" w:line="360" w:lineRule="auto"/>
        <w:ind w:firstLine="238" w:firstLineChars="100"/>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1、司法鉴定人进行鉴定，应当对鉴定过程进行实时记录并签名。可以采购笔记、录像、拍照等方式。记录的内容应当真实、客观、准确、完整、清晰，记录的文本或者音像载体应当妥善保存。</w:t>
      </w:r>
    </w:p>
    <w:p w14:paraId="4643540F">
      <w:pPr>
        <w:widowControl w:val="0"/>
        <w:spacing w:before="1" w:line="360" w:lineRule="auto"/>
        <w:ind w:firstLine="238" w:firstLineChars="100"/>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2、应当制定项目服务方案、人员管理、设备管理、检测数据管理、财物管理、交通安全管理方面制度并严格执行。</w:t>
      </w:r>
    </w:p>
    <w:p w14:paraId="4B4B9D88">
      <w:pPr>
        <w:widowControl w:val="0"/>
        <w:spacing w:before="1" w:line="360" w:lineRule="auto"/>
        <w:ind w:firstLine="238" w:firstLineChars="100"/>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3、质量保证措施</w:t>
      </w:r>
    </w:p>
    <w:p w14:paraId="4F82C4B5">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①司法鉴定工作依据国家标准和技术规范，以及司法鉴定主管部门、司法鉴定行业组织或者相关行业主管部门制定的行业标准和技术规范；</w:t>
      </w:r>
    </w:p>
    <w:p w14:paraId="57AAE59E">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②鉴定报告的内容齐全、分析合理、结论准确；</w:t>
      </w:r>
    </w:p>
    <w:p w14:paraId="3483A277">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③司法鉴定文书的制作应当符合统一规定的司法鉴定文书格式。</w:t>
      </w:r>
    </w:p>
    <w:p w14:paraId="6C720BFD">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6、成交</w:t>
      </w:r>
      <w:bookmarkStart w:id="7" w:name="OLE_LINK187"/>
      <w:bookmarkStart w:id="8" w:name="OLE_LINK186"/>
      <w:r>
        <w:rPr>
          <w:rFonts w:hint="eastAsia" w:ascii="宋体" w:hAnsi="宋体" w:eastAsia="宋体" w:cs="宋体"/>
          <w:color w:val="auto"/>
          <w:spacing w:val="-1"/>
          <w:sz w:val="24"/>
          <w:szCs w:val="24"/>
          <w:lang w:eastAsia="zh-CN"/>
        </w:rPr>
        <w:t>供应商从接收</w:t>
      </w:r>
      <w:bookmarkStart w:id="9" w:name="OLE_LINK8"/>
      <w:bookmarkStart w:id="10" w:name="OLE_LINK12"/>
      <w:bookmarkStart w:id="11" w:name="OLE_LINK13"/>
      <w:r>
        <w:rPr>
          <w:rFonts w:hint="eastAsia" w:ascii="宋体" w:hAnsi="宋体" w:eastAsia="宋体" w:cs="宋体"/>
          <w:color w:val="auto"/>
          <w:spacing w:val="-1"/>
          <w:sz w:val="24"/>
          <w:szCs w:val="24"/>
          <w:lang w:eastAsia="zh-CN"/>
        </w:rPr>
        <w:t>血</w:t>
      </w:r>
      <w:bookmarkEnd w:id="9"/>
      <w:r>
        <w:rPr>
          <w:rFonts w:hint="eastAsia" w:ascii="宋体" w:hAnsi="宋体" w:eastAsia="宋体" w:cs="宋体"/>
          <w:color w:val="auto"/>
          <w:spacing w:val="-1"/>
          <w:sz w:val="24"/>
          <w:szCs w:val="24"/>
          <w:lang w:eastAsia="zh-CN"/>
        </w:rPr>
        <w:t>样</w:t>
      </w:r>
      <w:bookmarkEnd w:id="10"/>
      <w:bookmarkEnd w:id="11"/>
      <w:r>
        <w:rPr>
          <w:rFonts w:hint="eastAsia" w:ascii="宋体" w:hAnsi="宋体" w:eastAsia="宋体" w:cs="宋体"/>
          <w:color w:val="auto"/>
          <w:spacing w:val="-1"/>
          <w:sz w:val="24"/>
          <w:szCs w:val="24"/>
          <w:lang w:eastAsia="zh-CN"/>
        </w:rPr>
        <w:t>到理化室检验全过程以及检验鉴定操作台和血样检测电脑显示器要提供多相位的无死角的视频监控，不得变更相位，便于采购人依法调取监控数据，所有视频监控数据保存时间不少于12个月</w:t>
      </w:r>
      <w:bookmarkEnd w:id="7"/>
      <w:bookmarkEnd w:id="8"/>
      <w:r>
        <w:rPr>
          <w:rFonts w:hint="eastAsia" w:ascii="宋体" w:hAnsi="宋体" w:eastAsia="宋体" w:cs="宋体"/>
          <w:color w:val="auto"/>
          <w:spacing w:val="-1"/>
          <w:sz w:val="24"/>
          <w:szCs w:val="24"/>
          <w:lang w:eastAsia="zh-CN"/>
        </w:rPr>
        <w:t>。（提供承诺函）</w:t>
      </w:r>
    </w:p>
    <w:p w14:paraId="09F2EC07">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7、</w:t>
      </w:r>
      <w:bookmarkStart w:id="12" w:name="OLE_LINK179"/>
      <w:r>
        <w:rPr>
          <w:rFonts w:hint="eastAsia" w:ascii="宋体" w:hAnsi="宋体" w:eastAsia="宋体" w:cs="宋体"/>
          <w:color w:val="auto"/>
          <w:spacing w:val="-1"/>
          <w:sz w:val="24"/>
          <w:szCs w:val="24"/>
          <w:lang w:eastAsia="zh-CN"/>
        </w:rPr>
        <w:t>成交供应商按照国家标准对于</w:t>
      </w:r>
      <w:bookmarkStart w:id="13" w:name="OLE_LINK11"/>
      <w:bookmarkStart w:id="14" w:name="OLE_LINK9"/>
      <w:bookmarkStart w:id="15" w:name="OLE_LINK14"/>
      <w:bookmarkStart w:id="16" w:name="OLE_LINK10"/>
      <w:r>
        <w:rPr>
          <w:rFonts w:hint="eastAsia" w:ascii="宋体" w:hAnsi="宋体" w:eastAsia="宋体" w:cs="宋体"/>
          <w:color w:val="auto"/>
          <w:spacing w:val="-1"/>
          <w:sz w:val="24"/>
          <w:szCs w:val="24"/>
          <w:lang w:eastAsia="zh-CN"/>
        </w:rPr>
        <w:t>血液</w:t>
      </w:r>
      <w:bookmarkEnd w:id="13"/>
      <w:bookmarkEnd w:id="14"/>
      <w:bookmarkEnd w:id="15"/>
      <w:bookmarkEnd w:id="16"/>
      <w:r>
        <w:rPr>
          <w:rFonts w:hint="eastAsia" w:ascii="宋体" w:hAnsi="宋体" w:eastAsia="宋体" w:cs="宋体"/>
          <w:color w:val="auto"/>
          <w:spacing w:val="-1"/>
          <w:sz w:val="24"/>
          <w:szCs w:val="24"/>
          <w:lang w:eastAsia="zh-CN"/>
        </w:rPr>
        <w:t>酒精含量检测用的标准溶液，每三个月配制一次。</w:t>
      </w:r>
    </w:p>
    <w:bookmarkEnd w:id="12"/>
    <w:p w14:paraId="14556057">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8、酒驾查获过程中，如果遇到吹气数值在80mg/100ml标准上下的情况，血液检测要按照GB/T42430-2023《血液、尿液中乙醇、甲醇、正丙醇、丙酮、异丙醇和正丁醇检验》严格实施，并在实验室收到血样后立即开展鉴定工作，且成交供应商要做5次检测，共10份数据后确定结果并附在鉴定意见中。</w:t>
      </w:r>
    </w:p>
    <w:p w14:paraId="5119C0CF">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9、采血服务严格按照公安部《道路交通执法人体血液采集技术规范》（GA/T1556-2019）实施。</w:t>
      </w:r>
    </w:p>
    <w:p w14:paraId="0D411467">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10、血样保存期间应严格按照公安部《道路交通执法人体血液采集技术规范》（GA/T1556-2019）实施，全程录音录像，不得中断，确保检材的同一性并不被污染。</w:t>
      </w:r>
    </w:p>
    <w:p w14:paraId="1855F238">
      <w:pPr>
        <w:widowControl w:val="0"/>
        <w:spacing w:before="1" w:line="360" w:lineRule="auto"/>
        <w:rPr>
          <w:rFonts w:ascii="宋体" w:hAnsi="宋体" w:eastAsia="宋体" w:cs="宋体"/>
          <w:color w:val="auto"/>
          <w:spacing w:val="-1"/>
          <w:sz w:val="24"/>
          <w:szCs w:val="24"/>
          <w:lang w:eastAsia="zh-CN"/>
        </w:rPr>
      </w:pPr>
      <w:r>
        <w:rPr>
          <w:rFonts w:hint="eastAsia" w:ascii="宋体" w:hAnsi="宋体" w:eastAsia="宋体" w:cs="宋体"/>
          <w:color w:val="auto"/>
          <w:spacing w:val="-1"/>
          <w:sz w:val="24"/>
          <w:szCs w:val="24"/>
          <w:lang w:eastAsia="zh-CN"/>
        </w:rPr>
        <w:t>11、司法鉴定项目涉及数据采集与处理，成交供应商应遵守《国家网络安全法》及《个人信息保护法》等相关规定。</w:t>
      </w:r>
    </w:p>
    <w:p w14:paraId="70C8867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5EB29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2026-07-01T02:36:43Z</dcterms:created>
  <dc:creator>Administrator</dc:creator>
  <cp:lastModifiedBy>Administrator</cp:lastModifiedBy>
  <dcterms:modified xsi:type="dcterms:W3CDTF">2026-07-01T02:40:59Z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eyJoZGlkIjoiMzA4MmM5MmNjMzI3MTM3MTEzZDgwNGUwYjgyZDc2MTciLCJ1c2VySWQiOiIyNzQ5OTU5MTAifQ==</vt:lpwstr>
  </property>
  <property fmtid="{D5CDD505-2E9C-101B-9397-08002B2CF9AE}" pid="4" name="ICV">
    <vt:lpwstr>B0E64B4742F84451BE8ADDDEB3C3A0F9_12</vt:lpwstr>
  </property>
</Properties>
</file>