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7F3035">
      <w:pPr>
        <w:pageBreakBefore w:val="0"/>
        <w:widowControl w:val="0"/>
        <w:wordWrap/>
        <w:overflowPunct/>
        <w:topLinePunct w:val="0"/>
        <w:bidi w:val="0"/>
        <w:spacing w:before="78" w:line="219" w:lineRule="auto"/>
        <w:jc w:val="center"/>
        <w:rPr>
          <w:rFonts w:ascii="宋体" w:hAnsi="宋体" w:eastAsia="宋体" w:cs="宋体"/>
          <w:b/>
          <w:bCs/>
          <w:color w:val="auto"/>
          <w:spacing w:val="0"/>
          <w:w w:val="100"/>
          <w:position w:val="0"/>
          <w:sz w:val="24"/>
          <w:szCs w:val="24"/>
        </w:rPr>
      </w:pPr>
      <w:r>
        <w:rPr>
          <w:rFonts w:ascii="宋体" w:hAnsi="宋体" w:eastAsia="宋体" w:cs="宋体"/>
          <w:b/>
          <w:bCs/>
          <w:color w:val="auto"/>
          <w:spacing w:val="0"/>
          <w:w w:val="100"/>
          <w:position w:val="0"/>
          <w:sz w:val="24"/>
          <w:szCs w:val="24"/>
        </w:rPr>
        <w:t>（一） 技术需求</w:t>
      </w:r>
    </w:p>
    <w:p w14:paraId="67777F29">
      <w:pPr>
        <w:pageBreakBefore w:val="0"/>
        <w:widowControl w:val="0"/>
        <w:wordWrap/>
        <w:overflowPunct/>
        <w:topLinePunct w:val="0"/>
        <w:bidi w:val="0"/>
        <w:spacing w:line="242" w:lineRule="auto"/>
        <w:rPr>
          <w:color w:val="auto"/>
          <w:spacing w:val="0"/>
          <w:w w:val="100"/>
          <w:position w:val="0"/>
        </w:rPr>
      </w:pPr>
    </w:p>
    <w:p w14:paraId="58BFEAA2">
      <w:pPr>
        <w:keepNext w:val="0"/>
        <w:keepLines w:val="0"/>
        <w:pageBreakBefore w:val="0"/>
        <w:widowControl w:val="0"/>
        <w:kinsoku/>
        <w:wordWrap/>
        <w:overflowPunct/>
        <w:topLinePunct w:val="0"/>
        <w:autoSpaceDE/>
        <w:autoSpaceDN/>
        <w:bidi w:val="0"/>
        <w:adjustRightInd/>
        <w:snapToGrid w:val="0"/>
        <w:spacing w:line="480" w:lineRule="exact"/>
        <w:ind w:firstLine="482" w:firstLineChars="200"/>
        <w:textAlignment w:val="baseline"/>
        <w:rPr>
          <w:rFonts w:hint="eastAsia" w:asciiTheme="minorEastAsia" w:hAnsiTheme="minorEastAsia" w:eastAsiaTheme="minorEastAsia"/>
          <w:b/>
          <w:bCs/>
          <w:sz w:val="24"/>
          <w:szCs w:val="24"/>
        </w:rPr>
      </w:pPr>
      <w:r>
        <w:rPr>
          <w:rFonts w:hint="eastAsia" w:asciiTheme="minorEastAsia" w:hAnsiTheme="minorEastAsia" w:eastAsiaTheme="minorEastAsia"/>
          <w:b/>
          <w:bCs/>
          <w:sz w:val="24"/>
          <w:szCs w:val="24"/>
        </w:rPr>
        <w:t>一、基本配置：</w:t>
      </w:r>
    </w:p>
    <w:p w14:paraId="6A1B0EF7">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1、全自动核酸检测分析系统主机</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rPr>
        <w:t>一台</w:t>
      </w:r>
    </w:p>
    <w:p w14:paraId="33F96C31">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2、系统软件</w:t>
      </w:r>
      <w:r>
        <w:rPr>
          <w:rFonts w:hint="eastAsia" w:asciiTheme="minorEastAsia" w:hAnsiTheme="minorEastAsia" w:eastAsiaTheme="minorEastAsia"/>
          <w:sz w:val="24"/>
          <w:szCs w:val="24"/>
          <w:lang w:eastAsia="zh-CN"/>
        </w:rPr>
        <w:t>：</w:t>
      </w:r>
      <w:r>
        <w:rPr>
          <w:rFonts w:hint="eastAsia" w:asciiTheme="minorEastAsia" w:hAnsiTheme="minorEastAsia" w:eastAsiaTheme="minorEastAsia"/>
          <w:sz w:val="24"/>
          <w:szCs w:val="24"/>
        </w:rPr>
        <w:t>一套</w:t>
      </w:r>
    </w:p>
    <w:p w14:paraId="57DC6878">
      <w:pPr>
        <w:keepNext w:val="0"/>
        <w:keepLines w:val="0"/>
        <w:pageBreakBefore w:val="0"/>
        <w:widowControl w:val="0"/>
        <w:kinsoku/>
        <w:wordWrap/>
        <w:overflowPunct/>
        <w:topLinePunct w:val="0"/>
        <w:autoSpaceDE/>
        <w:autoSpaceDN/>
        <w:bidi w:val="0"/>
        <w:adjustRightInd/>
        <w:snapToGrid w:val="0"/>
        <w:spacing w:line="480" w:lineRule="exact"/>
        <w:ind w:firstLine="482" w:firstLineChars="200"/>
        <w:textAlignment w:val="baseline"/>
        <w:rPr>
          <w:rFonts w:hint="eastAsia" w:asciiTheme="minorEastAsia" w:hAnsiTheme="minorEastAsia" w:eastAsiaTheme="minorEastAsia"/>
          <w:b/>
          <w:bCs/>
          <w:sz w:val="24"/>
          <w:szCs w:val="24"/>
        </w:rPr>
      </w:pPr>
      <w:r>
        <w:rPr>
          <w:rFonts w:hint="eastAsia" w:asciiTheme="minorEastAsia" w:hAnsiTheme="minorEastAsia" w:eastAsiaTheme="minorEastAsia"/>
          <w:b/>
          <w:bCs/>
          <w:sz w:val="24"/>
          <w:szCs w:val="24"/>
        </w:rPr>
        <w:t>二、设备用途及说明：</w:t>
      </w:r>
    </w:p>
    <w:p w14:paraId="723D4B25">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主要用途：全自动核酸检测分析系统主要用于结核分枝杆菌及利福平耐药基因检测等。</w:t>
      </w:r>
    </w:p>
    <w:p w14:paraId="3B562CA5">
      <w:pPr>
        <w:keepNext w:val="0"/>
        <w:keepLines w:val="0"/>
        <w:pageBreakBefore w:val="0"/>
        <w:widowControl w:val="0"/>
        <w:kinsoku/>
        <w:wordWrap/>
        <w:overflowPunct/>
        <w:topLinePunct w:val="0"/>
        <w:autoSpaceDE/>
        <w:autoSpaceDN/>
        <w:bidi w:val="0"/>
        <w:adjustRightInd/>
        <w:snapToGrid w:val="0"/>
        <w:spacing w:line="480" w:lineRule="exact"/>
        <w:ind w:firstLine="482" w:firstLineChars="200"/>
        <w:textAlignment w:val="baseline"/>
        <w:rPr>
          <w:rFonts w:hint="eastAsia" w:asciiTheme="minorEastAsia" w:hAnsiTheme="minorEastAsia" w:eastAsiaTheme="minorEastAsia"/>
          <w:b/>
          <w:bCs/>
          <w:sz w:val="24"/>
          <w:szCs w:val="24"/>
        </w:rPr>
      </w:pPr>
      <w:r>
        <w:rPr>
          <w:rFonts w:hint="eastAsia" w:asciiTheme="minorEastAsia" w:hAnsiTheme="minorEastAsia" w:eastAsiaTheme="minorEastAsia"/>
          <w:b/>
          <w:bCs/>
          <w:sz w:val="24"/>
          <w:szCs w:val="24"/>
        </w:rPr>
        <w:t>三、基本技术要求</w:t>
      </w:r>
    </w:p>
    <w:p w14:paraId="25E622D0">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1、采用实时荧光定量PCR技术，对样本进行分析</w:t>
      </w:r>
      <w:r>
        <w:rPr>
          <w:rFonts w:hint="eastAsia" w:asciiTheme="minorEastAsia" w:hAnsiTheme="minorEastAsia" w:eastAsiaTheme="minorEastAsia"/>
          <w:sz w:val="24"/>
          <w:szCs w:val="24"/>
          <w:lang w:val="en-US" w:eastAsia="zh-CN"/>
        </w:rPr>
        <w:t>；</w:t>
      </w:r>
    </w:p>
    <w:p w14:paraId="6F98B207">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2、提供可配套该设备使用的结核分枝杆菌利福平耐药基因检测，试剂盒具有NMPA注册证</w:t>
      </w:r>
      <w:r>
        <w:rPr>
          <w:rFonts w:hint="eastAsia" w:asciiTheme="minorEastAsia" w:hAnsiTheme="minorEastAsia" w:eastAsiaTheme="minorEastAsia"/>
          <w:sz w:val="24"/>
          <w:szCs w:val="24"/>
          <w:lang w:val="en-US" w:eastAsia="zh-CN"/>
        </w:rPr>
        <w:t>；</w:t>
      </w:r>
    </w:p>
    <w:p w14:paraId="710FEDDA">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3、提取扩增方式，系统能够直接从患者样本中提取核酸，处理单元自动将提取出的核酸应用于核酸扩增和检测的后续步骤，以上的三个步骤(核酸提取、扩增和检测)在获得最终结果前（除初次加样外）无需再人工操作</w:t>
      </w:r>
      <w:r>
        <w:rPr>
          <w:rFonts w:hint="eastAsia" w:asciiTheme="minorEastAsia" w:hAnsiTheme="minorEastAsia" w:eastAsiaTheme="minorEastAsia"/>
          <w:sz w:val="24"/>
          <w:szCs w:val="24"/>
          <w:lang w:val="en-US" w:eastAsia="zh-CN"/>
        </w:rPr>
        <w:t>；</w:t>
      </w:r>
    </w:p>
    <w:p w14:paraId="28435C45">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4、支持多样本同时运行（≥15个样本），预留急诊位置，以便处理加急标本</w:t>
      </w:r>
      <w:r>
        <w:rPr>
          <w:rFonts w:hint="eastAsia" w:asciiTheme="minorEastAsia" w:hAnsiTheme="minorEastAsia" w:eastAsiaTheme="minorEastAsia"/>
          <w:sz w:val="24"/>
          <w:szCs w:val="24"/>
          <w:lang w:val="en-US" w:eastAsia="zh-CN"/>
        </w:rPr>
        <w:t>；</w:t>
      </w:r>
    </w:p>
    <w:p w14:paraId="36FA9458">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5、要求样本完成加样后直接上机，检测步骤在同一个封闭的环境中完成，无需单独的超声裂解步骤，增加污染风险，所用设备及试剂均属同一质控体系，非组合模式</w:t>
      </w:r>
      <w:r>
        <w:rPr>
          <w:rFonts w:hint="eastAsia" w:asciiTheme="minorEastAsia" w:hAnsiTheme="minorEastAsia" w:eastAsiaTheme="minorEastAsia"/>
          <w:sz w:val="24"/>
          <w:szCs w:val="24"/>
          <w:lang w:val="en-US" w:eastAsia="zh-CN"/>
        </w:rPr>
        <w:t>；</w:t>
      </w:r>
    </w:p>
    <w:p w14:paraId="1B2F033E">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6、配套MTB/RIF试剂盒的检测下限≤150CFU/ml；</w:t>
      </w:r>
    </w:p>
    <w:p w14:paraId="3A91FF62">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val="en-US" w:eastAsia="zh-CN"/>
        </w:rPr>
      </w:pPr>
      <w:r>
        <w:rPr>
          <w:rFonts w:hint="eastAsia" w:asciiTheme="minorEastAsia" w:hAnsiTheme="minorEastAsia" w:eastAsiaTheme="minorEastAsia"/>
          <w:sz w:val="24"/>
          <w:szCs w:val="24"/>
        </w:rPr>
        <w:t>7、</w:t>
      </w:r>
      <w:r>
        <w:rPr>
          <w:rFonts w:hint="eastAsia" w:asciiTheme="minorEastAsia" w:hAnsiTheme="minorEastAsia" w:eastAsiaTheme="minorEastAsia"/>
          <w:sz w:val="24"/>
          <w:szCs w:val="24"/>
        </w:rPr>
        <w:tab/>
      </w:r>
      <w:r>
        <w:rPr>
          <w:rFonts w:hint="eastAsia" w:asciiTheme="minorEastAsia" w:hAnsiTheme="minorEastAsia" w:eastAsiaTheme="minorEastAsia"/>
          <w:sz w:val="24"/>
          <w:szCs w:val="24"/>
        </w:rPr>
        <w:t>结核分枝杆菌及利福平耐药基因检测时间≤4h</w:t>
      </w:r>
      <w:r>
        <w:rPr>
          <w:rFonts w:hint="eastAsia" w:asciiTheme="minorEastAsia" w:hAnsiTheme="minorEastAsia" w:eastAsiaTheme="minorEastAsia"/>
          <w:sz w:val="24"/>
          <w:szCs w:val="24"/>
          <w:lang w:val="en-US" w:eastAsia="zh-CN"/>
        </w:rPr>
        <w:t>；</w:t>
      </w:r>
    </w:p>
    <w:p w14:paraId="0A814081">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8、检测通量，样本上机量/次≥16个，可同时检测不同项目数≥10个，在通量范围内，可实现不同检测样本且不同检测项目样本随到随做；</w:t>
      </w:r>
    </w:p>
    <w:p w14:paraId="5A520F9F">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9、荧光信号检测通道：≥6色荧光信号激发及检测；</w:t>
      </w:r>
    </w:p>
    <w:p w14:paraId="2F635BF6">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10、变温速度：最大升温速度≥10.0℃/s，最大降温速度≥2.5℃/s；温度精度：从60℃到95℃是±1.0℃；</w:t>
      </w:r>
    </w:p>
    <w:p w14:paraId="26C0E19A">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lang w:eastAsia="zh-CN"/>
        </w:rPr>
      </w:pPr>
      <w:r>
        <w:rPr>
          <w:rFonts w:hint="eastAsia" w:asciiTheme="minorEastAsia" w:hAnsiTheme="minorEastAsia" w:eastAsiaTheme="minorEastAsia"/>
          <w:sz w:val="24"/>
          <w:szCs w:val="24"/>
        </w:rPr>
        <w:t>11、样本可排队有序上机，支持不停机上载样本，自动待检样本数量应≥1倍以上的检测模块数，保证一次上机，自动化完成2轮以上的检测过程</w:t>
      </w:r>
      <w:r>
        <w:rPr>
          <w:rFonts w:hint="eastAsia" w:asciiTheme="minorEastAsia" w:hAnsiTheme="minorEastAsia" w:eastAsiaTheme="minorEastAsia"/>
          <w:sz w:val="24"/>
          <w:szCs w:val="24"/>
          <w:lang w:val="en-US" w:eastAsia="zh-CN"/>
        </w:rPr>
        <w:t>；</w:t>
      </w:r>
    </w:p>
    <w:p w14:paraId="7C814431">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12、试剂要求：按照医院要求提供临床应用试剂，试剂不高于项目医保收费的30%；</w:t>
      </w:r>
    </w:p>
    <w:p w14:paraId="36301731">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13、质控方式：匹配试剂盒内含质控，无需单独做质控和对照试验；单人份试剂设计；</w:t>
      </w:r>
    </w:p>
    <w:p w14:paraId="76A61723">
      <w:pPr>
        <w:keepNext w:val="0"/>
        <w:keepLines w:val="0"/>
        <w:pageBreakBefore w:val="0"/>
        <w:widowControl w:val="0"/>
        <w:kinsoku/>
        <w:wordWrap/>
        <w:overflowPunct/>
        <w:topLinePunct w:val="0"/>
        <w:autoSpaceDE/>
        <w:autoSpaceDN/>
        <w:bidi w:val="0"/>
        <w:adjustRightInd/>
        <w:snapToGrid w:val="0"/>
        <w:spacing w:line="480" w:lineRule="exact"/>
        <w:ind w:firstLine="480" w:firstLineChars="200"/>
        <w:textAlignment w:val="baseline"/>
        <w:rPr>
          <w:rFonts w:hint="eastAsia" w:asciiTheme="minorEastAsia" w:hAnsiTheme="minorEastAsia" w:eastAsiaTheme="minorEastAsia"/>
          <w:sz w:val="24"/>
          <w:szCs w:val="24"/>
        </w:rPr>
      </w:pPr>
      <w:r>
        <w:rPr>
          <w:rFonts w:hint="eastAsia" w:asciiTheme="minorEastAsia" w:hAnsiTheme="minorEastAsia" w:eastAsiaTheme="minorEastAsia"/>
          <w:sz w:val="24"/>
          <w:szCs w:val="24"/>
        </w:rPr>
        <w:t>14、实验室要求：要求系统在进行结核分枝杆菌等致病病原体检测时，系统自有生物安全防护等级高，可在常规二级实验室开展。</w:t>
      </w:r>
      <w:r>
        <w:rPr>
          <w:rFonts w:hint="eastAsia" w:asciiTheme="minorEastAsia" w:hAnsiTheme="minorEastAsia" w:eastAsiaTheme="minorEastAsia"/>
          <w:sz w:val="24"/>
          <w:szCs w:val="24"/>
        </w:rPr>
        <w:tab/>
      </w:r>
    </w:p>
    <w:p w14:paraId="2AD1752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DD7D80"/>
    <w:rsid w:val="05946D18"/>
    <w:rsid w:val="2AA2754C"/>
    <w:rsid w:val="2F560A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1575</Words>
  <Characters>1970</Characters>
  <Lines>0</Lines>
  <Paragraphs>0</Paragraphs>
  <TotalTime>0</TotalTime>
  <ScaleCrop>false</ScaleCrop>
  <LinksUpToDate>false</LinksUpToDate>
  <CharactersWithSpaces>2091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2025-08-11T02:23:00Z</dcterms:created>
  <dc:creator>zzx</dc:creator>
  <cp:lastModifiedBy>zzx</cp:lastModifiedBy>
  <dcterms:modified xsi:type="dcterms:W3CDTF">2026-06-03T01:34:13Z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eyJoZGlkIjoiNTk5OTViYjE0MDU5ZDVlMGJjN2U3OTQyODJlNjcwNGUiLCJ1c2VySWQiOiIzOTE4ODkwMzQifQ==</vt:lpwstr>
  </property>
  <property fmtid="{D5CDD505-2E9C-101B-9397-08002B2CF9AE}" pid="4" name="ICV">
    <vt:lpwstr>A578C7C411A64D4BA838D7356FF6F638_12</vt:lpwstr>
  </property>
</Properties>
</file>