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386F79">
      <w:pPr>
        <w:kinsoku/>
        <w:wordWrap w:val="0"/>
        <w:topLinePunct/>
        <w:autoSpaceDE/>
        <w:autoSpaceDN/>
        <w:spacing w:before="63" w:after="240" w:afterLines="100" w:line="224" w:lineRule="auto"/>
        <w:jc w:val="center"/>
        <w:outlineLvl w:val="0"/>
        <w:rPr>
          <w:rFonts w:hint="eastAsia" w:ascii="仿宋" w:hAnsi="仿宋" w:eastAsia="仿宋" w:cs="仿宋"/>
          <w:b/>
          <w:bCs/>
          <w:color w:val="auto"/>
          <w:sz w:val="30"/>
          <w:szCs w:val="30"/>
          <w:highlight w:val="none"/>
          <w:lang w:eastAsia="zh-CN"/>
        </w:rPr>
      </w:pPr>
      <w:bookmarkStart w:id="0" w:name="_Toc19474"/>
      <w:r>
        <w:rPr>
          <w:rFonts w:hint="eastAsia" w:ascii="仿宋" w:hAnsi="仿宋" w:eastAsia="仿宋" w:cs="仿宋"/>
          <w:b/>
          <w:bCs/>
          <w:color w:val="auto"/>
          <w:sz w:val="30"/>
          <w:szCs w:val="30"/>
          <w:highlight w:val="none"/>
        </w:rPr>
        <mc:AlternateContent>
          <mc:Choice Requires="wps">
            <w:drawing>
              <wp:anchor distT="0" distB="0" distL="114300" distR="114300" simplePos="0" relativeHeight="251659264" behindDoc="0" locked="0" layoutInCell="0" allowOverlap="1">
                <wp:simplePos x="0" y="0"/>
                <wp:positionH relativeFrom="page">
                  <wp:posOffset>7556500</wp:posOffset>
                </wp:positionH>
                <wp:positionV relativeFrom="page">
                  <wp:posOffset>4673600</wp:posOffset>
                </wp:positionV>
                <wp:extent cx="3810" cy="302895"/>
                <wp:effectExtent l="0" t="0" r="11430" b="1905"/>
                <wp:wrapNone/>
                <wp:docPr id="4" name="Rectangle 2"/>
                <wp:cNvGraphicFramePr/>
                <a:graphic xmlns:a="http://schemas.openxmlformats.org/drawingml/2006/main">
                  <a:graphicData uri="http://schemas.microsoft.com/office/word/2010/wordprocessingShape">
                    <wps:wsp>
                      <wps:cNvSpPr>
                        <a:spLocks noChangeArrowheads="1"/>
                      </wps:cNvSpPr>
                      <wps:spPr bwMode="auto">
                        <a:xfrm>
                          <a:off x="0" y="0"/>
                          <a:ext cx="3810" cy="302895"/>
                        </a:xfrm>
                        <a:prstGeom prst="rect">
                          <a:avLst/>
                        </a:prstGeom>
                        <a:solidFill>
                          <a:srgbClr val="000000">
                            <a:alpha val="75294"/>
                          </a:srgbClr>
                        </a:solidFill>
                        <a:ln>
                          <a:noFill/>
                        </a:ln>
                        <a:effectLst/>
                      </wps:spPr>
                      <wps:bodyPr rot="0" vert="horz" wrap="square" lIns="91440" tIns="45720" rIns="91440" bIns="45720" anchor="t" anchorCtr="0" upright="1">
                        <a:noAutofit/>
                      </wps:bodyPr>
                    </wps:wsp>
                  </a:graphicData>
                </a:graphic>
              </wp:anchor>
            </w:drawing>
          </mc:Choice>
          <mc:Fallback>
            <w:pict>
              <v:rect id="Rectangle 2" o:spid="_x0000_s1026" o:spt="1" style="position:absolute;left:0pt;margin-left:595pt;margin-top:368pt;height:23.85pt;width:0.3pt;mso-position-horizontal-relative:page;mso-position-vertical-relative:page;z-index:251659264;mso-width-relative:page;mso-height-relative:page;" fillcolor="#000000" filled="t" stroked="f" coordsize="21600,21600" o:allowincell="f" o:gfxdata="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IABX&#10;YNkAAAANAQAADwAAAAAAAAABACAAAAAiAAAAZHJzL2Rvd25yZXYueG1sUEsBAhQAFAAAAAgAh07i&#10;QFqLOeUhAgAAVQQAAA4AAAAAAAAAAQAgAAAAKAEAAGRycy9lMm9Eb2MueG1sUEsFBgAAAAAGAAYA&#10;WQEAALsFAAAAAA==&#10;">
                <v:fill on="t" opacity="49344f" focussize="0,0"/>
                <v:stroke on="f"/>
                <v:imagedata o:title=""/>
                <o:lock v:ext="edit" aspectratio="f"/>
              </v:rect>
            </w:pict>
          </mc:Fallback>
        </mc:AlternateContent>
      </w:r>
      <w:r>
        <w:rPr>
          <w:rFonts w:hint="eastAsia" w:ascii="仿宋" w:hAnsi="仿宋" w:eastAsia="仿宋" w:cs="仿宋"/>
          <w:b/>
          <w:bCs/>
          <w:color w:val="auto"/>
          <w:sz w:val="30"/>
          <w:szCs w:val="30"/>
          <w:highlight w:val="none"/>
        </w:rPr>
        <mc:AlternateContent>
          <mc:Choice Requires="wps">
            <w:drawing>
              <wp:anchor distT="0" distB="0" distL="114300" distR="114300" simplePos="0" relativeHeight="251660288" behindDoc="0" locked="0" layoutInCell="0" allowOverlap="1">
                <wp:simplePos x="0" y="0"/>
                <wp:positionH relativeFrom="page">
                  <wp:posOffset>7556500</wp:posOffset>
                </wp:positionH>
                <wp:positionV relativeFrom="page">
                  <wp:posOffset>4976495</wp:posOffset>
                </wp:positionV>
                <wp:extent cx="3810" cy="6350"/>
                <wp:effectExtent l="0" t="0" r="0" b="0"/>
                <wp:wrapNone/>
                <wp:docPr id="3" name="Rectangle 3"/>
                <wp:cNvGraphicFramePr/>
                <a:graphic xmlns:a="http://schemas.openxmlformats.org/drawingml/2006/main">
                  <a:graphicData uri="http://schemas.microsoft.com/office/word/2010/wordprocessingShape">
                    <wps:wsp>
                      <wps:cNvSpPr>
                        <a:spLocks noChangeArrowheads="1"/>
                      </wps:cNvSpPr>
                      <wps:spPr bwMode="auto">
                        <a:xfrm>
                          <a:off x="0" y="0"/>
                          <a:ext cx="3810" cy="6350"/>
                        </a:xfrm>
                        <a:prstGeom prst="rect">
                          <a:avLst/>
                        </a:prstGeom>
                        <a:solidFill>
                          <a:srgbClr val="000000"/>
                        </a:solidFill>
                        <a:ln>
                          <a:noFill/>
                        </a:ln>
                        <a:effectLst/>
                      </wps:spPr>
                      <wps:bodyPr rot="0" vert="horz" wrap="square" lIns="91440" tIns="45720" rIns="91440" bIns="45720" anchor="t" anchorCtr="0" upright="1">
                        <a:noAutofit/>
                      </wps:bodyPr>
                    </wps:wsp>
                  </a:graphicData>
                </a:graphic>
              </wp:anchor>
            </w:drawing>
          </mc:Choice>
          <mc:Fallback>
            <w:pict>
              <v:rect id="Rectangle 3" o:spid="_x0000_s1026" o:spt="1" style="position:absolute;left:0pt;margin-left:595pt;margin-top:391.85pt;height:0.5pt;width:0.3pt;mso-position-horizontal-relative:page;mso-position-vertical-relative:page;z-index:251660288;mso-width-relative:page;mso-height-relative:page;" fillcolor="#000000" filled="t" stroked="f" coordsize="21600,21600" o:allowincell="f" o:gfxdata="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5B3OF2QAAAA0BAAAPAAAAAAAA&#10;AAEAIAAAACIAAABkcnMvZG93bnJldi54bWxQSwECFAAUAAAACACHTuJAZAbDqxECAAAyBAAADgAA&#10;AAAAAAABACAAAAAoAQAAZHJzL2Uyb0RvYy54bWxQSwUGAAAAAAYABgBZAQAAqwUAAAAA&#10;">
                <v:fill on="t" focussize="0,0"/>
                <v:stroke on="f"/>
                <v:imagedata o:title=""/>
                <o:lock v:ext="edit" aspectratio="f"/>
              </v:rect>
            </w:pict>
          </mc:Fallback>
        </mc:AlternateContent>
      </w:r>
      <w:r>
        <w:rPr>
          <w:rFonts w:hint="eastAsia" w:ascii="仿宋" w:hAnsi="仿宋" w:eastAsia="仿宋" w:cs="仿宋"/>
          <w:b/>
          <w:bCs/>
          <w:color w:val="auto"/>
          <w:sz w:val="30"/>
          <w:szCs w:val="30"/>
          <w:highlight w:val="none"/>
        </w:rPr>
        <w:t>吉安县海尔希望小学食堂改造工程</w:t>
      </w:r>
      <w:r>
        <w:rPr>
          <w:rFonts w:hint="eastAsia" w:ascii="仿宋" w:hAnsi="仿宋" w:eastAsia="仿宋" w:cs="仿宋"/>
          <w:b/>
          <w:bCs/>
          <w:color w:val="auto"/>
          <w:spacing w:val="8"/>
          <w:sz w:val="30"/>
          <w:szCs w:val="30"/>
          <w:highlight w:val="none"/>
          <w:lang w:eastAsia="zh-CN"/>
        </w:rPr>
        <w:t>谈判</w:t>
      </w:r>
      <w:bookmarkEnd w:id="0"/>
      <w:r>
        <w:rPr>
          <w:rFonts w:hint="eastAsia" w:ascii="仿宋" w:hAnsi="仿宋" w:eastAsia="仿宋" w:cs="仿宋"/>
          <w:b/>
          <w:bCs/>
          <w:color w:val="auto"/>
          <w:spacing w:val="8"/>
          <w:sz w:val="30"/>
          <w:szCs w:val="30"/>
          <w:highlight w:val="none"/>
          <w:lang w:eastAsia="zh-CN"/>
        </w:rPr>
        <w:t>公告</w:t>
      </w:r>
    </w:p>
    <w:p w14:paraId="2DA55E84">
      <w:pPr>
        <w:kinsoku/>
        <w:wordWrap w:val="0"/>
        <w:topLinePunct/>
        <w:autoSpaceDE/>
        <w:autoSpaceDN/>
        <w:spacing w:line="360" w:lineRule="auto"/>
        <w:ind w:firstLine="480" w:firstLineChars="200"/>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u w:val="single"/>
          <w:lang w:eastAsia="zh-CN"/>
        </w:rPr>
        <w:t>吉安县海尔希望小学食堂改造工程</w:t>
      </w:r>
      <w:r>
        <w:rPr>
          <w:rFonts w:hint="eastAsia" w:ascii="仿宋" w:hAnsi="仿宋" w:eastAsia="仿宋" w:cs="仿宋"/>
          <w:color w:val="auto"/>
          <w:sz w:val="24"/>
          <w:szCs w:val="24"/>
          <w:highlight w:val="none"/>
          <w:lang w:eastAsia="zh-CN"/>
        </w:rPr>
        <w:t>的潜在供应商应在江西省公共资源交易平台确认并获取谈判文件，并于</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u w:val="single"/>
          <w:lang w:eastAsia="zh-CN"/>
        </w:rPr>
        <w:t xml:space="preserve"> 年 </w:t>
      </w:r>
      <w:r>
        <w:rPr>
          <w:rFonts w:hint="eastAsia" w:ascii="仿宋" w:hAnsi="仿宋" w:eastAsia="仿宋" w:cs="仿宋"/>
          <w:color w:val="auto"/>
          <w:sz w:val="24"/>
          <w:szCs w:val="24"/>
          <w:highlight w:val="none"/>
          <w:u w:val="single"/>
          <w:lang w:val="en-US" w:eastAsia="zh-CN"/>
        </w:rPr>
        <w:t>06</w:t>
      </w:r>
      <w:r>
        <w:rPr>
          <w:rFonts w:hint="eastAsia" w:ascii="仿宋" w:hAnsi="仿宋" w:eastAsia="仿宋" w:cs="仿宋"/>
          <w:color w:val="auto"/>
          <w:sz w:val="24"/>
          <w:szCs w:val="24"/>
          <w:highlight w:val="none"/>
          <w:u w:val="single"/>
          <w:lang w:eastAsia="zh-CN"/>
        </w:rPr>
        <w:t xml:space="preserve"> 月 </w:t>
      </w:r>
      <w:r>
        <w:rPr>
          <w:rFonts w:hint="eastAsia" w:ascii="仿宋" w:hAnsi="仿宋" w:eastAsia="仿宋" w:cs="仿宋"/>
          <w:color w:val="auto"/>
          <w:sz w:val="24"/>
          <w:szCs w:val="24"/>
          <w:highlight w:val="none"/>
          <w:u w:val="single"/>
          <w:lang w:val="en-US" w:eastAsia="zh-CN"/>
        </w:rPr>
        <w:t xml:space="preserve">23 </w:t>
      </w:r>
      <w:r>
        <w:rPr>
          <w:rFonts w:hint="eastAsia" w:ascii="仿宋" w:hAnsi="仿宋" w:eastAsia="仿宋" w:cs="仿宋"/>
          <w:color w:val="auto"/>
          <w:sz w:val="24"/>
          <w:szCs w:val="24"/>
          <w:highlight w:val="none"/>
          <w:u w:val="single"/>
          <w:lang w:eastAsia="zh-CN"/>
        </w:rPr>
        <w:t xml:space="preserve">日 </w:t>
      </w:r>
      <w:r>
        <w:rPr>
          <w:rFonts w:hint="eastAsia" w:ascii="仿宋" w:hAnsi="仿宋" w:eastAsia="仿宋" w:cs="仿宋"/>
          <w:color w:val="auto"/>
          <w:sz w:val="24"/>
          <w:szCs w:val="24"/>
          <w:highlight w:val="none"/>
          <w:u w:val="single"/>
          <w:lang w:val="en-US" w:eastAsia="zh-CN"/>
        </w:rPr>
        <w:t>09</w:t>
      </w:r>
      <w:r>
        <w:rPr>
          <w:rFonts w:hint="eastAsia" w:ascii="仿宋" w:hAnsi="仿宋" w:eastAsia="仿宋" w:cs="仿宋"/>
          <w:color w:val="auto"/>
          <w:sz w:val="24"/>
          <w:szCs w:val="24"/>
          <w:highlight w:val="none"/>
          <w:u w:val="single"/>
          <w:lang w:eastAsia="zh-CN"/>
        </w:rPr>
        <w:t xml:space="preserve"> 点 </w:t>
      </w:r>
      <w:r>
        <w:rPr>
          <w:rFonts w:hint="eastAsia" w:ascii="仿宋" w:hAnsi="仿宋" w:eastAsia="仿宋" w:cs="仿宋"/>
          <w:color w:val="auto"/>
          <w:sz w:val="24"/>
          <w:szCs w:val="24"/>
          <w:highlight w:val="none"/>
          <w:u w:val="single"/>
          <w:lang w:val="en-US" w:eastAsia="zh-CN"/>
        </w:rPr>
        <w:t>30</w:t>
      </w:r>
      <w:r>
        <w:rPr>
          <w:rFonts w:hint="eastAsia" w:ascii="仿宋" w:hAnsi="仿宋" w:eastAsia="仿宋" w:cs="仿宋"/>
          <w:color w:val="auto"/>
          <w:sz w:val="24"/>
          <w:szCs w:val="24"/>
          <w:highlight w:val="none"/>
          <w:u w:val="single"/>
          <w:lang w:eastAsia="zh-CN"/>
        </w:rPr>
        <w:t xml:space="preserve"> 分</w:t>
      </w:r>
      <w:r>
        <w:rPr>
          <w:rFonts w:hint="eastAsia" w:ascii="仿宋" w:hAnsi="仿宋" w:eastAsia="仿宋" w:cs="仿宋"/>
          <w:color w:val="auto"/>
          <w:sz w:val="24"/>
          <w:szCs w:val="24"/>
          <w:highlight w:val="none"/>
          <w:lang w:eastAsia="zh-CN"/>
        </w:rPr>
        <w:t>（北京时间）前递交响应文件。</w:t>
      </w:r>
    </w:p>
    <w:p w14:paraId="7081B8FD">
      <w:pPr>
        <w:kinsoku/>
        <w:wordWrap w:val="0"/>
        <w:topLinePunct/>
        <w:autoSpaceDE/>
        <w:autoSpaceDN/>
        <w:spacing w:line="360" w:lineRule="auto"/>
        <w:ind w:left="107"/>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一、项目基本情况</w:t>
      </w:r>
    </w:p>
    <w:p w14:paraId="4D990C5C">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项目编号：JXSZXZFCG2026</w:t>
      </w:r>
      <w:bookmarkStart w:id="1" w:name="_GoBack"/>
      <w:r>
        <w:rPr>
          <w:rFonts w:hint="eastAsia" w:ascii="仿宋" w:hAnsi="仿宋" w:eastAsia="仿宋" w:cs="仿宋"/>
          <w:color w:val="auto"/>
          <w:sz w:val="24"/>
          <w:szCs w:val="24"/>
          <w:highlight w:val="none"/>
          <w:lang w:eastAsia="zh-CN"/>
        </w:rPr>
        <w:t>Y37</w:t>
      </w:r>
      <w:bookmarkEnd w:id="1"/>
    </w:p>
    <w:p w14:paraId="2F8068F8">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项目名称：吉安县海尔希望小学食堂改造工程</w:t>
      </w:r>
    </w:p>
    <w:p w14:paraId="633DC0E2">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采购方式：竞争性谈判</w:t>
      </w:r>
    </w:p>
    <w:p w14:paraId="2CBA4485">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预算金额（人民币）：878865.39元</w:t>
      </w:r>
    </w:p>
    <w:p w14:paraId="3A00CFB3">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最高限价（人民币）：878865.39元</w:t>
      </w:r>
    </w:p>
    <w:p w14:paraId="386D03FC">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采购需求：</w:t>
      </w:r>
    </w:p>
    <w:tbl>
      <w:tblPr>
        <w:tblStyle w:val="4"/>
        <w:tblpPr w:leftFromText="180" w:rightFromText="180" w:vertAnchor="text" w:horzAnchor="page" w:tblpX="1560" w:tblpY="159"/>
        <w:tblOverlap w:val="never"/>
        <w:tblW w:w="9023"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12"/>
        <w:gridCol w:w="2972"/>
        <w:gridCol w:w="896"/>
        <w:gridCol w:w="1015"/>
        <w:gridCol w:w="1828"/>
      </w:tblGrid>
      <w:tr w14:paraId="14BA2A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75" w:hRule="atLeast"/>
        </w:trPr>
        <w:tc>
          <w:tcPr>
            <w:tcW w:w="2312" w:type="dxa"/>
            <w:vAlign w:val="center"/>
          </w:tcPr>
          <w:p w14:paraId="2C8099D0">
            <w:pPr>
              <w:kinsoku/>
              <w:wordWrap w:val="0"/>
              <w:topLinePunct/>
              <w:autoSpaceDE/>
              <w:autoSpaceDN/>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采购</w:t>
            </w:r>
            <w:r>
              <w:rPr>
                <w:rFonts w:hint="eastAsia" w:ascii="仿宋" w:hAnsi="仿宋" w:eastAsia="仿宋" w:cs="仿宋"/>
                <w:color w:val="auto"/>
                <w:sz w:val="24"/>
                <w:szCs w:val="24"/>
                <w:highlight w:val="none"/>
                <w:lang w:eastAsia="zh-CN"/>
              </w:rPr>
              <w:t>条目</w:t>
            </w:r>
            <w:r>
              <w:rPr>
                <w:rFonts w:hint="eastAsia" w:ascii="仿宋" w:hAnsi="仿宋" w:eastAsia="仿宋" w:cs="仿宋"/>
                <w:color w:val="auto"/>
                <w:sz w:val="24"/>
                <w:szCs w:val="24"/>
                <w:highlight w:val="none"/>
              </w:rPr>
              <w:t>编号</w:t>
            </w:r>
          </w:p>
        </w:tc>
        <w:tc>
          <w:tcPr>
            <w:tcW w:w="2972" w:type="dxa"/>
            <w:vAlign w:val="center"/>
          </w:tcPr>
          <w:p w14:paraId="123E78E5">
            <w:pPr>
              <w:kinsoku/>
              <w:wordWrap w:val="0"/>
              <w:topLinePunct/>
              <w:autoSpaceDE/>
              <w:autoSpaceDN/>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采购</w:t>
            </w:r>
            <w:r>
              <w:rPr>
                <w:rFonts w:hint="eastAsia" w:ascii="仿宋" w:hAnsi="仿宋" w:eastAsia="仿宋" w:cs="仿宋"/>
                <w:color w:val="auto"/>
                <w:sz w:val="24"/>
                <w:szCs w:val="24"/>
                <w:highlight w:val="none"/>
                <w:lang w:eastAsia="zh-CN"/>
              </w:rPr>
              <w:t>条目</w:t>
            </w:r>
            <w:r>
              <w:rPr>
                <w:rFonts w:hint="eastAsia" w:ascii="仿宋" w:hAnsi="仿宋" w:eastAsia="仿宋" w:cs="仿宋"/>
                <w:color w:val="auto"/>
                <w:sz w:val="24"/>
                <w:szCs w:val="24"/>
                <w:highlight w:val="none"/>
              </w:rPr>
              <w:t>名称</w:t>
            </w:r>
          </w:p>
        </w:tc>
        <w:tc>
          <w:tcPr>
            <w:tcW w:w="896" w:type="dxa"/>
            <w:vAlign w:val="center"/>
          </w:tcPr>
          <w:p w14:paraId="262409EE">
            <w:pPr>
              <w:kinsoku/>
              <w:wordWrap w:val="0"/>
              <w:topLinePunct/>
              <w:autoSpaceDE/>
              <w:autoSpaceDN/>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数量</w:t>
            </w:r>
          </w:p>
        </w:tc>
        <w:tc>
          <w:tcPr>
            <w:tcW w:w="1015" w:type="dxa"/>
            <w:vAlign w:val="center"/>
          </w:tcPr>
          <w:p w14:paraId="7D275E2E">
            <w:pPr>
              <w:kinsoku/>
              <w:wordWrap w:val="0"/>
              <w:topLinePunct/>
              <w:autoSpaceDE/>
              <w:autoSpaceDN/>
              <w:spacing w:line="360" w:lineRule="auto"/>
              <w:jc w:val="center"/>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单位</w:t>
            </w:r>
          </w:p>
        </w:tc>
        <w:tc>
          <w:tcPr>
            <w:tcW w:w="1828" w:type="dxa"/>
            <w:vAlign w:val="center"/>
          </w:tcPr>
          <w:p w14:paraId="2EFD9324">
            <w:pPr>
              <w:kinsoku/>
              <w:wordWrap w:val="0"/>
              <w:topLinePunct/>
              <w:autoSpaceDE/>
              <w:autoSpaceDN/>
              <w:jc w:val="center"/>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评分办法</w:t>
            </w:r>
          </w:p>
        </w:tc>
      </w:tr>
      <w:tr w14:paraId="2C5C4C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3" w:hRule="atLeast"/>
        </w:trPr>
        <w:tc>
          <w:tcPr>
            <w:tcW w:w="2312" w:type="dxa"/>
            <w:vAlign w:val="center"/>
          </w:tcPr>
          <w:p w14:paraId="138BF292">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吉县[2026]F10100398</w:t>
            </w:r>
          </w:p>
        </w:tc>
        <w:tc>
          <w:tcPr>
            <w:tcW w:w="2972" w:type="dxa"/>
            <w:vAlign w:val="center"/>
          </w:tcPr>
          <w:p w14:paraId="4FEDAD6E">
            <w:pPr>
              <w:kinsoku/>
              <w:wordWrap w:val="0"/>
              <w:topLinePunct/>
              <w:autoSpaceDE/>
              <w:autoSpaceDN/>
              <w:spacing w:line="360" w:lineRule="auto"/>
              <w:jc w:val="center"/>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吉安县海尔希望小学食堂改造工程</w:t>
            </w:r>
          </w:p>
        </w:tc>
        <w:tc>
          <w:tcPr>
            <w:tcW w:w="896" w:type="dxa"/>
            <w:vAlign w:val="center"/>
          </w:tcPr>
          <w:p w14:paraId="4D13EDF1">
            <w:pPr>
              <w:kinsoku/>
              <w:wordWrap w:val="0"/>
              <w:topLinePunct/>
              <w:autoSpaceDE/>
              <w:autoSpaceDN/>
              <w:adjustRightInd/>
              <w:snapToGrid/>
              <w:spacing w:line="360" w:lineRule="auto"/>
              <w:jc w:val="center"/>
              <w:textAlignment w:val="auto"/>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1</w:t>
            </w:r>
          </w:p>
        </w:tc>
        <w:tc>
          <w:tcPr>
            <w:tcW w:w="1015" w:type="dxa"/>
            <w:vAlign w:val="center"/>
          </w:tcPr>
          <w:p w14:paraId="14D0EE2B">
            <w:pPr>
              <w:kinsoku/>
              <w:wordWrap w:val="0"/>
              <w:topLinePunct/>
              <w:autoSpaceDE/>
              <w:autoSpaceDN/>
              <w:adjustRightInd/>
              <w:snapToGrid/>
              <w:spacing w:line="360" w:lineRule="auto"/>
              <w:jc w:val="center"/>
              <w:textAlignment w:val="auto"/>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项</w:t>
            </w:r>
          </w:p>
        </w:tc>
        <w:tc>
          <w:tcPr>
            <w:tcW w:w="1828" w:type="dxa"/>
            <w:vAlign w:val="center"/>
          </w:tcPr>
          <w:p w14:paraId="11B07C34">
            <w:pPr>
              <w:kinsoku/>
              <w:wordWrap w:val="0"/>
              <w:topLinePunct/>
              <w:autoSpaceDE/>
              <w:autoSpaceDN/>
              <w:adjustRightInd/>
              <w:snapToGrid/>
              <w:spacing w:line="360" w:lineRule="auto"/>
              <w:jc w:val="center"/>
              <w:textAlignment w:val="auto"/>
              <w:rPr>
                <w:rFonts w:hint="eastAsia" w:ascii="仿宋" w:hAnsi="仿宋" w:eastAsia="仿宋" w:cs="仿宋"/>
                <w:bCs/>
                <w:snapToGrid/>
                <w:color w:val="auto"/>
                <w:kern w:val="2"/>
                <w:sz w:val="24"/>
                <w:szCs w:val="24"/>
                <w:highlight w:val="none"/>
                <w:lang w:eastAsia="zh-CN"/>
              </w:rPr>
            </w:pPr>
            <w:r>
              <w:rPr>
                <w:rFonts w:hint="eastAsia" w:ascii="仿宋" w:hAnsi="仿宋" w:eastAsia="仿宋" w:cs="仿宋"/>
                <w:bCs/>
                <w:snapToGrid/>
                <w:color w:val="auto"/>
                <w:kern w:val="2"/>
                <w:sz w:val="24"/>
                <w:szCs w:val="24"/>
                <w:highlight w:val="none"/>
                <w:lang w:eastAsia="zh-CN"/>
              </w:rPr>
              <w:t>最低评标价法</w:t>
            </w:r>
          </w:p>
        </w:tc>
      </w:tr>
    </w:tbl>
    <w:p w14:paraId="2AD2152A">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合同履行期限：</w:t>
      </w:r>
      <w:r>
        <w:rPr>
          <w:rFonts w:hint="eastAsia" w:ascii="仿宋" w:hAnsi="仿宋" w:eastAsia="仿宋" w:cs="仿宋"/>
          <w:color w:val="auto"/>
          <w:sz w:val="24"/>
          <w:highlight w:val="none"/>
          <w:lang w:eastAsia="zh-CN"/>
        </w:rPr>
        <w:t>签订合同后90个工作日内完成项目实施并验收合格。</w:t>
      </w:r>
    </w:p>
    <w:p w14:paraId="465FB11C">
      <w:pPr>
        <w:kinsoku/>
        <w:wordWrap w:val="0"/>
        <w:topLinePunct/>
        <w:autoSpaceDE/>
        <w:autoSpaceDN/>
        <w:spacing w:line="360" w:lineRule="auto"/>
        <w:rPr>
          <w:rFonts w:hint="eastAsia" w:ascii="仿宋" w:hAnsi="仿宋" w:eastAsia="仿宋" w:cs="仿宋"/>
          <w:color w:val="auto"/>
          <w:sz w:val="24"/>
          <w:szCs w:val="24"/>
          <w:highlight w:val="none"/>
          <w:u w:val="single"/>
          <w:lang w:eastAsia="zh-CN"/>
        </w:rPr>
      </w:pPr>
      <w:r>
        <w:rPr>
          <w:rFonts w:hint="eastAsia" w:ascii="仿宋" w:hAnsi="仿宋" w:eastAsia="仿宋" w:cs="仿宋"/>
          <w:color w:val="auto"/>
          <w:sz w:val="24"/>
          <w:szCs w:val="24"/>
          <w:highlight w:val="none"/>
          <w:lang w:eastAsia="zh-CN"/>
        </w:rPr>
        <w:t>本项目是否接受联合体参加谈判：否</w:t>
      </w:r>
    </w:p>
    <w:p w14:paraId="5FFA4A33">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二、供应商的资格要求</w:t>
      </w:r>
    </w:p>
    <w:p w14:paraId="4EE88C5B">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1.满足《中华人民共和国政府采购法》第二十二条规定：</w:t>
      </w:r>
    </w:p>
    <w:p w14:paraId="5B69F4E6">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1.1 具有独立承担民事责任的能力；</w:t>
      </w:r>
    </w:p>
    <w:p w14:paraId="665F75CA">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1.2 具有良好的商业信誉和健全的财务会计制度；</w:t>
      </w:r>
    </w:p>
    <w:p w14:paraId="2AD03FC5">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1.3 具有履行合同所必需的设备和专业技术能力；</w:t>
      </w:r>
    </w:p>
    <w:p w14:paraId="4977DF25">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1.4 有依法缴纳税收和社会保障资金的良好记录；</w:t>
      </w:r>
    </w:p>
    <w:p w14:paraId="72F2C89F">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1.5 参加政府采购活动前三年内，在经营活动中没有重大违法记录；</w:t>
      </w:r>
    </w:p>
    <w:p w14:paraId="78D8E6E7">
      <w:pPr>
        <w:kinsoku/>
        <w:wordWrap w:val="0"/>
        <w:topLinePunct/>
        <w:autoSpaceDE/>
        <w:autoSpaceDN/>
        <w:spacing w:line="360" w:lineRule="auto"/>
        <w:jc w:val="both"/>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1.6 法律、行政法规规定的其他条件。</w:t>
      </w:r>
    </w:p>
    <w:p w14:paraId="6120C4AB">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单位负责人为同一人或者存在直接控股、管理关系的不同供应商，不得参加同一合同项下的采购活动。为本采购项目提供整体设计、规范编制或者项目管理、监理、检测等服务的，不得参加本项目的政府采购活动。</w:t>
      </w:r>
    </w:p>
    <w:p w14:paraId="3D2DC448">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供应商被“信用中国”网站列入失信被执行人或重大税收违法案件当事人名单或被“中国政府采购网”网站列入政府采购严重违法失信行为记录名单（处罚期限尚未届满的）的，不得参加本项目的政府采购活动。</w:t>
      </w:r>
    </w:p>
    <w:p w14:paraId="2B7E1EDB">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4.落实政府采购政策需满足的资格要求：</w:t>
      </w:r>
    </w:p>
    <w:p w14:paraId="267E5A50">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4.1 中小企业政策：本项目专门面向中小企业采购。工程由中小企业承建，即工程施工单位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响应文件中须提供中小企业声明函或省级以上监狱管理局、戒毒管理局（含新疆生产建设兵团）出具的属于监狱企业的证明文件或残疾人福利性单位声明函）</w:t>
      </w:r>
      <w:r>
        <w:rPr>
          <w:rFonts w:hint="eastAsia" w:ascii="仿宋" w:hAnsi="仿宋" w:eastAsia="仿宋" w:cs="仿宋"/>
          <w:b/>
          <w:bCs/>
          <w:color w:val="auto"/>
          <w:sz w:val="24"/>
          <w:szCs w:val="24"/>
          <w:highlight w:val="none"/>
          <w:lang w:eastAsia="zh-CN"/>
        </w:rPr>
        <w:t>【提供中小企业声明函加盖供应商公章】</w:t>
      </w:r>
      <w:r>
        <w:rPr>
          <w:rFonts w:hint="eastAsia" w:ascii="仿宋" w:hAnsi="仿宋" w:eastAsia="仿宋" w:cs="仿宋"/>
          <w:color w:val="auto"/>
          <w:sz w:val="24"/>
          <w:szCs w:val="24"/>
          <w:highlight w:val="none"/>
          <w:lang w:eastAsia="zh-CN"/>
        </w:rPr>
        <w:t>。</w:t>
      </w:r>
      <w:r>
        <w:rPr>
          <w:rFonts w:hint="eastAsia" w:ascii="仿宋" w:hAnsi="仿宋" w:eastAsia="仿宋" w:cs="仿宋"/>
          <w:b/>
          <w:bCs/>
          <w:color w:val="auto"/>
          <w:sz w:val="24"/>
          <w:szCs w:val="24"/>
          <w:highlight w:val="none"/>
          <w:lang w:eastAsia="zh-CN"/>
        </w:rPr>
        <w:t>采购标的所属类型：工程类（对涉及的货物部分制造商不做企业要求）；本项目采购标的所属行业分类：建筑业。</w:t>
      </w:r>
    </w:p>
    <w:p w14:paraId="155151F3">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5.</w:t>
      </w:r>
      <w:r>
        <w:rPr>
          <w:rFonts w:hint="eastAsia" w:ascii="仿宋" w:hAnsi="仿宋" w:eastAsia="仿宋" w:cs="仿宋"/>
          <w:b/>
          <w:bCs/>
          <w:color w:val="auto"/>
          <w:sz w:val="24"/>
          <w:szCs w:val="24"/>
          <w:highlight w:val="none"/>
          <w:lang w:eastAsia="zh-CN"/>
        </w:rPr>
        <w:t>本项目的特定资格要求：</w:t>
      </w:r>
      <w:r>
        <w:rPr>
          <w:rFonts w:hint="eastAsia" w:ascii="仿宋" w:hAnsi="仿宋" w:eastAsia="仿宋" w:cs="仿宋"/>
          <w:color w:val="auto"/>
          <w:spacing w:val="0"/>
          <w:position w:val="0"/>
          <w:sz w:val="24"/>
          <w:szCs w:val="24"/>
          <w:highlight w:val="none"/>
          <w:lang w:val="en-US" w:eastAsia="zh-CN"/>
        </w:rPr>
        <w:t>①具有建筑装修装饰工程专业承包贰级及以上资质或建筑施工总承包三级及以上资质；</w:t>
      </w:r>
      <w:r>
        <w:rPr>
          <w:rFonts w:hint="eastAsia" w:ascii="仿宋" w:hAnsi="仿宋" w:eastAsia="仿宋" w:cs="仿宋"/>
          <w:color w:val="auto"/>
          <w:sz w:val="24"/>
          <w:szCs w:val="24"/>
          <w:highlight w:val="none"/>
          <w:lang w:eastAsia="zh-CN"/>
        </w:rPr>
        <w:t>②具有有效的安全生产许可证</w:t>
      </w:r>
      <w:r>
        <w:rPr>
          <w:rFonts w:hint="eastAsia" w:ascii="仿宋" w:hAnsi="仿宋" w:eastAsia="仿宋" w:cs="仿宋"/>
          <w:b/>
          <w:bCs/>
          <w:color w:val="auto"/>
          <w:sz w:val="24"/>
          <w:szCs w:val="24"/>
          <w:highlight w:val="none"/>
          <w:lang w:eastAsia="zh-CN"/>
        </w:rPr>
        <w:t>【提供相关证书扫描件加盖供应商公章】</w:t>
      </w:r>
      <w:r>
        <w:rPr>
          <w:rFonts w:hint="eastAsia" w:ascii="仿宋" w:hAnsi="仿宋" w:eastAsia="仿宋" w:cs="仿宋"/>
          <w:color w:val="auto"/>
          <w:sz w:val="24"/>
          <w:szCs w:val="24"/>
          <w:highlight w:val="none"/>
          <w:lang w:eastAsia="zh-CN"/>
        </w:rPr>
        <w:t>。</w:t>
      </w:r>
    </w:p>
    <w:p w14:paraId="7F5699DC">
      <w:pPr>
        <w:kinsoku/>
        <w:wordWrap w:val="0"/>
        <w:topLinePunct/>
        <w:autoSpaceDE/>
        <w:autoSpaceDN/>
        <w:spacing w:line="360" w:lineRule="auto"/>
        <w:ind w:left="1"/>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三、获取谈判文件</w:t>
      </w:r>
    </w:p>
    <w:p w14:paraId="1EAB4992">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时间：</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年</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06</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月</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11</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日</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至</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年</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06</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月</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16</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日</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u w:val="single"/>
          <w:lang w:val="en-US" w:eastAsia="zh-CN"/>
        </w:rPr>
        <w:t>0:00</w:t>
      </w:r>
      <w:r>
        <w:rPr>
          <w:rFonts w:hint="eastAsia" w:ascii="仿宋" w:hAnsi="仿宋" w:eastAsia="仿宋" w:cs="仿宋"/>
          <w:color w:val="auto"/>
          <w:sz w:val="24"/>
          <w:szCs w:val="24"/>
          <w:highlight w:val="none"/>
          <w:u w:val="single"/>
          <w:lang w:eastAsia="zh-CN"/>
        </w:rPr>
        <w:t xml:space="preserve"> </w:t>
      </w:r>
      <w:r>
        <w:rPr>
          <w:rFonts w:hint="eastAsia" w:ascii="仿宋" w:hAnsi="仿宋" w:eastAsia="仿宋" w:cs="仿宋"/>
          <w:color w:val="auto"/>
          <w:sz w:val="24"/>
          <w:szCs w:val="24"/>
          <w:highlight w:val="none"/>
          <w:lang w:eastAsia="zh-CN"/>
        </w:rPr>
        <w:t>（北京时间，法定节假日除外）</w:t>
      </w:r>
    </w:p>
    <w:p w14:paraId="65E18116">
      <w:pPr>
        <w:kinsoku/>
        <w:wordWrap w:val="0"/>
        <w:topLinePunct/>
        <w:autoSpaceDE/>
        <w:autoSpaceDN/>
        <w:spacing w:line="360" w:lineRule="auto"/>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地点：江西省公共资源交易</w:t>
      </w:r>
      <w:r>
        <w:rPr>
          <w:rFonts w:hint="eastAsia" w:ascii="仿宋" w:hAnsi="仿宋" w:eastAsia="仿宋" w:cs="仿宋"/>
          <w:color w:val="auto"/>
          <w:sz w:val="24"/>
          <w:szCs w:val="24"/>
          <w:highlight w:val="none"/>
          <w:lang w:eastAsia="zh-CN"/>
        </w:rPr>
        <w:t>平台</w:t>
      </w:r>
      <w:r>
        <w:rPr>
          <w:rFonts w:hint="eastAsia" w:ascii="仿宋" w:hAnsi="仿宋" w:eastAsia="仿宋" w:cs="仿宋"/>
          <w:color w:val="auto"/>
          <w:sz w:val="24"/>
          <w:szCs w:val="24"/>
          <w:highlight w:val="none"/>
        </w:rPr>
        <w:t>（网址：</w:t>
      </w:r>
      <w:r>
        <w:rPr>
          <w:rFonts w:hint="eastAsia" w:ascii="仿宋" w:hAnsi="仿宋" w:eastAsia="仿宋" w:cs="仿宋"/>
          <w:color w:val="auto"/>
          <w:sz w:val="24"/>
          <w:szCs w:val="24"/>
          <w:highlight w:val="none"/>
          <w:u w:val="single"/>
          <w:lang w:eastAsia="zh-CN"/>
        </w:rPr>
        <w:t>https://www.jxsggzy.cn</w:t>
      </w:r>
      <w:r>
        <w:rPr>
          <w:rFonts w:hint="eastAsia" w:ascii="仿宋" w:hAnsi="仿宋" w:eastAsia="仿宋" w:cs="仿宋"/>
          <w:color w:val="auto"/>
          <w:sz w:val="24"/>
          <w:szCs w:val="24"/>
          <w:highlight w:val="none"/>
        </w:rPr>
        <w:t>）</w:t>
      </w:r>
    </w:p>
    <w:p w14:paraId="7C9CF049">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方式：网上确认和下载谈判文件。（详见其他补充事宜）</w:t>
      </w:r>
    </w:p>
    <w:p w14:paraId="225A4A8B">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四、提交响应文件截止时间、谈判时间和地点</w:t>
      </w:r>
    </w:p>
    <w:p w14:paraId="72E98259">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u w:val="single"/>
          <w:lang w:val="en-US" w:eastAsia="zh-CN"/>
        </w:rPr>
        <w:t>2026</w:t>
      </w:r>
      <w:r>
        <w:rPr>
          <w:rFonts w:hint="eastAsia" w:ascii="仿宋" w:hAnsi="仿宋" w:eastAsia="仿宋" w:cs="仿宋"/>
          <w:color w:val="auto"/>
          <w:sz w:val="24"/>
          <w:szCs w:val="24"/>
          <w:highlight w:val="none"/>
          <w:u w:val="single"/>
          <w:lang w:eastAsia="zh-CN"/>
        </w:rPr>
        <w:t xml:space="preserve"> 年 </w:t>
      </w:r>
      <w:r>
        <w:rPr>
          <w:rFonts w:hint="eastAsia" w:ascii="仿宋" w:hAnsi="仿宋" w:eastAsia="仿宋" w:cs="仿宋"/>
          <w:color w:val="auto"/>
          <w:sz w:val="24"/>
          <w:szCs w:val="24"/>
          <w:highlight w:val="none"/>
          <w:u w:val="single"/>
          <w:lang w:val="en-US" w:eastAsia="zh-CN"/>
        </w:rPr>
        <w:t>06</w:t>
      </w:r>
      <w:r>
        <w:rPr>
          <w:rFonts w:hint="eastAsia" w:ascii="仿宋" w:hAnsi="仿宋" w:eastAsia="仿宋" w:cs="仿宋"/>
          <w:color w:val="auto"/>
          <w:sz w:val="24"/>
          <w:szCs w:val="24"/>
          <w:highlight w:val="none"/>
          <w:u w:val="single"/>
          <w:lang w:eastAsia="zh-CN"/>
        </w:rPr>
        <w:t xml:space="preserve"> 月 </w:t>
      </w:r>
      <w:r>
        <w:rPr>
          <w:rFonts w:hint="eastAsia" w:ascii="仿宋" w:hAnsi="仿宋" w:eastAsia="仿宋" w:cs="仿宋"/>
          <w:color w:val="auto"/>
          <w:sz w:val="24"/>
          <w:szCs w:val="24"/>
          <w:highlight w:val="none"/>
          <w:u w:val="single"/>
          <w:lang w:val="en-US" w:eastAsia="zh-CN"/>
        </w:rPr>
        <w:t xml:space="preserve">23 </w:t>
      </w:r>
      <w:r>
        <w:rPr>
          <w:rFonts w:hint="eastAsia" w:ascii="仿宋" w:hAnsi="仿宋" w:eastAsia="仿宋" w:cs="仿宋"/>
          <w:color w:val="auto"/>
          <w:sz w:val="24"/>
          <w:szCs w:val="24"/>
          <w:highlight w:val="none"/>
          <w:u w:val="single"/>
          <w:lang w:eastAsia="zh-CN"/>
        </w:rPr>
        <w:t xml:space="preserve">日 </w:t>
      </w:r>
      <w:r>
        <w:rPr>
          <w:rFonts w:hint="eastAsia" w:ascii="仿宋" w:hAnsi="仿宋" w:eastAsia="仿宋" w:cs="仿宋"/>
          <w:color w:val="auto"/>
          <w:sz w:val="24"/>
          <w:szCs w:val="24"/>
          <w:highlight w:val="none"/>
          <w:u w:val="single"/>
          <w:lang w:val="en-US" w:eastAsia="zh-CN"/>
        </w:rPr>
        <w:t>09</w:t>
      </w:r>
      <w:r>
        <w:rPr>
          <w:rFonts w:hint="eastAsia" w:ascii="仿宋" w:hAnsi="仿宋" w:eastAsia="仿宋" w:cs="仿宋"/>
          <w:color w:val="auto"/>
          <w:sz w:val="24"/>
          <w:szCs w:val="24"/>
          <w:highlight w:val="none"/>
          <w:u w:val="single"/>
          <w:lang w:eastAsia="zh-CN"/>
        </w:rPr>
        <w:t xml:space="preserve"> 点 </w:t>
      </w:r>
      <w:r>
        <w:rPr>
          <w:rFonts w:hint="eastAsia" w:ascii="仿宋" w:hAnsi="仿宋" w:eastAsia="仿宋" w:cs="仿宋"/>
          <w:color w:val="auto"/>
          <w:sz w:val="24"/>
          <w:szCs w:val="24"/>
          <w:highlight w:val="none"/>
          <w:u w:val="single"/>
          <w:lang w:val="en-US" w:eastAsia="zh-CN"/>
        </w:rPr>
        <w:t>30</w:t>
      </w:r>
      <w:r>
        <w:rPr>
          <w:rFonts w:hint="eastAsia" w:ascii="仿宋" w:hAnsi="仿宋" w:eastAsia="仿宋" w:cs="仿宋"/>
          <w:color w:val="auto"/>
          <w:sz w:val="24"/>
          <w:szCs w:val="24"/>
          <w:highlight w:val="none"/>
          <w:u w:val="single"/>
          <w:lang w:eastAsia="zh-CN"/>
        </w:rPr>
        <w:t xml:space="preserve"> 分</w:t>
      </w:r>
      <w:r>
        <w:rPr>
          <w:rFonts w:hint="eastAsia" w:ascii="仿宋" w:hAnsi="仿宋" w:eastAsia="仿宋" w:cs="仿宋"/>
          <w:color w:val="auto"/>
          <w:sz w:val="24"/>
          <w:szCs w:val="24"/>
          <w:highlight w:val="none"/>
          <w:lang w:eastAsia="zh-CN"/>
        </w:rPr>
        <w:t>（北京时间）</w:t>
      </w:r>
    </w:p>
    <w:p w14:paraId="5D28D959">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地点：江西省公共资源交易网-不见面开标大厅</w:t>
      </w:r>
    </w:p>
    <w:p w14:paraId="20B877F3">
      <w:pPr>
        <w:numPr>
          <w:ilvl w:val="0"/>
          <w:numId w:val="1"/>
        </w:numPr>
        <w:kinsoku/>
        <w:wordWrap w:val="0"/>
        <w:topLinePunct/>
        <w:autoSpaceDE/>
        <w:autoSpaceDN/>
        <w:spacing w:line="360" w:lineRule="auto"/>
        <w:ind w:left="4"/>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公告期限</w:t>
      </w:r>
    </w:p>
    <w:p w14:paraId="6EE760B0">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自本公告发布之日起3个工作日。</w:t>
      </w:r>
    </w:p>
    <w:p w14:paraId="085321C5">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六、其他补充事宜</w:t>
      </w:r>
    </w:p>
    <w:p w14:paraId="270A63F1">
      <w:pPr>
        <w:kinsoku/>
        <w:wordWrap w:val="0"/>
        <w:topLinePunct/>
        <w:autoSpaceDE/>
        <w:autoSpaceDN/>
        <w:spacing w:line="360" w:lineRule="auto"/>
        <w:ind w:right="2"/>
        <w:jc w:val="both"/>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1.潜在供应商必须在江西省公共资源交易平台（网址：</w:t>
      </w:r>
      <w:r>
        <w:rPr>
          <w:rFonts w:hint="eastAsia" w:ascii="仿宋" w:hAnsi="仿宋" w:eastAsia="仿宋" w:cs="仿宋"/>
          <w:color w:val="auto"/>
          <w:sz w:val="24"/>
          <w:szCs w:val="24"/>
          <w:highlight w:val="none"/>
          <w:u w:val="single"/>
          <w:lang w:eastAsia="zh-CN"/>
        </w:rPr>
        <w:t>https://www.jxsggzy.cn</w:t>
      </w:r>
      <w:r>
        <w:rPr>
          <w:rFonts w:hint="eastAsia" w:ascii="仿宋" w:hAnsi="仿宋" w:eastAsia="仿宋" w:cs="仿宋"/>
          <w:color w:val="auto"/>
          <w:sz w:val="24"/>
          <w:szCs w:val="24"/>
          <w:highlight w:val="none"/>
          <w:lang w:eastAsia="zh-CN"/>
        </w:rPr>
        <w:t>）注册并办理江西省 CA 数字证书和电子签章。具体要求详见“江西省公共资源交易平台－服务指南－投标单位”（网址：</w:t>
      </w:r>
      <w:r>
        <w:rPr>
          <w:rFonts w:hint="eastAsia" w:ascii="仿宋" w:hAnsi="仿宋" w:eastAsia="仿宋" w:cs="仿宋"/>
          <w:color w:val="auto"/>
          <w:sz w:val="24"/>
          <w:szCs w:val="24"/>
          <w:highlight w:val="none"/>
          <w:u w:val="single"/>
          <w:lang w:eastAsia="zh-CN"/>
        </w:rPr>
        <w:t>https://www.jxsggzy.cn</w:t>
      </w:r>
      <w:r>
        <w:rPr>
          <w:rFonts w:hint="eastAsia" w:ascii="仿宋" w:hAnsi="仿宋" w:eastAsia="仿宋" w:cs="仿宋"/>
          <w:color w:val="auto"/>
          <w:sz w:val="24"/>
          <w:szCs w:val="24"/>
          <w:highlight w:val="none"/>
          <w:lang w:eastAsia="zh-CN"/>
        </w:rPr>
        <w:t>）。潜在供应商未使用本单位 CA 数字证书在江西省公共资源交易平台下载谈判文件的，视为未获取谈判文件，不得参加本项目的谈判活动；</w:t>
      </w:r>
    </w:p>
    <w:p w14:paraId="13406686">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2.本项目采用</w:t>
      </w:r>
      <w:r>
        <w:rPr>
          <w:rFonts w:hint="eastAsia" w:ascii="仿宋" w:hAnsi="仿宋" w:eastAsia="仿宋" w:cs="仿宋"/>
          <w:b/>
          <w:bCs/>
          <w:color w:val="auto"/>
          <w:sz w:val="24"/>
          <w:szCs w:val="24"/>
          <w:highlight w:val="none"/>
          <w:lang w:eastAsia="zh-CN"/>
        </w:rPr>
        <w:t>“不见面”谈判方式</w:t>
      </w:r>
      <w:r>
        <w:rPr>
          <w:rFonts w:hint="eastAsia" w:ascii="仿宋" w:hAnsi="仿宋" w:eastAsia="仿宋" w:cs="仿宋"/>
          <w:color w:val="auto"/>
          <w:sz w:val="24"/>
          <w:szCs w:val="24"/>
          <w:highlight w:val="none"/>
          <w:lang w:eastAsia="zh-CN"/>
        </w:rPr>
        <w:t>，供应商无需到谈判现场，供应商应在提交响应文件截止时间前1小时进入江西省公共资源交易网-不见面开标大厅（具体详见供应商操作手册），否则无法进入后续的谈判环节。具体注意事项详见谈判文件第二章，各供应商需保持在线进行远程线上报价，在</w:t>
      </w:r>
      <w:r>
        <w:rPr>
          <w:rFonts w:hint="eastAsia" w:ascii="仿宋" w:hAnsi="仿宋" w:eastAsia="仿宋" w:cs="仿宋"/>
          <w:b/>
          <w:bCs/>
          <w:color w:val="auto"/>
          <w:sz w:val="24"/>
          <w:szCs w:val="24"/>
          <w:highlight w:val="none"/>
          <w:lang w:eastAsia="zh-CN"/>
        </w:rPr>
        <w:t>规定时间内未完成二次报价的</w:t>
      </w:r>
      <w:r>
        <w:rPr>
          <w:rFonts w:hint="eastAsia" w:ascii="仿宋" w:hAnsi="仿宋" w:eastAsia="仿宋" w:cs="仿宋"/>
          <w:color w:val="auto"/>
          <w:sz w:val="24"/>
          <w:szCs w:val="24"/>
          <w:highlight w:val="none"/>
          <w:lang w:eastAsia="zh-CN"/>
        </w:rPr>
        <w:t>，视为退出谈判。</w:t>
      </w:r>
    </w:p>
    <w:p w14:paraId="5D300B60">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3.本项目采购国内产品，不允许提供进口产品参与采购活动；</w:t>
      </w:r>
    </w:p>
    <w:p w14:paraId="2D72CD54">
      <w:pPr>
        <w:kinsoku/>
        <w:wordWrap w:val="0"/>
        <w:topLinePunct/>
        <w:autoSpaceDE/>
        <w:autoSpaceDN/>
        <w:spacing w:line="360" w:lineRule="auto"/>
        <w:rPr>
          <w:rFonts w:hint="eastAsia" w:ascii="仿宋" w:hAnsi="仿宋" w:eastAsia="仿宋" w:cs="仿宋"/>
          <w:color w:val="auto"/>
          <w:spacing w:val="-1"/>
          <w:sz w:val="24"/>
          <w:szCs w:val="24"/>
          <w:highlight w:val="none"/>
          <w:lang w:eastAsia="zh-CN"/>
        </w:rPr>
      </w:pPr>
      <w:r>
        <w:rPr>
          <w:rFonts w:hint="eastAsia" w:ascii="仿宋" w:hAnsi="仿宋" w:eastAsia="仿宋" w:cs="仿宋"/>
          <w:color w:val="auto"/>
          <w:sz w:val="24"/>
          <w:szCs w:val="24"/>
          <w:highlight w:val="none"/>
          <w:lang w:eastAsia="zh-CN"/>
        </w:rPr>
        <w:t>4.本项目需要落实的政府采购政策：节约能源，保护环境，促进中小企业发展，支持监狱、戒毒企业发展，促进残疾人就业等政府采</w:t>
      </w:r>
      <w:r>
        <w:rPr>
          <w:rFonts w:hint="eastAsia" w:ascii="仿宋" w:hAnsi="仿宋" w:eastAsia="仿宋" w:cs="仿宋"/>
          <w:color w:val="auto"/>
          <w:spacing w:val="-1"/>
          <w:sz w:val="24"/>
          <w:szCs w:val="24"/>
          <w:highlight w:val="none"/>
          <w:lang w:eastAsia="zh-CN"/>
        </w:rPr>
        <w:t>购政策（不适用者除外）。</w:t>
      </w:r>
    </w:p>
    <w:p w14:paraId="764B4265">
      <w:pPr>
        <w:kinsoku/>
        <w:wordWrap w:val="0"/>
        <w:topLinePunct/>
        <w:autoSpaceDE/>
        <w:autoSpaceDN/>
        <w:spacing w:line="360" w:lineRule="auto"/>
        <w:jc w:val="both"/>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val="en-US" w:eastAsia="zh-CN"/>
        </w:rPr>
        <w:t>5.</w:t>
      </w:r>
      <w:r>
        <w:rPr>
          <w:rFonts w:hint="eastAsia" w:ascii="仿宋" w:hAnsi="仿宋" w:eastAsia="仿宋" w:cs="仿宋"/>
          <w:color w:val="auto"/>
          <w:sz w:val="24"/>
          <w:szCs w:val="24"/>
          <w:highlight w:val="none"/>
          <w:lang w:eastAsia="zh-CN"/>
        </w:rPr>
        <w:t>如本项目采购的产品属于政府强制采购节能产品的，在响应文件中必须提供《参与实施政府采购节能产品认证机构名录》中的对应产品认证机构出具的节能产品认证证书或国家市场监督管理总局的节能产品查询结果截图；</w:t>
      </w:r>
    </w:p>
    <w:p w14:paraId="4621A61B">
      <w:pPr>
        <w:kinsoku/>
        <w:wordWrap w:val="0"/>
        <w:topLinePunct/>
        <w:autoSpaceDE/>
        <w:autoSpaceDN/>
        <w:spacing w:line="360" w:lineRule="auto"/>
        <w:rPr>
          <w:rFonts w:hint="eastAsia" w:ascii="仿宋" w:hAnsi="仿宋" w:eastAsia="仿宋" w:cs="仿宋"/>
          <w:color w:val="auto"/>
          <w:spacing w:val="-1"/>
          <w:sz w:val="24"/>
          <w:szCs w:val="24"/>
          <w:highlight w:val="none"/>
          <w:lang w:eastAsia="zh-CN"/>
        </w:rPr>
      </w:pPr>
      <w:r>
        <w:rPr>
          <w:rFonts w:hint="eastAsia" w:ascii="仿宋" w:hAnsi="仿宋" w:eastAsia="仿宋" w:cs="仿宋"/>
          <w:color w:val="auto"/>
          <w:spacing w:val="-1"/>
          <w:sz w:val="24"/>
          <w:szCs w:val="24"/>
          <w:highlight w:val="none"/>
          <w:lang w:val="en-US" w:eastAsia="zh-CN"/>
        </w:rPr>
        <w:t>6.</w:t>
      </w:r>
      <w:r>
        <w:rPr>
          <w:rFonts w:hint="eastAsia" w:ascii="仿宋" w:hAnsi="仿宋" w:eastAsia="仿宋" w:cs="仿宋"/>
          <w:color w:val="auto"/>
          <w:spacing w:val="-1"/>
          <w:sz w:val="24"/>
          <w:szCs w:val="24"/>
          <w:highlight w:val="none"/>
          <w:lang w:eastAsia="zh-CN"/>
        </w:rPr>
        <w:t>本项目是否采用远程异地评标：否</w:t>
      </w:r>
    </w:p>
    <w:p w14:paraId="40B3D8F3">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七、对本次谈判提出询问，请按以下方式联系</w:t>
      </w:r>
    </w:p>
    <w:p w14:paraId="4A653895">
      <w:pPr>
        <w:kinsoku/>
        <w:wordWrap w:val="0"/>
        <w:topLinePunct/>
        <w:autoSpaceDE/>
        <w:autoSpaceDN/>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1.采购人信息</w:t>
      </w:r>
    </w:p>
    <w:p w14:paraId="0EBAC843">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采购单位：吉安县海尔希望小学</w:t>
      </w:r>
    </w:p>
    <w:p w14:paraId="7EEDC476">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采购单位地址：吉安市吉安县兴华路37号</w:t>
      </w:r>
    </w:p>
    <w:p w14:paraId="531AF0F2">
      <w:pPr>
        <w:spacing w:line="360" w:lineRule="auto"/>
        <w:rPr>
          <w:rFonts w:hint="eastAsia" w:ascii="仿宋" w:hAnsi="仿宋" w:eastAsia="仿宋" w:cs="仿宋"/>
          <w:color w:val="auto"/>
          <w:sz w:val="24"/>
          <w:highlight w:val="none"/>
          <w:lang w:eastAsia="zh-CN"/>
        </w:rPr>
      </w:pPr>
      <w:r>
        <w:rPr>
          <w:rFonts w:hint="eastAsia" w:ascii="仿宋" w:hAnsi="仿宋" w:eastAsia="仿宋" w:cs="仿宋"/>
          <w:color w:val="auto"/>
          <w:sz w:val="24"/>
          <w:szCs w:val="24"/>
          <w:highlight w:val="none"/>
          <w:lang w:eastAsia="zh-CN"/>
        </w:rPr>
        <w:t>采购单位联系人及联系电话：周先生</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lang w:eastAsia="zh-CN"/>
        </w:rPr>
        <w:t>0796</w:t>
      </w:r>
      <w:r>
        <w:rPr>
          <w:rFonts w:hint="eastAsia" w:ascii="仿宋" w:hAnsi="仿宋" w:eastAsia="仿宋" w:cs="仿宋"/>
          <w:color w:val="auto"/>
          <w:sz w:val="24"/>
          <w:szCs w:val="24"/>
          <w:highlight w:val="none"/>
          <w:lang w:val="en-US" w:eastAsia="zh-CN"/>
        </w:rPr>
        <w:t>-</w:t>
      </w:r>
      <w:r>
        <w:rPr>
          <w:rFonts w:hint="eastAsia" w:ascii="仿宋" w:hAnsi="仿宋" w:eastAsia="仿宋" w:cs="仿宋"/>
          <w:color w:val="auto"/>
          <w:sz w:val="24"/>
          <w:szCs w:val="24"/>
          <w:highlight w:val="none"/>
          <w:lang w:eastAsia="zh-CN"/>
        </w:rPr>
        <w:t>7113512</w:t>
      </w:r>
    </w:p>
    <w:p w14:paraId="62F36702">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2.采购代理机构信息</w:t>
      </w:r>
    </w:p>
    <w:p w14:paraId="4F09E37F">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名 称：江西省朝旭企业管理咨询有限公司</w:t>
      </w:r>
    </w:p>
    <w:p w14:paraId="705AA1CC">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地 址：吉安市吉州区井冈山大道201号三楼</w:t>
      </w:r>
    </w:p>
    <w:p w14:paraId="037C4C91">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项目联系人：杨女士</w:t>
      </w:r>
    </w:p>
    <w:p w14:paraId="7D0687CC">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  话：0796-8831066</w:t>
      </w:r>
    </w:p>
    <w:p w14:paraId="64C59639">
      <w:pPr>
        <w:spacing w:line="360" w:lineRule="auto"/>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highlight w:val="none"/>
          <w:lang w:eastAsia="zh-CN"/>
        </w:rPr>
        <w:t>电子函件：</w:t>
      </w:r>
      <w:r>
        <w:rPr>
          <w:color w:val="auto"/>
          <w:highlight w:val="none"/>
        </w:rPr>
        <w:fldChar w:fldCharType="begin"/>
      </w:r>
      <w:r>
        <w:rPr>
          <w:color w:val="auto"/>
          <w:highlight w:val="none"/>
        </w:rPr>
        <w:instrText xml:space="preserve"> HYPERLINK "mailto:jxzxqy2019@163.com" </w:instrText>
      </w:r>
      <w:r>
        <w:rPr>
          <w:color w:val="auto"/>
          <w:highlight w:val="none"/>
        </w:rPr>
        <w:fldChar w:fldCharType="separate"/>
      </w:r>
      <w:r>
        <w:rPr>
          <w:rFonts w:hint="eastAsia" w:ascii="仿宋" w:hAnsi="仿宋" w:eastAsia="仿宋" w:cs="仿宋"/>
          <w:color w:val="auto"/>
          <w:sz w:val="24"/>
          <w:szCs w:val="24"/>
          <w:highlight w:val="none"/>
          <w:lang w:eastAsia="zh-CN"/>
        </w:rPr>
        <w:t>jxzxqy2019@163.com</w:t>
      </w:r>
      <w:r>
        <w:rPr>
          <w:rFonts w:hint="eastAsia" w:ascii="仿宋" w:hAnsi="仿宋" w:eastAsia="仿宋" w:cs="仿宋"/>
          <w:color w:val="auto"/>
          <w:sz w:val="24"/>
          <w:szCs w:val="24"/>
          <w:highlight w:val="none"/>
          <w:lang w:eastAsia="zh-CN"/>
        </w:rPr>
        <w:fldChar w:fldCharType="end"/>
      </w:r>
    </w:p>
    <w:p w14:paraId="383EA281"/>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4B3745"/>
    <w:multiLevelType w:val="singleLevel"/>
    <w:tmpl w:val="A74B374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0580C2F"/>
    <w:rsid w:val="70580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2026-06-09T10:28:00Z</dcterms:created>
  <dc:creator>Administrator</dc:creator>
  <cp:lastModifiedBy>Administrator</cp:lastModifiedBy>
  <dcterms:modified xsi:type="dcterms:W3CDTF">2026-06-09T10:28:42Z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A74F908751604039978BD37DADA1BDB0_11</vt:lpwstr>
  </property>
  <property fmtid="{D5CDD505-2E9C-101B-9397-08002B2CF9AE}" pid="4" name="KSOTemplateDocerSaveRecord">
    <vt:lpwstr>eyJoZGlkIjoiMzZkYTUzOWJkMzQzMzFiMzk3YTQxYTYxNjE0NWM3ZGMiLCJ1c2VySWQiOiI0MzcwNTM4NTYifQ==</vt:lpwstr>
  </property>
</Properties>
</file>