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8CEC2D">
      <w:pPr>
        <w:pStyle w:val="2"/>
        <w:bidi w:val="0"/>
      </w:pPr>
      <w:r>
        <w:t xml:space="preserve">（一） </w:t>
      </w:r>
      <w:r>
        <w:rPr>
          <w:rFonts w:hint="eastAsia"/>
          <w:lang w:val="en-US" w:eastAsia="zh-CN"/>
        </w:rPr>
        <w:t>服务</w:t>
      </w:r>
      <w:r>
        <w:t>需求</w:t>
      </w:r>
    </w:p>
    <w:p w14:paraId="1D2A4CB7">
      <w:pPr>
        <w:pStyle w:val="3"/>
        <w:bidi w:val="0"/>
        <w:rPr>
          <w:rFonts w:hint="eastAsia" w:ascii="宋体" w:hAnsi="宋体" w:eastAsia="宋体" w:cs="宋体"/>
          <w:lang w:val="en-US" w:eastAsia="zh-CN"/>
        </w:rPr>
      </w:pPr>
      <w:r>
        <w:rPr>
          <w:rFonts w:hint="eastAsia" w:ascii="宋体" w:hAnsi="宋体" w:eastAsia="宋体" w:cs="宋体"/>
          <w:lang w:val="en-US" w:eastAsia="zh-CN"/>
        </w:rPr>
        <w:t>1、项目概况</w:t>
      </w:r>
    </w:p>
    <w:p w14:paraId="09640805">
      <w:pPr>
        <w:keepNext w:val="0"/>
        <w:keepLines w:val="0"/>
        <w:widowControl/>
        <w:suppressLineNumbers w:val="0"/>
        <w:spacing w:line="360" w:lineRule="auto"/>
        <w:ind w:left="0" w:leftChars="0" w:firstLine="490" w:firstLineChars="175"/>
        <w:jc w:val="left"/>
        <w:rPr>
          <w:rFonts w:hint="eastAsia" w:ascii="宋体" w:hAnsi="宋体" w:eastAsia="宋体" w:cs="宋体"/>
          <w:b/>
          <w:bCs/>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为进一步加强九江市社会福利院（九江市养老服务中心，九江市精神卫生福利院）管理和日常监督工作，拟通过公开招标的方式，选定一家中标单位，提供福利院食堂食材、副食品（含零食、水果）和特困对象牛奶等采购配送项目等采购配送服务，配送内容详见附件品类清单(采购品类清单仅作为参考，实际采购内容包含但不限于采购品类清单所有品类食材，可能采购品类清单之外的食材),</w:t>
      </w:r>
      <w:r>
        <w:rPr>
          <w:rFonts w:hint="eastAsia" w:ascii="宋体" w:hAnsi="宋体" w:eastAsia="宋体" w:cs="宋体"/>
          <w:b/>
          <w:bCs/>
          <w:snapToGrid w:val="0"/>
          <w:color w:val="0000FF"/>
          <w:kern w:val="0"/>
          <w:sz w:val="28"/>
          <w:szCs w:val="28"/>
          <w:lang w:val="en-US" w:eastAsia="zh-CN"/>
        </w:rPr>
        <w:t>服务期为一年，因食堂食材采购易受市场价格变动等因素影响，结算以实际发生费用为准。</w:t>
      </w:r>
      <w:r>
        <w:rPr>
          <w:rFonts w:hint="eastAsia" w:ascii="宋体" w:hAnsi="宋体" w:eastAsia="宋体" w:cs="宋体"/>
          <w:b/>
          <w:bCs/>
          <w:snapToGrid w:val="0"/>
          <w:color w:val="000000"/>
          <w:kern w:val="0"/>
          <w:sz w:val="28"/>
          <w:szCs w:val="28"/>
          <w:lang w:val="en-US" w:eastAsia="zh-CN"/>
        </w:rPr>
        <w:t xml:space="preserve"> </w:t>
      </w:r>
    </w:p>
    <w:p w14:paraId="481C6D22">
      <w:pPr>
        <w:pStyle w:val="3"/>
        <w:bidi w:val="0"/>
        <w:rPr>
          <w:rFonts w:hint="eastAsia" w:ascii="宋体" w:hAnsi="宋体" w:eastAsia="宋体" w:cs="宋体"/>
          <w:lang w:val="en-US" w:eastAsia="zh-CN"/>
        </w:rPr>
      </w:pPr>
      <w:r>
        <w:rPr>
          <w:rFonts w:hint="eastAsia" w:ascii="宋体" w:hAnsi="宋体" w:eastAsia="宋体" w:cs="宋体"/>
          <w:lang w:val="en-US" w:eastAsia="zh-CN"/>
        </w:rPr>
        <w:t xml:space="preserve">2、采购物品要求 </w:t>
      </w:r>
    </w:p>
    <w:p w14:paraId="4E59191A">
      <w:pPr>
        <w:keepNext w:val="0"/>
        <w:keepLines w:val="0"/>
        <w:widowControl/>
        <w:suppressLineNumbers w:val="0"/>
        <w:spacing w:line="360" w:lineRule="auto"/>
        <w:ind w:left="0" w:leftChars="0" w:firstLine="490" w:firstLineChars="175"/>
        <w:jc w:val="left"/>
        <w:rPr>
          <w:rFonts w:hint="eastAsia" w:ascii="宋体" w:hAnsi="宋体" w:eastAsia="宋体" w:cs="宋体"/>
          <w:b/>
          <w:bCs/>
          <w:snapToGrid w:val="0"/>
          <w:color w:val="0000FF"/>
          <w:kern w:val="0"/>
          <w:sz w:val="28"/>
          <w:szCs w:val="28"/>
          <w:u w:val="none"/>
          <w:lang w:val="en-US" w:eastAsia="zh-CN"/>
        </w:rPr>
      </w:pPr>
      <w:r>
        <w:rPr>
          <w:rFonts w:hint="eastAsia" w:ascii="宋体" w:hAnsi="宋体" w:eastAsia="宋体" w:cs="宋体"/>
          <w:snapToGrid w:val="0"/>
          <w:color w:val="000000"/>
          <w:kern w:val="0"/>
          <w:sz w:val="28"/>
          <w:szCs w:val="28"/>
          <w:lang w:val="en-US" w:eastAsia="zh-CN"/>
        </w:rPr>
        <w:t>（1）</w:t>
      </w:r>
      <w:r>
        <w:rPr>
          <w:rFonts w:hint="eastAsia" w:ascii="宋体" w:hAnsi="宋体" w:eastAsia="宋体" w:cs="宋体"/>
          <w:b w:val="0"/>
          <w:bCs w:val="0"/>
          <w:snapToGrid w:val="0"/>
          <w:color w:val="000000"/>
          <w:kern w:val="0"/>
          <w:sz w:val="28"/>
          <w:szCs w:val="28"/>
          <w:u w:val="none"/>
          <w:lang w:val="en-US" w:eastAsia="zh-CN"/>
        </w:rPr>
        <w:t>九江市社会福利院（九江市养老服务中心，九江市精神卫生福利院）食堂日常所需</w:t>
      </w:r>
      <w:r>
        <w:rPr>
          <w:rFonts w:hint="eastAsia" w:ascii="宋体" w:hAnsi="宋体" w:eastAsia="宋体" w:cs="宋体"/>
          <w:snapToGrid w:val="0"/>
          <w:color w:val="000000"/>
          <w:kern w:val="0"/>
          <w:sz w:val="28"/>
          <w:szCs w:val="28"/>
          <w:lang w:val="en-US" w:eastAsia="zh-CN"/>
        </w:rPr>
        <w:t>食堂食材、副食品（含零食、水果）和特困对象牛奶</w:t>
      </w:r>
      <w:r>
        <w:rPr>
          <w:rFonts w:hint="eastAsia" w:ascii="宋体" w:hAnsi="宋体" w:eastAsia="宋体" w:cs="宋体"/>
          <w:b w:val="0"/>
          <w:bCs w:val="0"/>
          <w:sz w:val="28"/>
          <w:szCs w:val="28"/>
          <w:u w:val="none"/>
          <w:lang w:eastAsia="zh-CN"/>
        </w:rPr>
        <w:t>等</w:t>
      </w:r>
      <w:r>
        <w:rPr>
          <w:rFonts w:hint="eastAsia" w:ascii="宋体" w:hAnsi="宋体" w:eastAsia="宋体" w:cs="宋体"/>
          <w:b w:val="0"/>
          <w:bCs w:val="0"/>
          <w:snapToGrid w:val="0"/>
          <w:color w:val="000000"/>
          <w:kern w:val="0"/>
          <w:sz w:val="28"/>
          <w:szCs w:val="28"/>
          <w:u w:val="none"/>
          <w:lang w:val="en-US" w:eastAsia="zh-CN"/>
        </w:rPr>
        <w:t>由成交供应商采购配送。</w:t>
      </w:r>
      <w:r>
        <w:rPr>
          <w:rFonts w:hint="eastAsia" w:ascii="宋体" w:hAnsi="宋体" w:eastAsia="宋体" w:cs="宋体"/>
          <w:b w:val="0"/>
          <w:bCs w:val="0"/>
          <w:sz w:val="28"/>
          <w:szCs w:val="28"/>
          <w:u w:val="none"/>
          <w:lang w:eastAsia="zh-CN"/>
        </w:rPr>
        <w:t>食堂食材的</w:t>
      </w:r>
      <w:r>
        <w:rPr>
          <w:rFonts w:hint="eastAsia" w:ascii="宋体" w:hAnsi="宋体" w:eastAsia="宋体" w:cs="宋体"/>
          <w:b w:val="0"/>
          <w:bCs w:val="0"/>
          <w:snapToGrid w:val="0"/>
          <w:color w:val="000000"/>
          <w:kern w:val="0"/>
          <w:sz w:val="28"/>
          <w:szCs w:val="28"/>
          <w:u w:val="none"/>
          <w:lang w:val="en-US" w:eastAsia="zh-CN"/>
        </w:rPr>
        <w:t>采购类别包括（不限于）：畜肉禽蛋类；水产类；调味品类；豆制品类；方便食品类；蔬菜类；粮油干货类及其他副食品类等。</w:t>
      </w:r>
      <w:r>
        <w:rPr>
          <w:rFonts w:hint="eastAsia" w:ascii="宋体" w:hAnsi="宋体" w:eastAsia="宋体" w:cs="宋体"/>
          <w:b/>
          <w:bCs/>
          <w:snapToGrid w:val="0"/>
          <w:color w:val="0000FF"/>
          <w:kern w:val="0"/>
          <w:sz w:val="28"/>
          <w:szCs w:val="28"/>
          <w:u w:val="none"/>
          <w:lang w:val="en-US" w:eastAsia="zh-CN"/>
        </w:rPr>
        <w:t>食材采购</w:t>
      </w:r>
      <w:r>
        <w:rPr>
          <w:rFonts w:hint="eastAsia" w:ascii="宋体" w:hAnsi="宋体" w:eastAsia="宋体" w:cs="宋体"/>
          <w:b/>
          <w:bCs/>
          <w:color w:val="0000FF"/>
          <w:sz w:val="28"/>
          <w:szCs w:val="28"/>
          <w:u w:val="none"/>
          <w:lang w:eastAsia="zh-CN"/>
        </w:rPr>
        <w:t>采购</w:t>
      </w:r>
      <w:r>
        <w:rPr>
          <w:rFonts w:hint="eastAsia" w:ascii="宋体" w:hAnsi="宋体" w:eastAsia="宋体" w:cs="宋体"/>
          <w:b/>
          <w:bCs/>
          <w:snapToGrid w:val="0"/>
          <w:color w:val="0000FF"/>
          <w:kern w:val="0"/>
          <w:sz w:val="28"/>
          <w:szCs w:val="28"/>
          <w:u w:val="none"/>
          <w:lang w:val="en-US" w:eastAsia="zh-CN"/>
        </w:rPr>
        <w:t>费用每年大约占总金额的92%、</w:t>
      </w:r>
      <w:r>
        <w:rPr>
          <w:rFonts w:hint="eastAsia" w:ascii="宋体" w:hAnsi="宋体" w:eastAsia="宋体" w:cs="宋体"/>
          <w:b/>
          <w:bCs/>
          <w:snapToGrid w:val="0"/>
          <w:color w:val="0000FF"/>
          <w:kern w:val="0"/>
          <w:sz w:val="28"/>
          <w:szCs w:val="28"/>
          <w:lang w:val="en-US" w:eastAsia="zh-CN"/>
        </w:rPr>
        <w:t>副食品（含零食、水果）</w:t>
      </w:r>
      <w:r>
        <w:rPr>
          <w:rFonts w:hint="eastAsia" w:ascii="宋体" w:hAnsi="宋体" w:eastAsia="宋体" w:cs="宋体"/>
          <w:b/>
          <w:bCs/>
          <w:color w:val="0000FF"/>
          <w:sz w:val="28"/>
          <w:szCs w:val="28"/>
          <w:u w:val="none"/>
          <w:lang w:eastAsia="zh-CN"/>
        </w:rPr>
        <w:t>采购</w:t>
      </w:r>
      <w:r>
        <w:rPr>
          <w:rFonts w:hint="eastAsia" w:ascii="宋体" w:hAnsi="宋体" w:eastAsia="宋体" w:cs="宋体"/>
          <w:b/>
          <w:bCs/>
          <w:snapToGrid w:val="0"/>
          <w:color w:val="0000FF"/>
          <w:kern w:val="0"/>
          <w:sz w:val="28"/>
          <w:szCs w:val="28"/>
          <w:u w:val="none"/>
          <w:lang w:val="en-US" w:eastAsia="zh-CN"/>
        </w:rPr>
        <w:t>费用每年大约占总金额的4%、</w:t>
      </w:r>
      <w:r>
        <w:rPr>
          <w:rFonts w:hint="eastAsia" w:ascii="宋体" w:hAnsi="宋体" w:eastAsia="宋体" w:cs="宋体"/>
          <w:b/>
          <w:bCs/>
          <w:color w:val="0000FF"/>
          <w:sz w:val="28"/>
          <w:szCs w:val="28"/>
          <w:u w:val="none"/>
          <w:lang w:eastAsia="zh-CN"/>
        </w:rPr>
        <w:t>牛奶采购</w:t>
      </w:r>
      <w:r>
        <w:rPr>
          <w:rFonts w:hint="eastAsia" w:ascii="宋体" w:hAnsi="宋体" w:eastAsia="宋体" w:cs="宋体"/>
          <w:b/>
          <w:bCs/>
          <w:snapToGrid w:val="0"/>
          <w:color w:val="0000FF"/>
          <w:kern w:val="0"/>
          <w:sz w:val="28"/>
          <w:szCs w:val="28"/>
          <w:u w:val="none"/>
          <w:lang w:val="en-US" w:eastAsia="zh-CN"/>
        </w:rPr>
        <w:t>费用每年大约占总金额的4%。</w:t>
      </w:r>
    </w:p>
    <w:p w14:paraId="73667A0D">
      <w:pPr>
        <w:keepNext w:val="0"/>
        <w:keepLines w:val="0"/>
        <w:widowControl/>
        <w:suppressLineNumbers w:val="0"/>
        <w:spacing w:line="360" w:lineRule="auto"/>
        <w:ind w:left="0" w:leftChars="0" w:firstLine="490" w:firstLineChars="175"/>
        <w:jc w:val="left"/>
        <w:rPr>
          <w:rFonts w:hint="eastAsia" w:ascii="宋体" w:hAnsi="宋体" w:eastAsia="宋体" w:cs="宋体"/>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（2）食材溯源要求：</w:t>
      </w:r>
    </w:p>
    <w:p w14:paraId="4113387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宋体" w:hAnsi="宋体" w:eastAsia="宋体" w:cs="宋体"/>
          <w:sz w:val="28"/>
          <w:szCs w:val="28"/>
          <w:lang w:eastAsia="zh-CN"/>
        </w:rPr>
      </w:pPr>
      <w:r>
        <w:rPr>
          <w:rFonts w:hint="eastAsia" w:ascii="宋体" w:hAnsi="宋体" w:eastAsia="宋体" w:cs="宋体"/>
          <w:color w:val="auto"/>
          <w:sz w:val="28"/>
          <w:szCs w:val="28"/>
          <w:highlight w:val="none"/>
          <w:lang w:val="en-US" w:eastAsia="zh-CN"/>
        </w:rPr>
        <w:t>1）</w:t>
      </w:r>
      <w:r>
        <w:rPr>
          <w:rFonts w:hint="eastAsia" w:ascii="宋体" w:hAnsi="宋体" w:eastAsia="宋体" w:cs="宋体"/>
          <w:sz w:val="28"/>
          <w:szCs w:val="28"/>
          <w:lang w:eastAsia="zh-CN"/>
        </w:rPr>
        <w:t>供应链要求：所有产品的来源必须清晰；</w:t>
      </w:r>
    </w:p>
    <w:p w14:paraId="1636F05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2）</w:t>
      </w:r>
      <w:r>
        <w:rPr>
          <w:rFonts w:hint="eastAsia" w:ascii="宋体" w:hAnsi="宋体" w:eastAsia="宋体" w:cs="宋体"/>
          <w:color w:val="auto"/>
          <w:sz w:val="28"/>
          <w:szCs w:val="28"/>
          <w:highlight w:val="none"/>
        </w:rPr>
        <w:t>严格按照省市食药监部门规定的“赣溯源平台”，按照“应登尽登、应录尽录”的原则原材料流通配送并主动完成相关原材料信息及批次等信息上传与电子台账登记；</w:t>
      </w:r>
    </w:p>
    <w:p w14:paraId="1AB9141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3）</w:t>
      </w:r>
      <w:r>
        <w:rPr>
          <w:rFonts w:hint="eastAsia" w:ascii="宋体" w:hAnsi="宋体" w:eastAsia="宋体" w:cs="宋体"/>
          <w:color w:val="auto"/>
          <w:sz w:val="28"/>
          <w:szCs w:val="28"/>
          <w:highlight w:val="none"/>
        </w:rPr>
        <w:t>所供应的食用原材料“来源可溯去向可追、质量可查、责任可究”；能及时提供所供应的食用原材料的可溯源资料与相关检测、证明材料。</w:t>
      </w:r>
    </w:p>
    <w:p w14:paraId="1462AEB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lang w:val="en-US" w:eastAsia="zh-CN"/>
        </w:rPr>
        <w:t>4）成交供应商必须按市场监督管理局的有关要求建立食材采购“索证索票”制度并严格执行。</w:t>
      </w:r>
    </w:p>
    <w:p w14:paraId="1B8AFEEE">
      <w:pPr>
        <w:pStyle w:val="3"/>
        <w:bidi w:val="0"/>
        <w:rPr>
          <w:rFonts w:hint="eastAsia" w:ascii="宋体" w:hAnsi="宋体" w:eastAsia="宋体" w:cs="宋体"/>
          <w:lang w:val="en-US" w:eastAsia="zh-CN"/>
        </w:rPr>
      </w:pPr>
      <w:r>
        <w:rPr>
          <w:rFonts w:hint="eastAsia" w:ascii="宋体" w:hAnsi="宋体" w:eastAsia="宋体" w:cs="宋体"/>
          <w:lang w:val="en-US" w:eastAsia="zh-CN"/>
        </w:rPr>
        <w:t xml:space="preserve">3、服务内容及质量要求 </w:t>
      </w:r>
    </w:p>
    <w:p w14:paraId="545F9B45">
      <w:pPr>
        <w:keepNext w:val="0"/>
        <w:keepLines w:val="0"/>
        <w:widowControl/>
        <w:suppressLineNumbers w:val="0"/>
        <w:spacing w:line="360" w:lineRule="auto"/>
        <w:ind w:left="0" w:leftChars="0" w:firstLine="419" w:firstLineChars="149"/>
        <w:jc w:val="left"/>
        <w:rPr>
          <w:rFonts w:hint="eastAsia" w:ascii="宋体" w:hAnsi="宋体" w:eastAsia="宋体" w:cs="宋体"/>
        </w:rPr>
      </w:pPr>
      <w:r>
        <w:rPr>
          <w:rFonts w:hint="eastAsia" w:ascii="宋体" w:hAnsi="宋体" w:eastAsia="宋体" w:cs="宋体"/>
          <w:b/>
          <w:bCs/>
          <w:snapToGrid w:val="0"/>
          <w:color w:val="000000"/>
          <w:kern w:val="0"/>
          <w:sz w:val="28"/>
          <w:szCs w:val="28"/>
          <w:lang w:val="en-US" w:eastAsia="zh-CN"/>
        </w:rPr>
        <w:t xml:space="preserve">（1）订货与送货时间及地点的约定 </w:t>
      </w:r>
    </w:p>
    <w:p w14:paraId="114A0D0A">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1.1 食</w:t>
      </w:r>
      <w:r>
        <w:rPr>
          <w:rFonts w:hint="eastAsia" w:ascii="宋体" w:hAnsi="宋体" w:eastAsia="宋体" w:cs="宋体"/>
          <w:snapToGrid w:val="0"/>
          <w:color w:val="000000"/>
          <w:kern w:val="0"/>
          <w:sz w:val="28"/>
          <w:szCs w:val="28"/>
          <w:highlight w:val="none"/>
          <w:lang w:val="en-US" w:eastAsia="zh-CN"/>
        </w:rPr>
        <w:t>材类的成交供应商，需按采购</w:t>
      </w:r>
      <w:r>
        <w:rPr>
          <w:rFonts w:hint="eastAsia" w:ascii="宋体" w:hAnsi="宋体" w:eastAsia="宋体" w:cs="宋体"/>
          <w:snapToGrid w:val="0"/>
          <w:color w:val="000000"/>
          <w:kern w:val="0"/>
          <w:sz w:val="28"/>
          <w:szCs w:val="28"/>
          <w:lang w:val="en-US" w:eastAsia="zh-CN"/>
        </w:rPr>
        <w:t xml:space="preserve">人要求提供货品供应商生产许可证、营业执照、有效食品经营许可证、相关个人健康证等各类证件，以及其他符合国家食品卫生有关规定的文件资料给采购人备案。 </w:t>
      </w:r>
    </w:p>
    <w:p w14:paraId="1135083E">
      <w:pPr>
        <w:keepNext w:val="0"/>
        <w:keepLines w:val="0"/>
        <w:widowControl/>
        <w:suppressLineNumbers w:val="0"/>
        <w:spacing w:line="360" w:lineRule="auto"/>
        <w:ind w:left="0" w:leftChars="0" w:firstLine="417" w:firstLineChars="149"/>
        <w:jc w:val="left"/>
        <w:rPr>
          <w:rFonts w:hint="eastAsia" w:ascii="宋体" w:hAnsi="宋体" w:eastAsia="宋体" w:cs="宋体"/>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 xml:space="preserve">1.2 采购人所需食材应提前一天提供采购清单（预计采购的食材品种、数量以及相关要求）以短信、微信消息等方式告知成交供应商指定人员。此外在配送期间采购人可根据实际需求进行食材品种调整。成交供应商每天按照采购人规定的时间把所订购商品和原材料送到采购人指定的地点验收，送货的具体时间一般情况下在早上7:00之前，到货后应协助采购人的工作人员审验过称进仓。特殊情况下采购人需要临时增加食材品种，应提前通知成交供应商，给成交供应商充足的时间。成交供应商在接到采购人通知后，以双方约定时间送到采购人所在地，审验程序照常。 </w:t>
      </w:r>
    </w:p>
    <w:p w14:paraId="055DD511">
      <w:pPr>
        <w:keepNext w:val="0"/>
        <w:keepLines w:val="0"/>
        <w:widowControl/>
        <w:suppressLineNumbers w:val="0"/>
        <w:spacing w:line="360" w:lineRule="auto"/>
        <w:ind w:left="0" w:leftChars="0" w:firstLine="419" w:firstLineChars="149"/>
        <w:jc w:val="left"/>
        <w:rPr>
          <w:rFonts w:hint="eastAsia" w:ascii="宋体" w:hAnsi="宋体" w:eastAsia="宋体" w:cs="宋体"/>
        </w:rPr>
      </w:pPr>
      <w:r>
        <w:rPr>
          <w:rFonts w:hint="eastAsia" w:ascii="宋体" w:hAnsi="宋体" w:eastAsia="宋体" w:cs="宋体"/>
          <w:b/>
          <w:bCs/>
          <w:snapToGrid w:val="0"/>
          <w:color w:val="000000"/>
          <w:kern w:val="0"/>
          <w:sz w:val="28"/>
          <w:szCs w:val="28"/>
          <w:lang w:val="en-US" w:eastAsia="zh-CN"/>
        </w:rPr>
        <w:t xml:space="preserve">（2）送货数量规格 </w:t>
      </w:r>
    </w:p>
    <w:p w14:paraId="609E338E">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2.1成交供应商按照采购人所下订单的数量送货，保证数量、规格的准确性；实际送货不超出采购人预计份量的5%浮动范围之内。并以双方当场验货数量、规格为准（甲乙双方工作人员签字即确认）。 </w:t>
      </w:r>
    </w:p>
    <w:p w14:paraId="5C7F5B20">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2.2成交供应商必须严格按照采购人所下订单的货物等要求组织货源、代购和配送货物。 </w:t>
      </w:r>
    </w:p>
    <w:p w14:paraId="466E03B4">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2.3订单上所有的项目，不能以任何借口说无货或擅自更换品种规格，如确有因不可抗拒的情况更换个别货物，也要事先采购人确认同意后方可实施。 </w:t>
      </w:r>
    </w:p>
    <w:p w14:paraId="11579C51">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2.4成交供应商每次随货送上专用的送货清单（需采购人审核后双方共同签字确认），以便双方备份备查。 </w:t>
      </w:r>
    </w:p>
    <w:p w14:paraId="7590B16F">
      <w:pPr>
        <w:keepNext w:val="0"/>
        <w:keepLines w:val="0"/>
        <w:widowControl/>
        <w:suppressLineNumbers w:val="0"/>
        <w:spacing w:line="360" w:lineRule="auto"/>
        <w:ind w:left="0" w:leftChars="0" w:firstLine="419" w:firstLineChars="149"/>
        <w:jc w:val="left"/>
        <w:rPr>
          <w:rFonts w:hint="eastAsia" w:ascii="宋体" w:hAnsi="宋体" w:eastAsia="宋体" w:cs="宋体"/>
        </w:rPr>
      </w:pPr>
      <w:r>
        <w:rPr>
          <w:rFonts w:hint="eastAsia" w:ascii="宋体" w:hAnsi="宋体" w:eastAsia="宋体" w:cs="宋体"/>
          <w:b/>
          <w:bCs/>
          <w:snapToGrid w:val="0"/>
          <w:color w:val="000000"/>
          <w:kern w:val="0"/>
          <w:sz w:val="28"/>
          <w:szCs w:val="28"/>
          <w:lang w:val="en-US" w:eastAsia="zh-CN"/>
        </w:rPr>
        <w:t xml:space="preserve">（3）产品质量及价格要求： </w:t>
      </w:r>
    </w:p>
    <w:p w14:paraId="2352B903">
      <w:pPr>
        <w:keepNext w:val="0"/>
        <w:keepLines w:val="0"/>
        <w:widowControl/>
        <w:suppressLineNumbers w:val="0"/>
        <w:spacing w:line="360" w:lineRule="auto"/>
        <w:ind w:left="0" w:leftChars="0" w:firstLine="419" w:firstLineChars="149"/>
        <w:jc w:val="left"/>
        <w:rPr>
          <w:rFonts w:hint="eastAsia" w:ascii="宋体" w:hAnsi="宋体" w:eastAsia="宋体" w:cs="宋体"/>
          <w:b/>
          <w:bCs/>
        </w:rPr>
      </w:pPr>
      <w:r>
        <w:rPr>
          <w:rFonts w:hint="eastAsia" w:ascii="宋体" w:hAnsi="宋体" w:eastAsia="宋体" w:cs="宋体"/>
          <w:b/>
          <w:bCs/>
          <w:snapToGrid w:val="0"/>
          <w:color w:val="000000"/>
          <w:kern w:val="0"/>
          <w:sz w:val="28"/>
          <w:szCs w:val="28"/>
          <w:lang w:val="en-US" w:eastAsia="zh-CN"/>
        </w:rPr>
        <w:t xml:space="preserve">3.1 </w:t>
      </w:r>
      <w:r>
        <w:rPr>
          <w:rFonts w:hint="eastAsia" w:ascii="宋体" w:hAnsi="宋体" w:eastAsia="宋体" w:cs="宋体"/>
          <w:snapToGrid w:val="0"/>
          <w:color w:val="000000"/>
          <w:kern w:val="0"/>
          <w:sz w:val="28"/>
          <w:szCs w:val="28"/>
          <w:lang w:val="en-US" w:eastAsia="zh-CN"/>
        </w:rPr>
        <w:t>所有食材必须是在保质期内的合法生产产品，符合国家食品卫生标准，农药残留符合国家标准等，如成交供应商提供的食材出现质量问题，造成就餐人员患病或中毒的，由成交供应商承担经济赔偿责任及其他法律责任。各类食物应符合下列标准（包括但不限于）且年限以最新为准。</w:t>
      </w:r>
      <w:r>
        <w:rPr>
          <w:rFonts w:hint="eastAsia" w:ascii="宋体" w:hAnsi="宋体" w:eastAsia="宋体" w:cs="宋体"/>
          <w:b/>
          <w:bCs/>
          <w:snapToGrid w:val="0"/>
          <w:color w:val="000000"/>
          <w:kern w:val="0"/>
          <w:sz w:val="28"/>
          <w:szCs w:val="28"/>
          <w:lang w:val="en-US" w:eastAsia="zh-CN"/>
        </w:rPr>
        <w:t xml:space="preserve">食材送达采购人时剩余保质期不少于食材保质期的三分之二。 </w:t>
      </w:r>
    </w:p>
    <w:p w14:paraId="7BB93E83">
      <w:pPr>
        <w:keepNext w:val="0"/>
        <w:keepLines w:val="0"/>
        <w:widowControl/>
        <w:suppressLineNumbers w:val="0"/>
        <w:spacing w:line="360" w:lineRule="auto"/>
        <w:ind w:left="0" w:leftChars="0" w:firstLine="419" w:firstLineChars="149"/>
        <w:jc w:val="left"/>
        <w:rPr>
          <w:rFonts w:hint="eastAsia" w:ascii="宋体" w:hAnsi="宋体" w:eastAsia="宋体" w:cs="宋体"/>
        </w:rPr>
      </w:pPr>
      <w:r>
        <w:rPr>
          <w:rFonts w:hint="eastAsia" w:ascii="宋体" w:hAnsi="宋体" w:eastAsia="宋体" w:cs="宋体"/>
          <w:b/>
          <w:bCs/>
          <w:snapToGrid w:val="0"/>
          <w:color w:val="000000"/>
          <w:kern w:val="0"/>
          <w:sz w:val="28"/>
          <w:szCs w:val="28"/>
          <w:lang w:val="en-US" w:eastAsia="zh-CN"/>
        </w:rPr>
        <w:t>3.2食材质量及数量：</w:t>
      </w:r>
      <w:r>
        <w:rPr>
          <w:rFonts w:hint="eastAsia" w:ascii="宋体" w:hAnsi="宋体" w:eastAsia="宋体" w:cs="宋体"/>
          <w:snapToGrid w:val="0"/>
          <w:color w:val="000000"/>
          <w:kern w:val="0"/>
          <w:sz w:val="28"/>
          <w:szCs w:val="28"/>
          <w:lang w:val="en-US" w:eastAsia="zh-CN"/>
        </w:rPr>
        <w:t>成交供应商保证按采购清单供货。食材质量按国家标准及采购文件中列明的质量要求标准执行，并将食材质量合格证、检测报告、</w:t>
      </w:r>
    </w:p>
    <w:p w14:paraId="72D7A2F2">
      <w:pPr>
        <w:keepNext w:val="0"/>
        <w:keepLines w:val="0"/>
        <w:widowControl/>
        <w:suppressLineNumbers w:val="0"/>
        <w:spacing w:line="360" w:lineRule="auto"/>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食材清单、食材价格表等加盖成交供应商公章每月随货同行送达采购人。如食材发现质量问题，采购人有权拒收。采购人验收食材，当场点清食材数量，所有食材均去包装称重，按去包装称重的实际接收数量验收和结算。若供货数量与采购清单相差较大时，采购人有权要求成交供应商在2小时内补足所需食材。 </w:t>
      </w:r>
    </w:p>
    <w:p w14:paraId="0E365274">
      <w:pPr>
        <w:keepNext w:val="0"/>
        <w:keepLines w:val="0"/>
        <w:widowControl/>
        <w:suppressLineNumbers w:val="0"/>
        <w:spacing w:line="360" w:lineRule="auto"/>
        <w:ind w:left="0" w:leftChars="0" w:firstLine="419" w:firstLineChars="149"/>
        <w:jc w:val="left"/>
        <w:rPr>
          <w:rFonts w:hint="eastAsia" w:ascii="宋体" w:hAnsi="宋体" w:eastAsia="宋体" w:cs="宋体"/>
          <w:b/>
          <w:bCs/>
        </w:rPr>
      </w:pPr>
      <w:r>
        <w:rPr>
          <w:rFonts w:hint="eastAsia" w:ascii="宋体" w:hAnsi="宋体" w:eastAsia="宋体" w:cs="宋体"/>
          <w:b/>
          <w:bCs/>
          <w:snapToGrid w:val="0"/>
          <w:color w:val="000000"/>
          <w:kern w:val="0"/>
          <w:sz w:val="28"/>
          <w:szCs w:val="28"/>
          <w:lang w:val="en-US" w:eastAsia="zh-CN"/>
        </w:rPr>
        <w:t xml:space="preserve">3.3食材的质量标准具体要求 </w:t>
      </w:r>
    </w:p>
    <w:p w14:paraId="6A0C6091">
      <w:pPr>
        <w:keepNext w:val="0"/>
        <w:keepLines w:val="0"/>
        <w:widowControl/>
        <w:numPr>
          <w:ilvl w:val="0"/>
          <w:numId w:val="0"/>
        </w:numPr>
        <w:suppressLineNumbers w:val="0"/>
        <w:spacing w:line="360" w:lineRule="auto"/>
        <w:ind w:firstLine="280" w:firstLineChars="100"/>
        <w:jc w:val="left"/>
        <w:rPr>
          <w:rFonts w:hint="eastAsia" w:ascii="宋体" w:hAnsi="宋体" w:eastAsia="宋体" w:cs="宋体"/>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1）各类水果包含但不限于：瓜果类（西瓜、香瓜、哈密瓜、羊角蜜、火龙果、圣女果等）、柑桔类（粑粑柑、蜜柑、沃柑、橙子、橘子、砂糖桔、脐橙等）、梨果类（鸭梨、酥梨、沙梨、香梨、秋月梨、青苹果、红苹果等）、桃类（黄桃、水蜜桃、油桃、猕猴桃）葡萄、蓝莓、枣类、荔枝、芒果、突尼斯石榴、香蕉、车厘子及其他水果类别。</w:t>
      </w:r>
    </w:p>
    <w:p w14:paraId="01434F43">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2）蔬果类食材需符合国家食品卫生标准，农药残留不得超标，供应商应根据采购人要求提供蔬菜自检或委托第三方检验的蔬菜农药残留检测合格报告。 </w:t>
      </w:r>
    </w:p>
    <w:p w14:paraId="6EC7AD44">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①蔬菜色泽要求：各种蔬菜都应具有本品种固有的颜色，大多数有发亮的光泽，以此显示蔬菜的成熟度及鲜嫩程度。 </w:t>
      </w:r>
    </w:p>
    <w:p w14:paraId="5FDC2CBB">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②蔬菜气味要求：多数蔬菜具有清馨、甘辛香、甜酸香等气味，可凭嗅觉识别不同品种的质量，不允许有腐烂变质的亚硝酸盐味和其他异常气味。 </w:t>
      </w:r>
    </w:p>
    <w:p w14:paraId="33246D72">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③蔬菜滋味要求：因品种不同而各异，多数蔬菜滋味甘淡、甜酸、清爽鲜美，少数具有辛酸、苦涩等特殊风味以刺激食欲，如失去本品种原有的滋味即为异常。 </w:t>
      </w:r>
    </w:p>
    <w:p w14:paraId="3C95BDB0">
      <w:pPr>
        <w:keepNext w:val="0"/>
        <w:keepLines w:val="0"/>
        <w:widowControl/>
        <w:suppressLineNumbers w:val="0"/>
        <w:spacing w:line="360" w:lineRule="auto"/>
        <w:ind w:left="0" w:leftChars="0" w:firstLine="417" w:firstLineChars="149"/>
        <w:jc w:val="left"/>
        <w:rPr>
          <w:rFonts w:hint="eastAsia" w:ascii="宋体" w:hAnsi="宋体" w:eastAsia="宋体" w:cs="宋体"/>
        </w:rPr>
      </w:pPr>
      <w:r>
        <w:rPr>
          <w:rFonts w:hint="eastAsia" w:ascii="宋体" w:hAnsi="宋体" w:eastAsia="宋体" w:cs="宋体"/>
          <w:snapToGrid w:val="0"/>
          <w:color w:val="000000"/>
          <w:kern w:val="0"/>
          <w:sz w:val="28"/>
          <w:szCs w:val="28"/>
          <w:lang w:val="en-US" w:eastAsia="zh-CN"/>
        </w:rPr>
        <w:t xml:space="preserve">④蔬菜形态要求：应尽量避免由于客观因素而造成的各种非正常、不新鲜的蔬菜，例如萎蔫、枯塌、损伤、病变、虫害侵蚀等引起的形态异常等。 </w:t>
      </w:r>
    </w:p>
    <w:p w14:paraId="15E8D7C0">
      <w:pPr>
        <w:keepNext w:val="0"/>
        <w:keepLines w:val="0"/>
        <w:widowControl/>
        <w:suppressLineNumbers w:val="0"/>
        <w:spacing w:line="360" w:lineRule="auto"/>
        <w:ind w:left="0" w:leftChars="0" w:firstLine="417" w:firstLineChars="149"/>
        <w:jc w:val="left"/>
        <w:rPr>
          <w:rFonts w:hint="eastAsia" w:ascii="宋体" w:hAnsi="宋体" w:eastAsia="宋体" w:cs="宋体"/>
          <w:snapToGrid w:val="0"/>
          <w:color w:val="000000"/>
          <w:kern w:val="0"/>
          <w:sz w:val="28"/>
          <w:szCs w:val="28"/>
          <w:lang w:val="en-US" w:eastAsia="zh-CN"/>
        </w:rPr>
      </w:pPr>
      <w:r>
        <w:rPr>
          <w:rFonts w:hint="eastAsia" w:ascii="宋体" w:hAnsi="宋体" w:eastAsia="宋体" w:cs="宋体"/>
          <w:snapToGrid w:val="0"/>
          <w:color w:val="000000"/>
          <w:kern w:val="0"/>
          <w:sz w:val="28"/>
          <w:szCs w:val="28"/>
          <w:lang w:val="en-US" w:eastAsia="zh-CN"/>
        </w:rPr>
        <w:t>⑤各类蔬菜（包含但不限于以下食材）具体要求</w:t>
      </w:r>
    </w:p>
    <w:p w14:paraId="0789DFFB">
      <w:pPr>
        <w:pStyle w:val="4"/>
        <w:rPr>
          <w:rFonts w:hint="eastAsia" w:ascii="宋体" w:hAnsi="宋体" w:eastAsia="宋体" w:cs="宋体"/>
          <w:snapToGrid w:val="0"/>
          <w:color w:val="000000"/>
          <w:kern w:val="0"/>
          <w:sz w:val="28"/>
          <w:szCs w:val="28"/>
          <w:lang w:val="en-US" w:eastAsia="zh-CN"/>
        </w:rPr>
      </w:pPr>
      <w:r>
        <w:rPr>
          <w:rFonts w:hint="eastAsia" w:ascii="宋体" w:hAnsi="宋体" w:eastAsia="宋体" w:cs="宋体"/>
          <w:b/>
          <w:bCs/>
          <w:color w:val="auto"/>
          <w:sz w:val="24"/>
          <w:szCs w:val="24"/>
          <w:highlight w:val="none"/>
          <w:lang w:eastAsia="zh-CN"/>
        </w:rPr>
        <w:t>（此表仅供参考，包括但不仅限于以下品种，实际</w:t>
      </w:r>
      <w:r>
        <w:rPr>
          <w:rFonts w:hint="eastAsia" w:ascii="宋体" w:hAnsi="宋体" w:eastAsia="宋体" w:cs="宋体"/>
          <w:b/>
          <w:bCs/>
          <w:color w:val="auto"/>
          <w:sz w:val="24"/>
          <w:szCs w:val="24"/>
          <w:highlight w:val="none"/>
          <w:lang w:val="en-US" w:eastAsia="zh-CN"/>
        </w:rPr>
        <w:t>供货产品以采购人要求为准</w:t>
      </w:r>
      <w:r>
        <w:rPr>
          <w:rFonts w:hint="eastAsia" w:ascii="宋体" w:hAnsi="宋体" w:eastAsia="宋体" w:cs="宋体"/>
          <w:color w:val="auto"/>
          <w:sz w:val="24"/>
          <w:szCs w:val="24"/>
          <w:highlight w:val="none"/>
          <w:lang w:eastAsia="zh-CN"/>
        </w:rPr>
        <w:t>）</w:t>
      </w:r>
    </w:p>
    <w:p w14:paraId="3349F785">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0D009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paragraph" w:styleId="3">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4">
    <w:name w:val="toc 1"/>
    <w:basedOn w:val="1"/>
    <w:next w:val="1"/>
    <w:qFormat/>
    <w:uiPriority w:val="39"/>
    <w:pPr>
      <w:tabs>
        <w:tab w:val="right" w:leader="dot" w:pos="9913"/>
      </w:tabs>
      <w:ind w:firstLine="422" w:firstLineChars="200"/>
    </w:pPr>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2026-06-09T09:59:01Z</dcterms:created>
  <dc:creator>Administrator</dc:creator>
  <cp:lastModifiedBy>Administrator</cp:lastModifiedBy>
  <dcterms:modified xsi:type="dcterms:W3CDTF">2026-06-09T09:59:38Z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eyJoZGlkIjoiOGQwNGYxNjE4OGZkZGFjN2JkZTkzNDcwMDk3MGQzYjMiLCJ1c2VySWQiOiIyNzAzMTU3ODcifQ==</vt:lpwstr>
  </property>
  <property fmtid="{D5CDD505-2E9C-101B-9397-08002B2CF9AE}" pid="4" name="ICV">
    <vt:lpwstr>3C391570793141DE97F4564221780BD1_12</vt:lpwstr>
  </property>
</Properties>
</file>