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2D630A">
      <w:pPr>
        <w:widowControl w:val="0"/>
        <w:numPr>
          <w:ilvl w:val="0"/>
          <w:numId w:val="1"/>
        </w:numPr>
        <w:spacing w:before="78" w:line="219" w:lineRule="auto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b/>
          <w:bCs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技术需求</w:t>
      </w:r>
    </w:p>
    <w:tbl>
      <w:tblPr>
        <w:tblStyle w:val="3"/>
        <w:tblpPr w:leftFromText="180" w:rightFromText="180" w:vertAnchor="text" w:horzAnchor="page" w:tblpXSpec="center" w:tblpY="579"/>
        <w:tblOverlap w:val="never"/>
        <w:tblW w:w="88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8"/>
        <w:gridCol w:w="1460"/>
        <w:gridCol w:w="825"/>
        <w:gridCol w:w="1106"/>
        <w:gridCol w:w="1012"/>
        <w:gridCol w:w="1235"/>
        <w:gridCol w:w="1298"/>
        <w:gridCol w:w="1260"/>
      </w:tblGrid>
      <w:tr w14:paraId="3B88EA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15" w:hRule="atLeast"/>
          <w:jc w:val="center"/>
        </w:trPr>
        <w:tc>
          <w:tcPr>
            <w:tcW w:w="628" w:type="dxa"/>
            <w:noWrap w:val="0"/>
            <w:vAlign w:val="center"/>
          </w:tcPr>
          <w:p w14:paraId="218328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hint="eastAsia"/>
                <w:b/>
                <w:bCs w:val="0"/>
                <w:sz w:val="28"/>
                <w:szCs w:val="28"/>
              </w:rPr>
            </w:pPr>
            <w:r>
              <w:rPr>
                <w:rFonts w:hint="eastAsia"/>
                <w:b/>
                <w:bCs w:val="0"/>
                <w:sz w:val="28"/>
                <w:szCs w:val="28"/>
              </w:rPr>
              <w:t>序号</w:t>
            </w:r>
          </w:p>
        </w:tc>
        <w:tc>
          <w:tcPr>
            <w:tcW w:w="1460" w:type="dxa"/>
            <w:noWrap w:val="0"/>
            <w:vAlign w:val="center"/>
          </w:tcPr>
          <w:p w14:paraId="1B8E97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hint="eastAsia"/>
                <w:b/>
                <w:bCs w:val="0"/>
                <w:sz w:val="28"/>
                <w:szCs w:val="28"/>
              </w:rPr>
            </w:pPr>
            <w:r>
              <w:rPr>
                <w:rFonts w:hint="eastAsia"/>
                <w:b/>
                <w:bCs w:val="0"/>
                <w:sz w:val="28"/>
                <w:szCs w:val="28"/>
              </w:rPr>
              <w:t>标的名称</w:t>
            </w:r>
          </w:p>
        </w:tc>
        <w:tc>
          <w:tcPr>
            <w:tcW w:w="825" w:type="dxa"/>
            <w:noWrap w:val="0"/>
            <w:vAlign w:val="center"/>
          </w:tcPr>
          <w:p w14:paraId="6D5E83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hint="eastAsia"/>
                <w:b/>
                <w:bCs w:val="0"/>
                <w:sz w:val="28"/>
                <w:szCs w:val="28"/>
              </w:rPr>
            </w:pPr>
            <w:r>
              <w:rPr>
                <w:rFonts w:hint="eastAsia"/>
                <w:b/>
                <w:bCs w:val="0"/>
                <w:sz w:val="28"/>
                <w:szCs w:val="28"/>
              </w:rPr>
              <w:t>计量</w:t>
            </w:r>
          </w:p>
          <w:p w14:paraId="5EDF09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hint="eastAsia"/>
                <w:b/>
                <w:bCs w:val="0"/>
                <w:sz w:val="28"/>
                <w:szCs w:val="28"/>
              </w:rPr>
            </w:pPr>
            <w:r>
              <w:rPr>
                <w:rFonts w:hint="eastAsia"/>
                <w:b/>
                <w:bCs w:val="0"/>
                <w:sz w:val="28"/>
                <w:szCs w:val="28"/>
              </w:rPr>
              <w:t>单位</w:t>
            </w:r>
          </w:p>
        </w:tc>
        <w:tc>
          <w:tcPr>
            <w:tcW w:w="1106" w:type="dxa"/>
            <w:noWrap w:val="0"/>
            <w:vAlign w:val="center"/>
          </w:tcPr>
          <w:p w14:paraId="7AAC44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hint="eastAsia"/>
                <w:b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/>
                <w:b/>
                <w:bCs w:val="0"/>
                <w:sz w:val="28"/>
                <w:szCs w:val="28"/>
                <w:lang w:val="en-US" w:eastAsia="zh-CN"/>
              </w:rPr>
              <w:t>预算</w:t>
            </w:r>
            <w:r>
              <w:rPr>
                <w:rFonts w:hint="eastAsia"/>
                <w:b/>
                <w:bCs w:val="0"/>
                <w:sz w:val="28"/>
                <w:szCs w:val="28"/>
              </w:rPr>
              <w:t>单价</w:t>
            </w:r>
            <w:r>
              <w:rPr>
                <w:rFonts w:hint="eastAsia"/>
                <w:b/>
                <w:bCs w:val="0"/>
                <w:sz w:val="28"/>
                <w:szCs w:val="28"/>
                <w:lang w:eastAsia="zh-CN"/>
              </w:rPr>
              <w:t>（万元）</w:t>
            </w:r>
          </w:p>
        </w:tc>
        <w:tc>
          <w:tcPr>
            <w:tcW w:w="1012" w:type="dxa"/>
            <w:noWrap w:val="0"/>
            <w:vAlign w:val="center"/>
          </w:tcPr>
          <w:p w14:paraId="03259A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hint="eastAsia" w:eastAsia="宋体"/>
                <w:b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/>
                <w:b/>
                <w:bCs w:val="0"/>
                <w:sz w:val="28"/>
                <w:szCs w:val="28"/>
              </w:rPr>
              <w:t>数量</w:t>
            </w:r>
            <w:r>
              <w:rPr>
                <w:rFonts w:hint="eastAsia"/>
                <w:b/>
                <w:bCs w:val="0"/>
                <w:sz w:val="28"/>
                <w:szCs w:val="28"/>
                <w:lang w:eastAsia="zh-CN"/>
              </w:rPr>
              <w:t>（</w:t>
            </w:r>
            <w:r>
              <w:rPr>
                <w:rFonts w:hint="eastAsia"/>
                <w:b/>
                <w:bCs w:val="0"/>
                <w:sz w:val="28"/>
                <w:szCs w:val="28"/>
                <w:lang w:val="en-US" w:eastAsia="zh-CN"/>
              </w:rPr>
              <w:t>台</w:t>
            </w:r>
            <w:r>
              <w:rPr>
                <w:rFonts w:hint="eastAsia"/>
                <w:b/>
                <w:bCs w:val="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1235" w:type="dxa"/>
            <w:noWrap w:val="0"/>
            <w:vAlign w:val="center"/>
          </w:tcPr>
          <w:p w14:paraId="1385EB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hint="eastAsia"/>
                <w:b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/>
                <w:b/>
                <w:bCs w:val="0"/>
                <w:sz w:val="28"/>
                <w:szCs w:val="28"/>
              </w:rPr>
              <w:t>预算金额</w:t>
            </w:r>
            <w:r>
              <w:rPr>
                <w:rFonts w:hint="eastAsia"/>
                <w:b/>
                <w:bCs w:val="0"/>
                <w:sz w:val="28"/>
                <w:szCs w:val="28"/>
                <w:lang w:eastAsia="zh-CN"/>
              </w:rPr>
              <w:t>（万元）</w:t>
            </w:r>
          </w:p>
        </w:tc>
        <w:tc>
          <w:tcPr>
            <w:tcW w:w="1298" w:type="dxa"/>
            <w:noWrap w:val="0"/>
            <w:vAlign w:val="center"/>
          </w:tcPr>
          <w:p w14:paraId="558E07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hint="default"/>
                <w:b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 w:val="0"/>
                <w:sz w:val="28"/>
                <w:szCs w:val="28"/>
                <w:lang w:val="en-US" w:eastAsia="zh-CN"/>
              </w:rPr>
              <w:t>单价最高限价</w:t>
            </w:r>
            <w:r>
              <w:rPr>
                <w:rFonts w:hint="eastAsia"/>
                <w:b/>
                <w:bCs w:val="0"/>
                <w:sz w:val="28"/>
                <w:szCs w:val="28"/>
                <w:lang w:eastAsia="zh-CN"/>
              </w:rPr>
              <w:t>（万元）</w:t>
            </w:r>
          </w:p>
        </w:tc>
        <w:tc>
          <w:tcPr>
            <w:tcW w:w="1260" w:type="dxa"/>
            <w:noWrap w:val="0"/>
            <w:vAlign w:val="center"/>
          </w:tcPr>
          <w:p w14:paraId="1FAFF7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hint="eastAsia"/>
                <w:b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 w:val="0"/>
                <w:sz w:val="28"/>
                <w:szCs w:val="28"/>
                <w:lang w:val="en-US" w:eastAsia="zh-CN"/>
              </w:rPr>
              <w:t>总价最高限价</w:t>
            </w:r>
            <w:r>
              <w:rPr>
                <w:rFonts w:hint="eastAsia"/>
                <w:b/>
                <w:bCs w:val="0"/>
                <w:sz w:val="28"/>
                <w:szCs w:val="28"/>
                <w:lang w:eastAsia="zh-CN"/>
              </w:rPr>
              <w:t>（万元）</w:t>
            </w:r>
          </w:p>
        </w:tc>
      </w:tr>
      <w:tr w14:paraId="6F3ADD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628" w:type="dxa"/>
            <w:noWrap w:val="0"/>
            <w:vAlign w:val="center"/>
          </w:tcPr>
          <w:p w14:paraId="404239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1</w:t>
            </w:r>
          </w:p>
        </w:tc>
        <w:tc>
          <w:tcPr>
            <w:tcW w:w="1460" w:type="dxa"/>
            <w:noWrap w:val="0"/>
            <w:vAlign w:val="center"/>
          </w:tcPr>
          <w:p w14:paraId="6511B0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Arial Unicode MS"/>
                <w:sz w:val="24"/>
              </w:rPr>
              <w:t>血液透析机</w:t>
            </w:r>
            <w:r>
              <w:rPr>
                <w:rFonts w:hint="eastAsia" w:ascii="宋体" w:hAnsi="宋体" w:cs="Arial Unicode MS"/>
                <w:sz w:val="24"/>
                <w:lang w:val="en-US" w:eastAsia="zh-CN"/>
              </w:rPr>
              <w:t xml:space="preserve"> </w:t>
            </w:r>
          </w:p>
        </w:tc>
        <w:tc>
          <w:tcPr>
            <w:tcW w:w="825" w:type="dxa"/>
            <w:noWrap w:val="0"/>
            <w:vAlign w:val="center"/>
          </w:tcPr>
          <w:p w14:paraId="243589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台</w:t>
            </w:r>
          </w:p>
        </w:tc>
        <w:tc>
          <w:tcPr>
            <w:tcW w:w="1106" w:type="dxa"/>
            <w:noWrap w:val="0"/>
            <w:vAlign w:val="center"/>
          </w:tcPr>
          <w:p w14:paraId="72BFD8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12.2</w:t>
            </w:r>
          </w:p>
        </w:tc>
        <w:tc>
          <w:tcPr>
            <w:tcW w:w="1012" w:type="dxa"/>
            <w:noWrap w:val="0"/>
            <w:vAlign w:val="center"/>
          </w:tcPr>
          <w:p w14:paraId="56FA3F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27</w:t>
            </w:r>
          </w:p>
        </w:tc>
        <w:tc>
          <w:tcPr>
            <w:tcW w:w="1235" w:type="dxa"/>
            <w:noWrap w:val="0"/>
            <w:vAlign w:val="center"/>
          </w:tcPr>
          <w:p w14:paraId="7377BA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329.4</w:t>
            </w:r>
          </w:p>
        </w:tc>
        <w:tc>
          <w:tcPr>
            <w:tcW w:w="1298" w:type="dxa"/>
            <w:noWrap w:val="0"/>
            <w:vAlign w:val="center"/>
          </w:tcPr>
          <w:p w14:paraId="740B2F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12.2</w:t>
            </w:r>
          </w:p>
        </w:tc>
        <w:tc>
          <w:tcPr>
            <w:tcW w:w="1260" w:type="dxa"/>
            <w:noWrap w:val="0"/>
            <w:vAlign w:val="center"/>
          </w:tcPr>
          <w:p w14:paraId="1A91BA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329.4</w:t>
            </w:r>
          </w:p>
        </w:tc>
      </w:tr>
      <w:tr w14:paraId="5F1A03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5" w:hRule="atLeast"/>
          <w:jc w:val="center"/>
        </w:trPr>
        <w:tc>
          <w:tcPr>
            <w:tcW w:w="628" w:type="dxa"/>
            <w:noWrap w:val="0"/>
            <w:vAlign w:val="center"/>
          </w:tcPr>
          <w:p w14:paraId="05928E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460" w:type="dxa"/>
            <w:noWrap w:val="0"/>
            <w:vAlign w:val="center"/>
          </w:tcPr>
          <w:p w14:paraId="5161E8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default" w:ascii="宋体" w:hAnsi="宋体" w:eastAsia="宋体" w:cs="Arial Unicode MS"/>
                <w:sz w:val="24"/>
                <w:lang w:val="en-US" w:eastAsia="zh-CN"/>
              </w:rPr>
            </w:pPr>
            <w:r>
              <w:rPr>
                <w:rFonts w:hint="eastAsia" w:ascii="宋体" w:hAnsi="宋体" w:cs="Arial Unicode MS"/>
                <w:sz w:val="24"/>
                <w:lang w:val="en-US" w:eastAsia="zh-CN"/>
              </w:rPr>
              <w:t>血液透析滤过机</w:t>
            </w:r>
          </w:p>
        </w:tc>
        <w:tc>
          <w:tcPr>
            <w:tcW w:w="825" w:type="dxa"/>
            <w:noWrap w:val="0"/>
            <w:vAlign w:val="center"/>
          </w:tcPr>
          <w:p w14:paraId="13E8C0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台</w:t>
            </w:r>
          </w:p>
        </w:tc>
        <w:tc>
          <w:tcPr>
            <w:tcW w:w="1106" w:type="dxa"/>
            <w:noWrap w:val="0"/>
            <w:vAlign w:val="center"/>
          </w:tcPr>
          <w:p w14:paraId="1FC87B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19.7</w:t>
            </w:r>
          </w:p>
        </w:tc>
        <w:tc>
          <w:tcPr>
            <w:tcW w:w="1012" w:type="dxa"/>
            <w:noWrap w:val="0"/>
            <w:vAlign w:val="center"/>
          </w:tcPr>
          <w:p w14:paraId="2A6E71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8</w:t>
            </w:r>
          </w:p>
        </w:tc>
        <w:tc>
          <w:tcPr>
            <w:tcW w:w="1235" w:type="dxa"/>
            <w:noWrap w:val="0"/>
            <w:vAlign w:val="center"/>
          </w:tcPr>
          <w:p w14:paraId="260057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157.6</w:t>
            </w:r>
          </w:p>
        </w:tc>
        <w:tc>
          <w:tcPr>
            <w:tcW w:w="1298" w:type="dxa"/>
            <w:noWrap w:val="0"/>
            <w:vAlign w:val="center"/>
          </w:tcPr>
          <w:p w14:paraId="694C79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19.7</w:t>
            </w:r>
          </w:p>
        </w:tc>
        <w:tc>
          <w:tcPr>
            <w:tcW w:w="1260" w:type="dxa"/>
            <w:noWrap w:val="0"/>
            <w:vAlign w:val="center"/>
          </w:tcPr>
          <w:p w14:paraId="4F9645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157.6</w:t>
            </w:r>
          </w:p>
        </w:tc>
      </w:tr>
      <w:tr w14:paraId="14FAFA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628" w:type="dxa"/>
            <w:noWrap w:val="0"/>
            <w:vAlign w:val="center"/>
          </w:tcPr>
          <w:p w14:paraId="3459AC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460" w:type="dxa"/>
            <w:noWrap w:val="0"/>
            <w:vAlign w:val="center"/>
          </w:tcPr>
          <w:p w14:paraId="4CA673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default" w:ascii="宋体" w:hAnsi="宋体" w:eastAsia="宋体" w:cs="Arial Unicode MS"/>
                <w:sz w:val="24"/>
                <w:lang w:val="en-US" w:eastAsia="zh-CN"/>
              </w:rPr>
            </w:pPr>
            <w:r>
              <w:rPr>
                <w:rFonts w:hint="eastAsia" w:ascii="宋体" w:hAnsi="宋体" w:cs="Arial Unicode MS"/>
                <w:sz w:val="24"/>
                <w:lang w:val="en-US" w:eastAsia="zh-CN"/>
              </w:rPr>
              <w:t>集中供液</w:t>
            </w:r>
          </w:p>
        </w:tc>
        <w:tc>
          <w:tcPr>
            <w:tcW w:w="825" w:type="dxa"/>
            <w:noWrap w:val="0"/>
            <w:vAlign w:val="center"/>
          </w:tcPr>
          <w:p w14:paraId="6059B5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台</w:t>
            </w:r>
          </w:p>
        </w:tc>
        <w:tc>
          <w:tcPr>
            <w:tcW w:w="1106" w:type="dxa"/>
            <w:noWrap w:val="0"/>
            <w:vAlign w:val="center"/>
          </w:tcPr>
          <w:p w14:paraId="4B0F1E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55.5</w:t>
            </w:r>
          </w:p>
        </w:tc>
        <w:tc>
          <w:tcPr>
            <w:tcW w:w="1012" w:type="dxa"/>
            <w:noWrap w:val="0"/>
            <w:vAlign w:val="center"/>
          </w:tcPr>
          <w:p w14:paraId="598B75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1</w:t>
            </w:r>
          </w:p>
        </w:tc>
        <w:tc>
          <w:tcPr>
            <w:tcW w:w="1235" w:type="dxa"/>
            <w:noWrap w:val="0"/>
            <w:vAlign w:val="center"/>
          </w:tcPr>
          <w:p w14:paraId="0688B5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55.5</w:t>
            </w:r>
          </w:p>
        </w:tc>
        <w:tc>
          <w:tcPr>
            <w:tcW w:w="1298" w:type="dxa"/>
            <w:noWrap w:val="0"/>
            <w:vAlign w:val="center"/>
          </w:tcPr>
          <w:p w14:paraId="3E1475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55.5</w:t>
            </w:r>
          </w:p>
        </w:tc>
        <w:tc>
          <w:tcPr>
            <w:tcW w:w="1260" w:type="dxa"/>
            <w:noWrap w:val="0"/>
            <w:vAlign w:val="center"/>
          </w:tcPr>
          <w:p w14:paraId="0B4973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55.5</w:t>
            </w:r>
          </w:p>
        </w:tc>
      </w:tr>
      <w:tr w14:paraId="5B9A52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628" w:type="dxa"/>
            <w:noWrap w:val="0"/>
            <w:vAlign w:val="center"/>
          </w:tcPr>
          <w:p w14:paraId="6E4334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1460" w:type="dxa"/>
            <w:noWrap w:val="0"/>
            <w:vAlign w:val="center"/>
          </w:tcPr>
          <w:p w14:paraId="7F7DFA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eastAsia" w:ascii="宋体" w:hAnsi="宋体" w:eastAsia="宋体" w:cs="Arial Unicode MS"/>
                <w:sz w:val="24"/>
                <w:lang w:val="en-US" w:eastAsia="zh-CN"/>
              </w:rPr>
            </w:pPr>
            <w:r>
              <w:rPr>
                <w:rFonts w:hint="eastAsia" w:ascii="宋体" w:hAnsi="宋体" w:cs="Arial Unicode MS"/>
                <w:sz w:val="24"/>
                <w:lang w:val="en-US" w:eastAsia="zh-CN"/>
              </w:rPr>
              <w:t>透析床</w:t>
            </w:r>
          </w:p>
        </w:tc>
        <w:tc>
          <w:tcPr>
            <w:tcW w:w="825" w:type="dxa"/>
            <w:noWrap w:val="0"/>
            <w:vAlign w:val="center"/>
          </w:tcPr>
          <w:p w14:paraId="757B06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张</w:t>
            </w:r>
          </w:p>
        </w:tc>
        <w:tc>
          <w:tcPr>
            <w:tcW w:w="1106" w:type="dxa"/>
            <w:noWrap w:val="0"/>
            <w:vAlign w:val="center"/>
          </w:tcPr>
          <w:p w14:paraId="05A5F7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0.42</w:t>
            </w:r>
          </w:p>
        </w:tc>
        <w:tc>
          <w:tcPr>
            <w:tcW w:w="1012" w:type="dxa"/>
            <w:noWrap w:val="0"/>
            <w:vAlign w:val="center"/>
          </w:tcPr>
          <w:p w14:paraId="360F6C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27</w:t>
            </w:r>
          </w:p>
        </w:tc>
        <w:tc>
          <w:tcPr>
            <w:tcW w:w="1235" w:type="dxa"/>
            <w:noWrap w:val="0"/>
            <w:vAlign w:val="center"/>
          </w:tcPr>
          <w:p w14:paraId="188CD5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11.34</w:t>
            </w:r>
          </w:p>
        </w:tc>
        <w:tc>
          <w:tcPr>
            <w:tcW w:w="1298" w:type="dxa"/>
            <w:noWrap w:val="0"/>
            <w:vAlign w:val="center"/>
          </w:tcPr>
          <w:p w14:paraId="479EDB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0.42</w:t>
            </w:r>
          </w:p>
        </w:tc>
        <w:tc>
          <w:tcPr>
            <w:tcW w:w="1260" w:type="dxa"/>
            <w:noWrap w:val="0"/>
            <w:vAlign w:val="center"/>
          </w:tcPr>
          <w:p w14:paraId="361928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192" w:lineRule="auto"/>
              <w:jc w:val="center"/>
              <w:textAlignment w:val="auto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11.34</w:t>
            </w:r>
          </w:p>
        </w:tc>
      </w:tr>
    </w:tbl>
    <w:p w14:paraId="403B677F">
      <w:pPr>
        <w:widowControl w:val="0"/>
        <w:numPr>
          <w:ilvl w:val="0"/>
          <w:numId w:val="0"/>
        </w:numPr>
        <w:spacing w:before="78" w:line="219" w:lineRule="auto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</w:p>
    <w:p w14:paraId="47F6D23D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jc w:val="left"/>
        <w:textAlignment w:val="baseline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bookmarkStart w:id="0" w:name="bookmark82"/>
      <w:bookmarkEnd w:id="0"/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品目一：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血液透析机</w:t>
      </w:r>
    </w:p>
    <w:p w14:paraId="33AC79A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一、技术参数</w:t>
      </w:r>
    </w:p>
    <w:p w14:paraId="2EB72152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1.供水:压力范围：1.0-6.0bar；温度范围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至少包含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：10℃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～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30 ℃。</w:t>
      </w:r>
    </w:p>
    <w:p w14:paraId="26BCCAC0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2.透析液流速：测量范围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至少包含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：300-700mL/min。</w:t>
      </w:r>
    </w:p>
    <w:p w14:paraId="7A94B70B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3.透析液温度：测量范围：33.0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～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40.0°C，具备超温报警。</w:t>
      </w:r>
    </w:p>
    <w:p w14:paraId="2507D3FA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4.超滤速度：测量范围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至少包含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：0.50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～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4.00L/h。</w:t>
      </w:r>
    </w:p>
    <w:p w14:paraId="771397F6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5.动脉血泵：测量范围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至少包含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：50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～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600mL/min。</w:t>
      </w:r>
    </w:p>
    <w:p w14:paraId="6F202DD6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6.肝素泵：测量范围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至少包含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：0.1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～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9.0mL/h。</w:t>
      </w:r>
    </w:p>
    <w:p w14:paraId="1E5CBF6A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7.空气监测器：超声波检测；检测精度：</w:t>
      </w:r>
      <w:r>
        <w:rPr>
          <w:rFonts w:hint="eastAsia" w:ascii="宋体" w:hAnsi="宋体" w:eastAsia="宋体" w:cs="宋体"/>
          <w:kern w:val="0"/>
          <w:sz w:val="24"/>
          <w:szCs w:val="24"/>
          <w:highlight w:val="none"/>
        </w:rPr>
        <w:t>≤0.2mL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。</w:t>
      </w:r>
    </w:p>
    <w:p w14:paraId="2D07A12C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8.漏血检测器：具备漏血检测功能</w:t>
      </w:r>
    </w:p>
    <w:p w14:paraId="65D58B09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9.动脉压：测量范围：-300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～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+300mmHg；测量精确度：±10mmHg。</w:t>
      </w:r>
    </w:p>
    <w:p w14:paraId="58B00AD6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10.静脉压：测量范围：-50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～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+300mmHg；测量精确度：±10mmHg。</w:t>
      </w:r>
    </w:p>
    <w:p w14:paraId="6E45AA31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11.TMP：测量范围：-100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～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+500mmHg；测量精确度：±20mmHg。</w:t>
      </w:r>
    </w:p>
    <w:p w14:paraId="14EB74F0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12.透析液浓度：测量范围：13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～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15mS/cm。</w:t>
      </w:r>
    </w:p>
    <w:p w14:paraId="0B06B6C5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13.机身尺寸：机身宽度≤550mm。</w:t>
      </w:r>
    </w:p>
    <w:p w14:paraId="5E9056A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二、功能配置</w:t>
      </w:r>
    </w:p>
    <w:p w14:paraId="564BF6CF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color w:val="FF000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治疗模式：用于血液净化治疗，支持血液透析、单纯超滤。</w:t>
      </w:r>
    </w:p>
    <w:p w14:paraId="129F405F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人机交互：≥10英寸彩色液晶显示器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屏幕可旋转。</w:t>
      </w:r>
    </w:p>
    <w:p w14:paraId="6FD8D7CC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</w:rPr>
        <w:t>具备双动脉压力监测功能。</w:t>
      </w:r>
    </w:p>
    <w:p w14:paraId="03DEB82C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支持在线预充，回血和紧急的定容补液。</w:t>
      </w:r>
    </w:p>
    <w:p w14:paraId="117E703D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具备平衡与超滤控制系统。</w:t>
      </w:r>
    </w:p>
    <w:p w14:paraId="44521EE8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设备标配动静脉引血，回血功能，支持临床常规动静脉引血操作与治疗后回血操作。</w:t>
      </w:r>
    </w:p>
    <w:p w14:paraId="72B9F785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报警功能：具有声光报警指示，</w:t>
      </w:r>
      <w:r>
        <w:rPr>
          <w:rFonts w:hint="eastAsia" w:ascii="宋体" w:hAnsi="宋体" w:eastAsia="宋体" w:cs="宋体"/>
          <w:kern w:val="0"/>
          <w:sz w:val="24"/>
          <w:szCs w:val="24"/>
        </w:rPr>
        <w:t>采用三种</w:t>
      </w:r>
      <w:r>
        <w:rPr>
          <w:rFonts w:hint="eastAsia" w:ascii="宋体" w:hAnsi="宋体" w:eastAsia="宋体" w:cs="宋体"/>
          <w:sz w:val="24"/>
          <w:szCs w:val="24"/>
        </w:rPr>
        <w:t xml:space="preserve">颜色报警指示灯。 </w:t>
      </w:r>
    </w:p>
    <w:p w14:paraId="4774AE44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消毒模式：</w:t>
      </w:r>
      <w:bookmarkStart w:id="1" w:name="_Hlk186184208"/>
      <w:r>
        <w:rPr>
          <w:rFonts w:hint="eastAsia" w:ascii="宋体" w:hAnsi="宋体" w:eastAsia="宋体" w:cs="宋体"/>
          <w:sz w:val="24"/>
          <w:szCs w:val="24"/>
        </w:rPr>
        <w:t>支持使用柠檬酸、次氯酸钠、过氧乙酸等多种消毒液。热水柠檬酸消毒温度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≥</w:t>
      </w:r>
      <w:r>
        <w:rPr>
          <w:rFonts w:hint="eastAsia" w:ascii="宋体" w:hAnsi="宋体" w:eastAsia="宋体" w:cs="宋体"/>
          <w:sz w:val="24"/>
          <w:szCs w:val="24"/>
        </w:rPr>
        <w:t>80℃。</w:t>
      </w:r>
      <w:bookmarkEnd w:id="1"/>
    </w:p>
    <w:p w14:paraId="329B25F1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后备电池：停电时自动跳转后备电池供电，支持体外循环监测，报警系统。运行时间≥20分钟 </w:t>
      </w:r>
    </w:p>
    <w:p w14:paraId="0A41567B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透析液过滤：配透析液过滤器支架组件。</w:t>
      </w:r>
    </w:p>
    <w:p w14:paraId="348EE9A9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液面调整：具备动静脉壶液面电动调整功能。</w:t>
      </w:r>
    </w:p>
    <w:p w14:paraId="4F87ACE5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通讯组件：标配网络接口。</w:t>
      </w:r>
    </w:p>
    <w:p w14:paraId="30BCA013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设备配置在线血压计组件。</w:t>
      </w:r>
    </w:p>
    <w:p w14:paraId="21EAF303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设备配置在线KT/V监测功能。</w:t>
      </w:r>
    </w:p>
    <w:p w14:paraId="2AF2C5A8"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具备一键自动排液功能，治疗结束后可一键自动排出透析器膜内、膜外及管路内液体。</w:t>
      </w:r>
    </w:p>
    <w:p w14:paraId="2042F3D6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firstLine="0" w:firstLineChars="0"/>
        <w:jc w:val="left"/>
        <w:textAlignment w:val="baseline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品目二：血液透析滤过机</w:t>
      </w:r>
    </w:p>
    <w:p w14:paraId="1A8FF93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一、技术参数</w:t>
      </w:r>
    </w:p>
    <w:p w14:paraId="3ED8E372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</w:rPr>
        <w:t>1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.供水:压力范围：1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-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6bar；温度范围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至少包含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：10 ℃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～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30 ℃。</w:t>
      </w:r>
    </w:p>
    <w:p w14:paraId="29F775DA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2.透析液流速：测量范围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至少包含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：300-700mL/min。</w:t>
      </w:r>
    </w:p>
    <w:p w14:paraId="12DC5AE0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3.透析液温度：测量范围：33.0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～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40.0°C，具备超温报警。</w:t>
      </w:r>
    </w:p>
    <w:p w14:paraId="58DFEEA2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4.超滤速度：测量范围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至少包含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：0.50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～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4.00L/h。</w:t>
      </w:r>
    </w:p>
    <w:p w14:paraId="7EFA76D4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5.动脉血泵：测量范围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至少包含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：50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～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600mL/min。</w:t>
      </w:r>
    </w:p>
    <w:p w14:paraId="37E194A7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6.肝素泵：测量范围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至少包含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：0.1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～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9.0mL/h。</w:t>
      </w:r>
    </w:p>
    <w:p w14:paraId="7B0F4574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yellow"/>
        </w:rPr>
      </w:pPr>
      <w:r>
        <w:rPr>
          <w:rFonts w:hint="eastAsia" w:ascii="宋体" w:hAnsi="宋体" w:eastAsia="宋体" w:cs="宋体"/>
          <w:sz w:val="24"/>
          <w:szCs w:val="24"/>
        </w:rPr>
        <w:t>7.空气监测器：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超声波检测</w:t>
      </w:r>
      <w:r>
        <w:rPr>
          <w:rFonts w:hint="eastAsia" w:ascii="宋体" w:hAnsi="宋体" w:eastAsia="宋体" w:cs="宋体"/>
          <w:sz w:val="24"/>
          <w:szCs w:val="24"/>
        </w:rPr>
        <w:t>；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检测精度：≤0.2mL。</w:t>
      </w:r>
    </w:p>
    <w:p w14:paraId="54D2968B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</w:rPr>
        <w:t>8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.漏血检测器：具备漏血检测功能</w:t>
      </w:r>
    </w:p>
    <w:p w14:paraId="67AF2DD4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9.动脉压：测量范围：-300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～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+400mmHg；测量精确度：±10mmHg。</w:t>
      </w:r>
    </w:p>
    <w:p w14:paraId="2A7A15B7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10.静脉压：测量范围：-50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～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+390mmHg；测量精确度：±10mmHg。</w:t>
      </w:r>
    </w:p>
    <w:p w14:paraId="75813F90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11.TMP：测量范围：-100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～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+450mmHg；测量精确度：±20mmHg。</w:t>
      </w:r>
    </w:p>
    <w:p w14:paraId="01068C3D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12.透析液浓度：测量范围：13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～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15mS/cm。</w:t>
      </w:r>
    </w:p>
    <w:p w14:paraId="3BA37FE4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</w:rPr>
        <w:t>13. 机身尺寸：机身宽度≤550mm。</w:t>
      </w:r>
    </w:p>
    <w:p w14:paraId="12C583C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二、功能配置</w:t>
      </w:r>
    </w:p>
    <w:p w14:paraId="436040A1">
      <w:pPr>
        <w:pStyle w:val="5"/>
        <w:keepNext w:val="0"/>
        <w:keepLines w:val="0"/>
        <w:pageBreakBefore w:val="0"/>
        <w:widowControl/>
        <w:numPr>
          <w:ilvl w:val="0"/>
          <w:numId w:val="3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治疗模式：用于血液净化治疗，支持血液透析、单纯超滤、</w:t>
      </w:r>
      <w:r>
        <w:rPr>
          <w:rFonts w:hint="eastAsia" w:ascii="宋体" w:hAnsi="宋体" w:eastAsia="宋体" w:cs="宋体"/>
          <w:sz w:val="24"/>
          <w:szCs w:val="24"/>
        </w:rPr>
        <w:t>HDF和HF。</w:t>
      </w:r>
    </w:p>
    <w:p w14:paraId="0104726F">
      <w:pPr>
        <w:pStyle w:val="5"/>
        <w:keepNext w:val="0"/>
        <w:keepLines w:val="0"/>
        <w:pageBreakBefore w:val="0"/>
        <w:widowControl/>
        <w:numPr>
          <w:ilvl w:val="0"/>
          <w:numId w:val="3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人机交互：≥10英寸彩色液晶显示器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屏幕可旋转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。</w:t>
      </w:r>
    </w:p>
    <w:p w14:paraId="6D0A86CF">
      <w:pPr>
        <w:pStyle w:val="5"/>
        <w:keepNext w:val="0"/>
        <w:keepLines w:val="0"/>
        <w:pageBreakBefore w:val="0"/>
        <w:widowControl/>
        <w:numPr>
          <w:ilvl w:val="0"/>
          <w:numId w:val="3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压力监测：具备双动脉压力监测和静脉压力监测。</w:t>
      </w:r>
    </w:p>
    <w:p w14:paraId="6163901D">
      <w:pPr>
        <w:pStyle w:val="5"/>
        <w:keepNext w:val="0"/>
        <w:keepLines w:val="0"/>
        <w:pageBreakBefore w:val="0"/>
        <w:widowControl/>
        <w:numPr>
          <w:ilvl w:val="0"/>
          <w:numId w:val="3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支持在线的预充，回血和紧急的定容补液。</w:t>
      </w:r>
    </w:p>
    <w:p w14:paraId="3250D741">
      <w:pPr>
        <w:pStyle w:val="5"/>
        <w:keepNext w:val="0"/>
        <w:keepLines w:val="0"/>
        <w:pageBreakBefore w:val="0"/>
        <w:widowControl/>
        <w:numPr>
          <w:ilvl w:val="0"/>
          <w:numId w:val="3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</w:rPr>
        <w:t>具备平衡与超滤控制系统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。</w:t>
      </w:r>
    </w:p>
    <w:p w14:paraId="444CA7E7">
      <w:pPr>
        <w:pStyle w:val="5"/>
        <w:keepNext w:val="0"/>
        <w:keepLines w:val="0"/>
        <w:pageBreakBefore w:val="0"/>
        <w:widowControl/>
        <w:numPr>
          <w:ilvl w:val="0"/>
          <w:numId w:val="3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 xml:space="preserve">报警功能：具有声光报警指示，采用三种颜色报警指示灯。 </w:t>
      </w:r>
    </w:p>
    <w:p w14:paraId="019E3B51">
      <w:pPr>
        <w:pStyle w:val="5"/>
        <w:keepNext w:val="0"/>
        <w:keepLines w:val="0"/>
        <w:pageBreakBefore w:val="0"/>
        <w:widowControl/>
        <w:numPr>
          <w:ilvl w:val="0"/>
          <w:numId w:val="3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消毒模式：支持使用柠檬酸、次氯酸钠、过氧乙酸等多种消毒液。热水柠檬酸消毒温度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≥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80℃。</w:t>
      </w:r>
    </w:p>
    <w:p w14:paraId="421E360F">
      <w:pPr>
        <w:pStyle w:val="5"/>
        <w:keepNext w:val="0"/>
        <w:keepLines w:val="0"/>
        <w:pageBreakBefore w:val="0"/>
        <w:widowControl/>
        <w:numPr>
          <w:ilvl w:val="0"/>
          <w:numId w:val="3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 xml:space="preserve">后备电池：停电时自动跳转后备电池供电，支持体外循环监测，报警系统。运行时间≥20分钟 </w:t>
      </w:r>
    </w:p>
    <w:p w14:paraId="277E8528">
      <w:pPr>
        <w:pStyle w:val="5"/>
        <w:keepNext w:val="0"/>
        <w:keepLines w:val="0"/>
        <w:pageBreakBefore w:val="0"/>
        <w:widowControl/>
        <w:numPr>
          <w:ilvl w:val="0"/>
          <w:numId w:val="3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透析液过滤：标配透析液过滤器支架组件。</w:t>
      </w:r>
    </w:p>
    <w:p w14:paraId="04DC4F37">
      <w:pPr>
        <w:pStyle w:val="5"/>
        <w:keepNext w:val="0"/>
        <w:keepLines w:val="0"/>
        <w:pageBreakBefore w:val="0"/>
        <w:widowControl/>
        <w:numPr>
          <w:ilvl w:val="0"/>
          <w:numId w:val="3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液面调整：具备动静脉壶液面电动调整功能。</w:t>
      </w:r>
    </w:p>
    <w:p w14:paraId="4BB83416">
      <w:pPr>
        <w:pStyle w:val="5"/>
        <w:keepNext w:val="0"/>
        <w:keepLines w:val="0"/>
        <w:pageBreakBefore w:val="0"/>
        <w:widowControl/>
        <w:numPr>
          <w:ilvl w:val="0"/>
          <w:numId w:val="3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通讯组件：标配网络接口。</w:t>
      </w:r>
    </w:p>
    <w:p w14:paraId="485BA334">
      <w:pPr>
        <w:keepNext w:val="0"/>
        <w:keepLines w:val="0"/>
        <w:pageBreakBefore w:val="0"/>
        <w:widowControl/>
        <w:numPr>
          <w:ilvl w:val="0"/>
          <w:numId w:val="3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设备配置在线血压计组件。</w:t>
      </w:r>
    </w:p>
    <w:p w14:paraId="25FA16FB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13.设备配置在线KT/V监测功能。</w:t>
      </w:r>
    </w:p>
    <w:p w14:paraId="48D0479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14.具备一键自动排液功能，治疗结束后可一键自动排出透析器膜内、膜外及管路内液体。</w:t>
      </w:r>
    </w:p>
    <w:p w14:paraId="58B2B2DA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品目三：集中供液</w:t>
      </w:r>
    </w:p>
    <w:p w14:paraId="7067A6D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一、技术参数</w:t>
      </w:r>
    </w:p>
    <w:p w14:paraId="4AB737BF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1.主要工艺：全自动配液，变频稳压直接供液方式（无储液桶）</w:t>
      </w:r>
    </w:p>
    <w:p w14:paraId="54DAF118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配液用水：：符合YY 0793.2-2023《血液透析和相关治疗用液体的制备和质量管理 第 2 部分：血液透析和相关治疗用水》</w:t>
      </w:r>
    </w:p>
    <w:p w14:paraId="6F1F25A2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3.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系统构成：A液和B液分别溶解独立运行</w:t>
      </w:r>
    </w:p>
    <w:p w14:paraId="2A8AD6E6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4.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单次配液上限：不超过1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L/次溶解量</w:t>
      </w:r>
    </w:p>
    <w:p w14:paraId="3F30FB32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5.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电源和功率：220V±10%，50/60HZ,工作功率不超过15KW</w:t>
      </w:r>
    </w:p>
    <w:p w14:paraId="43408FE9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6.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浓度控制：电导率自动反馈控制</w:t>
      </w:r>
    </w:p>
    <w:p w14:paraId="5F00794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性能要求</w:t>
      </w:r>
    </w:p>
    <w:p w14:paraId="1AD2438F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1）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设备主要性能，集中供浓缩液系统采用模块化设计，并具备以下主要性能：</w:t>
      </w:r>
    </w:p>
    <w:p w14:paraId="34621B5C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1.1自动精准控制进水，进水异常时发出警报，确保快速处置</w:t>
      </w:r>
    </w:p>
    <w:p w14:paraId="203AD4FD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1.2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进水加温，进水温度5－30℃，加温后水温能达到20-25℃，A和B的加温温度可以分别自由设定控制。</w:t>
      </w:r>
    </w:p>
    <w:p w14:paraId="5F5CB688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1.3设备单台占地面积≤1平方米，整套系统占地面积≤2平方米。</w:t>
      </w:r>
    </w:p>
    <w:p w14:paraId="551F064C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1.4A\B溶解装置采用抗腐蚀性无轴螺旋推粉装置结构。</w:t>
      </w:r>
    </w:p>
    <w:p w14:paraId="6A12D0A6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1.5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设备应采用高精度电动阀，运行中实时监视阀的动作，出现异常应立即激发报警。</w:t>
      </w:r>
    </w:p>
    <w:p w14:paraId="2D2B09A5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1.6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两组电导度传感器实时监测，互相自检校对，以保证浓度监测精度。</w:t>
      </w:r>
    </w:p>
    <w:p w14:paraId="1AC9E436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1.7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单向分区供液，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≥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8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条供液管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路供液，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每条管路可独立控制，互不干扰，供液管道不可循环。</w:t>
      </w:r>
    </w:p>
    <w:p w14:paraId="46D8170E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1.8具有预约功能，能自动实施溶解作业。</w:t>
      </w:r>
    </w:p>
    <w:p w14:paraId="76B28C3B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1.9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单次溶解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≤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1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5升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浓缩液，单次溶解时间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≤8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分钟，避免过度搅拌。</w:t>
      </w:r>
    </w:p>
    <w:p w14:paraId="31B1F82A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1.10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具有自动投粉功能，粉剂防粘连功能。</w:t>
      </w:r>
    </w:p>
    <w:p w14:paraId="2C3810D6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1.11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与透析机的连接端口可物理断开。</w:t>
      </w:r>
    </w:p>
    <w:p w14:paraId="0A5AE078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1.12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具有紧急溶解功能。</w:t>
      </w:r>
    </w:p>
    <w:p w14:paraId="606B8259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1.13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异常断电时设备具有数据保存功能，供电正常时继续推进溶解作业。</w:t>
      </w:r>
    </w:p>
    <w:p w14:paraId="677A7C6F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1.14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能够保存设备运行、警报、溶解等记录等以备查询。</w:t>
      </w:r>
    </w:p>
    <w:p w14:paraId="2740EFC8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1.15.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具有护士台远端警报和手机端远程报知功能，实时提醒故障信息。</w:t>
      </w:r>
    </w:p>
    <w:p w14:paraId="0248FD6A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1.16.恒压变频供液，保证供液的稳定，供液压力≤35kPa</w:t>
      </w:r>
    </w:p>
    <w:p w14:paraId="2143E9EF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1.17.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供液管路采用医用等级硅胶管，采用密闭微压控制、单向供液不循环，不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可有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贮液桶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。</w:t>
      </w:r>
    </w:p>
    <w:p w14:paraId="346EB3A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both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2）抑菌方案为保证治疗安全性，设备具有多种抑制细菌生长的方案:</w:t>
      </w:r>
    </w:p>
    <w:p w14:paraId="3A9BF09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zh-CN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2.1接口采用U形无死腔设计</w:t>
      </w: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zh-CN" w:eastAsia="zh-CN" w:bidi="ar-SA"/>
        </w:rPr>
        <w:t>。</w:t>
      </w:r>
    </w:p>
    <w:p w14:paraId="69E08CF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2.2主机和供液管道具备每日消毒或清洗功能，消毒液过夜浸泡功能，以抑制细菌滋生。</w:t>
      </w:r>
    </w:p>
    <w:p w14:paraId="39B6677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2.3设备可在每天溶解完成后实施自动消毒程序，主机消毒完成后可自动排空。</w:t>
      </w:r>
    </w:p>
    <w:p w14:paraId="22EE21F7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2.4标配使用符合YY1272-2016标准的内毒素过滤器过滤浓缩液，透析液过滤器开放，至少可选择≥3个品牌，有到期提醒更换功能。</w:t>
      </w:r>
    </w:p>
    <w:p w14:paraId="27AC9009">
      <w:pPr>
        <w:keepNext w:val="0"/>
        <w:keepLines w:val="0"/>
        <w:pageBreakBefore w:val="0"/>
        <w:widowControl/>
        <w:numPr>
          <w:ilvl w:val="0"/>
          <w:numId w:val="4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使用及维护，设备使用该简便、智能，尽量的降低操作人员的工作负荷，至少具备以下性能：</w:t>
      </w:r>
    </w:p>
    <w:p w14:paraId="71FDC4E3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3.1清洗与消毒：具备≥2个自动消毒程序供客户选择，一键消毒。</w:t>
      </w:r>
    </w:p>
    <w:p w14:paraId="0D66E17F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3.2消毒记录自动保存，便于查看与管理。</w:t>
      </w:r>
    </w:p>
    <w:p w14:paraId="380FFA1C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3.3消毒液稀释浓度可设定并自动稀释。</w:t>
      </w:r>
    </w:p>
    <w:p w14:paraId="25DCF90B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3.4自我诊断及报警：系统有声光报警功能，中文提示故障原因，报警状态等信息，方便诊断。</w:t>
      </w:r>
    </w:p>
    <w:p w14:paraId="3EE676E0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3.5有实时状态显示图，方便操作者随时掌握设备运行状态。</w:t>
      </w:r>
    </w:p>
    <w:p w14:paraId="6F7A3E57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3.6有部件运行时间记录，超出运行时间时提醒操作者进行保养或更换。</w:t>
      </w:r>
    </w:p>
    <w:p w14:paraId="2281C136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3.7部件可以单独运行以支持故障判断。</w:t>
      </w:r>
    </w:p>
    <w:p w14:paraId="7901B3DB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3.8投粉口离地≤120CM方便日常投粉操作</w:t>
      </w:r>
    </w:p>
    <w:p w14:paraId="21D0B459">
      <w:pPr>
        <w:keepNext w:val="0"/>
        <w:keepLines w:val="0"/>
        <w:pageBreakBefore w:val="0"/>
        <w:widowControl/>
        <w:numPr>
          <w:ilvl w:val="0"/>
          <w:numId w:val="5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配置要求：</w:t>
      </w:r>
    </w:p>
    <w:p w14:paraId="17EAFE30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1.设备：集中供浓缩液A\B</w:t>
      </w:r>
    </w:p>
    <w:p w14:paraId="204FC45D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2.循环、输送泵：采用高性能耐腐蚀磁力泵</w:t>
      </w:r>
    </w:p>
    <w:p w14:paraId="2AE3AED9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3.电磁阀：医疗级电磁阀、电动阀</w:t>
      </w:r>
    </w:p>
    <w:p w14:paraId="4084421E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4.加热装置：进水温度补偿，加热温度可调</w:t>
      </w:r>
    </w:p>
    <w:p w14:paraId="1377CFE5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5.主机管道：医用级管，耐高温、耐腐蚀</w:t>
      </w:r>
    </w:p>
    <w:p w14:paraId="79757B59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1"/>
          <w:sz w:val="24"/>
          <w:szCs w:val="24"/>
          <w:lang w:val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6.供液管路：输送</w:t>
      </w: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zh-CN" w:eastAsia="zh-CN" w:bidi="ar-SA"/>
        </w:rPr>
        <w:t>管道采用医用硅胶管</w:t>
      </w:r>
    </w:p>
    <w:p w14:paraId="3522D136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jc w:val="left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品目四：透析床</w:t>
      </w:r>
    </w:p>
    <w:p w14:paraId="28BE8D52">
      <w:pPr>
        <w:keepNext w:val="0"/>
        <w:keepLines w:val="0"/>
        <w:pageBreakBefore w:val="0"/>
        <w:widowControl/>
        <w:numPr>
          <w:ilvl w:val="0"/>
          <w:numId w:val="6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外形尺寸：长度≥2100mm、宽度≥900mm、高度≥500mm。</w:t>
      </w:r>
    </w:p>
    <w:p w14:paraId="4255F27C">
      <w:pPr>
        <w:keepNext w:val="0"/>
        <w:keepLines w:val="0"/>
        <w:pageBreakBefore w:val="0"/>
        <w:widowControl/>
        <w:numPr>
          <w:ilvl w:val="0"/>
          <w:numId w:val="6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调节范围：背部升降≥70°、腿部升降≥45°。</w:t>
      </w:r>
    </w:p>
    <w:p w14:paraId="606FCDCE">
      <w:pPr>
        <w:keepNext w:val="0"/>
        <w:keepLines w:val="0"/>
        <w:pageBreakBefore w:val="0"/>
        <w:widowControl/>
        <w:numPr>
          <w:ilvl w:val="0"/>
          <w:numId w:val="6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中控刹车脚轮：尺寸≥120mm，采用静音耐磨，耐酸碱、抗腐蚀材料，具有良好的防锈功能，内置全封闭自润滑轴承。中控机构锁定更可靠并具有坚固耐用的性能。</w:t>
      </w:r>
    </w:p>
    <w:p w14:paraId="4B72D594">
      <w:pPr>
        <w:keepNext w:val="0"/>
        <w:keepLines w:val="0"/>
        <w:pageBreakBefore w:val="0"/>
        <w:widowControl/>
        <w:numPr>
          <w:ilvl w:val="0"/>
          <w:numId w:val="6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床架：碳钢材质，采用上下框架焊接结构，管壁厚度≥1.5mm提升整体牢固度，床体载重≥200Kg。</w:t>
      </w:r>
    </w:p>
    <w:p w14:paraId="69A7F91E">
      <w:pPr>
        <w:keepNext w:val="0"/>
        <w:keepLines w:val="0"/>
        <w:pageBreakBefore w:val="0"/>
        <w:widowControl/>
        <w:numPr>
          <w:ilvl w:val="0"/>
          <w:numId w:val="6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床面：采用模压床板工艺，床板采用≥1.0mm 厚冷扎钢板，一次模压成型工艺，钢板带有卷边增加强度，两端带有塑料堵头。</w:t>
      </w:r>
    </w:p>
    <w:p w14:paraId="6BB7C4B3">
      <w:pPr>
        <w:keepNext w:val="0"/>
        <w:keepLines w:val="0"/>
        <w:pageBreakBefore w:val="0"/>
        <w:widowControl/>
        <w:numPr>
          <w:ilvl w:val="0"/>
          <w:numId w:val="6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床面板采用十片床板与U型冲压钣金件焊接，双支撑结构，钣金件厚度≥3mm，长期受压耐用不变形。</w:t>
      </w:r>
    </w:p>
    <w:p w14:paraId="41CD6EE3">
      <w:pPr>
        <w:keepNext w:val="0"/>
        <w:keepLines w:val="0"/>
        <w:pageBreakBefore w:val="0"/>
        <w:widowControl/>
        <w:numPr>
          <w:ilvl w:val="0"/>
          <w:numId w:val="6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床头、尾板：ABS材料，整体吹塑成型，表面光滑，易擦拭，清洁更方便；弧线形流畅设计。床头及床尾架可以拆卸及锁定，床尾板外侧设患者信息卡插槽。</w:t>
      </w:r>
    </w:p>
    <w:p w14:paraId="3FD91410">
      <w:pPr>
        <w:keepNext w:val="0"/>
        <w:keepLines w:val="0"/>
        <w:pageBreakBefore w:val="0"/>
        <w:widowControl/>
        <w:numPr>
          <w:ilvl w:val="0"/>
          <w:numId w:val="6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护栏：铝合金材质，六支护栏支柱，长度≥1450mm，可收缩平放，带有锁定装置，具有防夹手功能。折叠护栏上支座为ABS工程塑料组合而成，下支座采用钢体U字型焊接。</w:t>
      </w:r>
    </w:p>
    <w:p w14:paraId="6DFCEE61">
      <w:pPr>
        <w:keepNext w:val="0"/>
        <w:keepLines w:val="0"/>
        <w:pageBreakBefore w:val="0"/>
        <w:widowControl/>
        <w:numPr>
          <w:ilvl w:val="0"/>
          <w:numId w:val="6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双摇把：ABS材料，隐藏式设计，可折叠。丝杠有过摇保护功能，有防尘罩。</w:t>
      </w:r>
    </w:p>
    <w:p w14:paraId="6DA7F2C1">
      <w:pPr>
        <w:keepNext w:val="0"/>
        <w:keepLines w:val="0"/>
        <w:pageBreakBefore w:val="0"/>
        <w:widowControl/>
        <w:numPr>
          <w:ilvl w:val="0"/>
          <w:numId w:val="6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输液架插孔：床体预留输液孔，分布在床体的四角，方便使用。</w:t>
      </w:r>
    </w:p>
    <w:p w14:paraId="78327A52">
      <w:pPr>
        <w:keepNext w:val="0"/>
        <w:keepLines w:val="0"/>
        <w:pageBreakBefore w:val="0"/>
        <w:widowControl/>
        <w:numPr>
          <w:ilvl w:val="0"/>
          <w:numId w:val="6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挂钩：采用U型结构，多功能，安装在床体的两侧。</w:t>
      </w:r>
      <w:bookmarkStart w:id="2" w:name="_Hlk14708247"/>
    </w:p>
    <w:p w14:paraId="0269BC84">
      <w:pPr>
        <w:keepNext w:val="0"/>
        <w:keepLines w:val="0"/>
        <w:pageBreakBefore w:val="0"/>
        <w:widowControl/>
        <w:numPr>
          <w:ilvl w:val="0"/>
          <w:numId w:val="6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ABS伸缩餐桌板1个：采用全新原料一次注塑成型，具有阻尼伸缩功能，防止因弹簧收缩造成餐桌板跌落的风险。</w:t>
      </w:r>
    </w:p>
    <w:p w14:paraId="5C5DB68D">
      <w:pPr>
        <w:keepNext w:val="0"/>
        <w:keepLines w:val="0"/>
        <w:pageBreakBefore w:val="0"/>
        <w:widowControl/>
        <w:numPr>
          <w:ilvl w:val="0"/>
          <w:numId w:val="6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标准医用床垫1张，尺寸和病床完全配套，内置≥4公分35密度海绵，≥4公分天然海南椰丝，舒适耐用，不变形。布料采用防水布，保证液体不渗透，容易擦拭，可长期保持床面干净卫生，透气防滑，卫生环保。床垫配有拉链,便于装卸、清洗。</w:t>
      </w:r>
    </w:p>
    <w:bookmarkEnd w:id="2"/>
    <w:p w14:paraId="46DC159B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60" w:lineRule="exact"/>
        <w:jc w:val="center"/>
        <w:textAlignment w:val="baseline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  <w:t>每张床配置清单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6"/>
        <w:gridCol w:w="3756"/>
        <w:gridCol w:w="2700"/>
      </w:tblGrid>
      <w:tr w14:paraId="6E738D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956" w:type="dxa"/>
            <w:noWrap w:val="0"/>
            <w:vAlign w:val="center"/>
          </w:tcPr>
          <w:p w14:paraId="2C889C89">
            <w:pPr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  <w:t>序号</w:t>
            </w:r>
          </w:p>
        </w:tc>
        <w:tc>
          <w:tcPr>
            <w:tcW w:w="3756" w:type="dxa"/>
            <w:noWrap w:val="0"/>
            <w:vAlign w:val="center"/>
          </w:tcPr>
          <w:p w14:paraId="0C8A7698">
            <w:pPr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  <w:t>产品名称</w:t>
            </w:r>
          </w:p>
        </w:tc>
        <w:tc>
          <w:tcPr>
            <w:tcW w:w="2700" w:type="dxa"/>
            <w:noWrap w:val="0"/>
            <w:vAlign w:val="center"/>
          </w:tcPr>
          <w:p w14:paraId="1F728239">
            <w:pPr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  <w:t>数量</w:t>
            </w:r>
          </w:p>
        </w:tc>
      </w:tr>
      <w:tr w14:paraId="34B84C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956" w:type="dxa"/>
            <w:noWrap w:val="0"/>
            <w:vAlign w:val="center"/>
          </w:tcPr>
          <w:p w14:paraId="58CB54FE">
            <w:pPr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1</w:t>
            </w:r>
          </w:p>
        </w:tc>
        <w:tc>
          <w:tcPr>
            <w:tcW w:w="3756" w:type="dxa"/>
            <w:noWrap w:val="0"/>
            <w:vAlign w:val="center"/>
          </w:tcPr>
          <w:p w14:paraId="7469068D">
            <w:pPr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双摇病床床体</w:t>
            </w:r>
          </w:p>
        </w:tc>
        <w:tc>
          <w:tcPr>
            <w:tcW w:w="2700" w:type="dxa"/>
            <w:noWrap w:val="0"/>
            <w:vAlign w:val="center"/>
          </w:tcPr>
          <w:p w14:paraId="46F23BEA">
            <w:pPr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1套</w:t>
            </w:r>
          </w:p>
        </w:tc>
      </w:tr>
      <w:tr w14:paraId="48ADBB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956" w:type="dxa"/>
            <w:noWrap w:val="0"/>
            <w:vAlign w:val="center"/>
          </w:tcPr>
          <w:p w14:paraId="7FF530E0">
            <w:pPr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2</w:t>
            </w:r>
          </w:p>
        </w:tc>
        <w:tc>
          <w:tcPr>
            <w:tcW w:w="3756" w:type="dxa"/>
            <w:noWrap w:val="0"/>
            <w:vAlign w:val="center"/>
          </w:tcPr>
          <w:p w14:paraId="1FBCF044">
            <w:pPr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中控脚轮</w:t>
            </w:r>
          </w:p>
        </w:tc>
        <w:tc>
          <w:tcPr>
            <w:tcW w:w="2700" w:type="dxa"/>
            <w:noWrap w:val="0"/>
            <w:vAlign w:val="center"/>
          </w:tcPr>
          <w:p w14:paraId="212CA4A5">
            <w:pPr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4只</w:t>
            </w:r>
          </w:p>
        </w:tc>
      </w:tr>
      <w:tr w14:paraId="084C84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956" w:type="dxa"/>
            <w:noWrap w:val="0"/>
            <w:vAlign w:val="center"/>
          </w:tcPr>
          <w:p w14:paraId="0AB1F7B7">
            <w:pPr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3</w:t>
            </w:r>
          </w:p>
        </w:tc>
        <w:tc>
          <w:tcPr>
            <w:tcW w:w="3756" w:type="dxa"/>
            <w:noWrap w:val="0"/>
            <w:vAlign w:val="center"/>
          </w:tcPr>
          <w:p w14:paraId="1A12539D">
            <w:pPr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护栏（六档铝合金）</w:t>
            </w:r>
          </w:p>
        </w:tc>
        <w:tc>
          <w:tcPr>
            <w:tcW w:w="2700" w:type="dxa"/>
            <w:noWrap w:val="0"/>
            <w:vAlign w:val="center"/>
          </w:tcPr>
          <w:p w14:paraId="4A2616D1">
            <w:pPr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1套</w:t>
            </w:r>
          </w:p>
        </w:tc>
      </w:tr>
      <w:tr w14:paraId="0EC13F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956" w:type="dxa"/>
            <w:noWrap w:val="0"/>
            <w:vAlign w:val="center"/>
          </w:tcPr>
          <w:p w14:paraId="74286CDF">
            <w:pPr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4</w:t>
            </w:r>
          </w:p>
        </w:tc>
        <w:tc>
          <w:tcPr>
            <w:tcW w:w="3756" w:type="dxa"/>
            <w:noWrap w:val="0"/>
            <w:vAlign w:val="center"/>
          </w:tcPr>
          <w:p w14:paraId="28D04A1C">
            <w:pPr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床头、尾板</w:t>
            </w:r>
          </w:p>
        </w:tc>
        <w:tc>
          <w:tcPr>
            <w:tcW w:w="2700" w:type="dxa"/>
            <w:noWrap w:val="0"/>
            <w:vAlign w:val="center"/>
          </w:tcPr>
          <w:p w14:paraId="4F8C9525">
            <w:pPr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1套</w:t>
            </w:r>
          </w:p>
        </w:tc>
      </w:tr>
      <w:tr w14:paraId="7C5B3B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956" w:type="dxa"/>
            <w:noWrap w:val="0"/>
            <w:vAlign w:val="center"/>
          </w:tcPr>
          <w:p w14:paraId="2F5F3C12">
            <w:pPr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5</w:t>
            </w:r>
          </w:p>
        </w:tc>
        <w:tc>
          <w:tcPr>
            <w:tcW w:w="3756" w:type="dxa"/>
            <w:noWrap w:val="0"/>
            <w:vAlign w:val="center"/>
          </w:tcPr>
          <w:p w14:paraId="03A6F613">
            <w:pPr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床垫</w:t>
            </w:r>
          </w:p>
        </w:tc>
        <w:tc>
          <w:tcPr>
            <w:tcW w:w="2700" w:type="dxa"/>
            <w:noWrap w:val="0"/>
            <w:vAlign w:val="center"/>
          </w:tcPr>
          <w:p w14:paraId="3B9F2912">
            <w:pPr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1张</w:t>
            </w:r>
          </w:p>
        </w:tc>
      </w:tr>
      <w:tr w14:paraId="7F8C40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956" w:type="dxa"/>
            <w:noWrap w:val="0"/>
            <w:vAlign w:val="center"/>
          </w:tcPr>
          <w:p w14:paraId="7FBFCFA6">
            <w:pPr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6</w:t>
            </w:r>
          </w:p>
        </w:tc>
        <w:tc>
          <w:tcPr>
            <w:tcW w:w="3756" w:type="dxa"/>
            <w:noWrap w:val="0"/>
            <w:vAlign w:val="center"/>
          </w:tcPr>
          <w:p w14:paraId="046E1425">
            <w:pPr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挂式餐桌板</w:t>
            </w:r>
          </w:p>
        </w:tc>
        <w:tc>
          <w:tcPr>
            <w:tcW w:w="2700" w:type="dxa"/>
            <w:noWrap w:val="0"/>
            <w:vAlign w:val="center"/>
          </w:tcPr>
          <w:p w14:paraId="1F878BBE">
            <w:pPr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1块</w:t>
            </w:r>
          </w:p>
        </w:tc>
      </w:tr>
    </w:tbl>
    <w:p w14:paraId="17FFEC87">
      <w:pPr>
        <w:numPr>
          <w:ilvl w:val="0"/>
          <w:numId w:val="0"/>
        </w:numPr>
        <w:rPr>
          <w:rFonts w:hint="default" w:ascii="仿宋" w:hAnsi="仿宋" w:eastAsia="仿宋" w:cs="仿宋"/>
          <w:kern w:val="2"/>
          <w:sz w:val="28"/>
          <w:szCs w:val="28"/>
          <w:highlight w:val="none"/>
          <w:lang w:val="en-US" w:eastAsia="zh-CN" w:bidi="ar-SA"/>
        </w:rPr>
      </w:pPr>
    </w:p>
    <w:p w14:paraId="7EE6CCAF">
      <w:pPr>
        <w:spacing w:line="360" w:lineRule="auto"/>
        <w:rPr>
          <w:rFonts w:hint="eastAsia" w:ascii="宋体" w:hAnsi="宋体" w:eastAsia="宋体" w:cs="Times New Roman"/>
          <w:b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Times New Roman"/>
          <w:b/>
          <w:bCs/>
          <w:kern w:val="2"/>
          <w:sz w:val="24"/>
          <w:szCs w:val="24"/>
          <w:lang w:val="en-US" w:eastAsia="zh-CN" w:bidi="ar-SA"/>
        </w:rPr>
        <w:t>注：1、以上技术要求为必须满足项，否则作无效响应处理；</w:t>
      </w:r>
    </w:p>
    <w:p w14:paraId="7C180BBE">
      <w:pPr>
        <w:numPr>
          <w:ilvl w:val="0"/>
          <w:numId w:val="0"/>
        </w:numPr>
        <w:spacing w:line="360" w:lineRule="auto"/>
        <w:ind w:firstLine="482" w:firstLineChars="200"/>
        <w:rPr>
          <w:rFonts w:hint="eastAsia" w:ascii="宋体" w:hAnsi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/>
          <w:b/>
          <w:bCs/>
          <w:sz w:val="24"/>
          <w:szCs w:val="24"/>
          <w:lang w:val="en-US" w:eastAsia="zh-CN"/>
        </w:rPr>
        <w:t>2、以上每种设备分别有单价最高限价，投标文件中必须提供具体分项报价，且不得超过单价最高限价，否则作无效响应处理</w:t>
      </w:r>
    </w:p>
    <w:p w14:paraId="60B88B24"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B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FFDF0C1"/>
    <w:multiLevelType w:val="singleLevel"/>
    <w:tmpl w:val="AFFDF0C1"/>
    <w:lvl w:ilvl="0" w:tentative="0">
      <w:start w:val="1"/>
      <w:numFmt w:val="chineseCounting"/>
      <w:suff w:val="space"/>
      <w:lvlText w:val="（%1）"/>
      <w:lvlJc w:val="left"/>
      <w:rPr>
        <w:rFonts w:hint="eastAsia"/>
      </w:rPr>
    </w:lvl>
  </w:abstractNum>
  <w:abstractNum w:abstractNumId="1">
    <w:nsid w:val="F877F004"/>
    <w:multiLevelType w:val="singleLevel"/>
    <w:tmpl w:val="F877F004"/>
    <w:lvl w:ilvl="0" w:tentative="0">
      <w:start w:val="3"/>
      <w:numFmt w:val="decimal"/>
      <w:suff w:val="nothing"/>
      <w:lvlText w:val="%1）"/>
      <w:lvlJc w:val="left"/>
    </w:lvl>
  </w:abstractNum>
  <w:abstractNum w:abstractNumId="2">
    <w:nsid w:val="096C1383"/>
    <w:multiLevelType w:val="multilevel"/>
    <w:tmpl w:val="096C1383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147ECE1A"/>
    <w:multiLevelType w:val="singleLevel"/>
    <w:tmpl w:val="147ECE1A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30F1564F"/>
    <w:multiLevelType w:val="multilevel"/>
    <w:tmpl w:val="30F1564F"/>
    <w:lvl w:ilvl="0" w:tentative="0">
      <w:start w:val="1"/>
      <w:numFmt w:val="decimal"/>
      <w:lvlText w:val="%1."/>
      <w:lvlJc w:val="left"/>
      <w:pPr>
        <w:ind w:left="420" w:hanging="420"/>
      </w:pPr>
      <w:rPr>
        <w:rFonts w:hint="default"/>
        <w:color w:val="auto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6A4EE92D"/>
    <w:multiLevelType w:val="singleLevel"/>
    <w:tmpl w:val="6A4EE92D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F0640D"/>
    <w:rsid w:val="0CF06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宋体" w:cs="Arial"/>
      <w:snapToGrid w:val="0"/>
      <w:color w:val="000000"/>
      <w:sz w:val="24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</w:style>
  <w:style w:type="paragraph" w:styleId="5">
    <w:name w:val="List Paragraph"/>
    <w:basedOn w:val="1"/>
    <w:qFormat/>
    <w:uiPriority w:val="34"/>
    <w:pPr>
      <w:ind w:firstLine="420" w:firstLineChars="200"/>
    </w:pPr>
    <w:rPr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2026-06-09T09:36:00Z</dcterms:created>
  <dc:creator>lenovo</dc:creator>
  <cp:lastModifiedBy>lenovo</cp:lastModifiedBy>
  <dcterms:modified xsi:type="dcterms:W3CDTF">2026-06-09T09:37:06Z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620547E275694E2D913BD005208195D7_11</vt:lpwstr>
  </property>
  <property fmtid="{D5CDD505-2E9C-101B-9397-08002B2CF9AE}" pid="4" name="KSOTemplateDocerSaveRecord">
    <vt:lpwstr>eyJoZGlkIjoiMzc2NjBkMDgwZmZlZWE0Y2U1ZDhlYTJkYTgzNmI5NmIiLCJ1c2VySWQiOiIzMzAzNzUxNzkifQ==</vt:lpwstr>
  </property>
</Properties>
</file>