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33F46E">
      <w:pPr>
        <w:pStyle w:val="2"/>
        <w:spacing w:line="360" w:lineRule="auto"/>
        <w:jc w:val="center"/>
        <w:rPr>
          <w:rFonts w:ascii="宋体" w:hAnsi="宋体" w:cs="仿宋"/>
          <w:color w:val="auto"/>
          <w:sz w:val="28"/>
          <w:szCs w:val="28"/>
          <w:highlight w:val="none"/>
        </w:rPr>
      </w:pPr>
      <w:bookmarkStart w:id="0" w:name="_Toc572"/>
      <w:r>
        <w:rPr>
          <w:rFonts w:hint="eastAsia" w:hAnsi="宋体" w:cs="仿宋"/>
          <w:b/>
          <w:bCs/>
          <w:color w:val="auto"/>
          <w:sz w:val="32"/>
          <w:highlight w:val="none"/>
        </w:rPr>
        <w:t xml:space="preserve"> 采购要求</w:t>
      </w:r>
      <w:bookmarkEnd w:id="0"/>
    </w:p>
    <w:p w14:paraId="3F777F8E">
      <w:pPr>
        <w:spacing w:line="360" w:lineRule="auto"/>
        <w:jc w:val="left"/>
        <w:outlineLvl w:val="9"/>
        <w:rPr>
          <w:rFonts w:hint="eastAsia" w:ascii="宋体" w:hAnsi="宋体" w:eastAsia="宋体" w:cs="宋体"/>
          <w:b w:val="0"/>
          <w:bCs w:val="0"/>
          <w:snapToGrid w:val="0"/>
          <w:color w:val="auto"/>
          <w:sz w:val="24"/>
          <w:szCs w:val="24"/>
          <w:highlight w:val="none"/>
        </w:rPr>
      </w:pPr>
      <w:bookmarkStart w:id="1" w:name="_Toc24175"/>
      <w:r>
        <w:rPr>
          <w:rFonts w:hint="eastAsia" w:ascii="宋体" w:hAnsi="宋体" w:eastAsia="宋体" w:cs="宋体"/>
          <w:b w:val="0"/>
          <w:bCs w:val="0"/>
          <w:snapToGrid w:val="0"/>
          <w:color w:val="auto"/>
          <w:sz w:val="24"/>
          <w:szCs w:val="24"/>
          <w:highlight w:val="none"/>
        </w:rPr>
        <w:t>一、电梯基本参数及技术要求</w:t>
      </w:r>
    </w:p>
    <w:p w14:paraId="69F0DC57">
      <w:pPr>
        <w:spacing w:line="360" w:lineRule="auto"/>
        <w:ind w:firstLine="480" w:firstLineChars="200"/>
        <w:jc w:val="left"/>
        <w:outlineLvl w:val="9"/>
        <w:rPr>
          <w:rFonts w:hint="default" w:ascii="宋体" w:hAnsi="宋体" w:eastAsia="宋体" w:cs="宋体"/>
          <w:b w:val="0"/>
          <w:bCs w:val="0"/>
          <w:snapToGrid w:val="0"/>
          <w:color w:val="auto"/>
          <w:sz w:val="24"/>
          <w:szCs w:val="24"/>
          <w:highlight w:val="none"/>
          <w:lang w:val="en-US" w:eastAsia="zh-CN"/>
        </w:rPr>
      </w:pPr>
      <w:r>
        <w:rPr>
          <w:rFonts w:hint="eastAsia" w:ascii="宋体" w:hAnsi="宋体" w:eastAsia="宋体" w:cs="宋体"/>
          <w:b w:val="0"/>
          <w:bCs w:val="0"/>
          <w:snapToGrid w:val="0"/>
          <w:color w:val="auto"/>
          <w:sz w:val="24"/>
          <w:szCs w:val="24"/>
          <w:highlight w:val="none"/>
        </w:rPr>
        <w:t>梯型：客梯</w:t>
      </w:r>
      <w:r>
        <w:rPr>
          <w:rFonts w:hint="eastAsia" w:ascii="宋体" w:hAnsi="宋体" w:eastAsia="宋体" w:cs="宋体"/>
          <w:b w:val="0"/>
          <w:bCs w:val="0"/>
          <w:snapToGrid w:val="0"/>
          <w:color w:val="auto"/>
          <w:sz w:val="24"/>
          <w:szCs w:val="24"/>
          <w:highlight w:val="none"/>
          <w:lang w:val="en-US" w:eastAsia="zh-CN"/>
        </w:rPr>
        <w:t>1台</w:t>
      </w:r>
    </w:p>
    <w:p w14:paraId="17816C79">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载重：825kg</w:t>
      </w:r>
    </w:p>
    <w:p w14:paraId="3B7D7F23">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速度：1.75m/s</w:t>
      </w:r>
    </w:p>
    <w:p w14:paraId="01DBAD42">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层站数：5层5站5门</w:t>
      </w:r>
    </w:p>
    <w:p w14:paraId="38FAEF73">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轿厢尺寸：可根据井道具体尺寸、底坑深度、电梯顶层高度和贵司标准调整，但需满足载重及规范要求。其中电梯尺寸为一楼2000×2000×4500mm，2-5层2000×2000×3600mm；底坑深度1600mm；电梯顶层高度5700mm</w:t>
      </w:r>
    </w:p>
    <w:p w14:paraId="74886DCA">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门型：中分自动门</w:t>
      </w:r>
    </w:p>
    <w:p w14:paraId="19708DF8">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驱动方式：永磁同步无齿轮曳引机(PM)</w:t>
      </w:r>
    </w:p>
    <w:p w14:paraId="2D314861">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控制方式：智能化控制</w:t>
      </w:r>
    </w:p>
    <w:p w14:paraId="00CDC604">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轿厢内壁：304不锈钢拉丝</w:t>
      </w:r>
    </w:p>
    <w:p w14:paraId="17381AC6">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轿厢地面：大理石</w:t>
      </w:r>
    </w:p>
    <w:p w14:paraId="153EBC87">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轿厢吊顶：集成LED节能照明</w:t>
      </w:r>
    </w:p>
    <w:p w14:paraId="419D60A3">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层门及门套：与轿厢装潢一致</w:t>
      </w:r>
    </w:p>
    <w:p w14:paraId="4793021D">
      <w:p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合规要求：符合GB7588-2003《电梯制造与安装安全规范》及最新国家标准，提供整机合格证、型式试验报告、特种设备制造许可证等资料。</w:t>
      </w:r>
    </w:p>
    <w:p w14:paraId="55980010">
      <w:pPr>
        <w:numPr>
          <w:ilvl w:val="0"/>
          <w:numId w:val="1"/>
        </w:num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所投客梯物联网监测平台（系统）应能在30 min内监测到监测终端的离线状态；</w:t>
      </w:r>
    </w:p>
    <w:p w14:paraId="798F3653">
      <w:pPr>
        <w:numPr>
          <w:ilvl w:val="0"/>
          <w:numId w:val="1"/>
        </w:num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所投客梯物联网监测终端配置了图像采集装置， 该装置应能存储图像信息；</w:t>
      </w:r>
    </w:p>
    <w:p w14:paraId="03D17F74">
      <w:pPr>
        <w:numPr>
          <w:ilvl w:val="0"/>
          <w:numId w:val="1"/>
        </w:num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所投客梯物联网监测终端应配备紧急电源， 应能将设备断电前的状态进行存储和发送，同时应保证能让电梯的图像采集装置工作至少1h；</w:t>
      </w:r>
    </w:p>
    <w:p w14:paraId="5FF844A7">
      <w:pPr>
        <w:numPr>
          <w:ilvl w:val="0"/>
          <w:numId w:val="1"/>
        </w:num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ascii="宋体" w:hAnsi="宋体" w:eastAsia="宋体" w:cs="宋体"/>
          <w:b w:val="0"/>
          <w:bCs w:val="0"/>
          <w:snapToGrid w:val="0"/>
          <w:color w:val="auto"/>
          <w:sz w:val="24"/>
          <w:szCs w:val="24"/>
          <w:highlight w:val="none"/>
        </w:rPr>
        <w:t>所投客梯物联网监测终端收到查询指令且设备实时运行状态发生变化时， 其信息的发送间隔不大于1s，</w:t>
      </w:r>
    </w:p>
    <w:p w14:paraId="79538C1B">
      <w:pPr>
        <w:numPr>
          <w:ilvl w:val="0"/>
          <w:numId w:val="1"/>
        </w:num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sz w:val="24"/>
          <w:szCs w:val="24"/>
        </w:rPr>
        <w:t>电梯门机系统的控制方法、装置和电子设备</w:t>
      </w:r>
    </w:p>
    <w:p w14:paraId="7A24704D">
      <w:pPr>
        <w:numPr>
          <w:ilvl w:val="0"/>
          <w:numId w:val="1"/>
        </w:num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sz w:val="24"/>
          <w:szCs w:val="24"/>
        </w:rPr>
        <w:t>一种电梯</w:t>
      </w:r>
      <w:r>
        <w:rPr>
          <w:rFonts w:hint="eastAsia"/>
          <w:sz w:val="24"/>
          <w:szCs w:val="24"/>
          <w:lang w:val="en-US" w:eastAsia="zh-CN"/>
        </w:rPr>
        <w:t>运行故障预警方法和系统</w:t>
      </w:r>
      <w:r>
        <w:rPr>
          <w:rFonts w:hint="eastAsia"/>
          <w:sz w:val="24"/>
          <w:szCs w:val="24"/>
        </w:rPr>
        <w:t>；</w:t>
      </w:r>
    </w:p>
    <w:p w14:paraId="795AD1BB">
      <w:pPr>
        <w:numPr>
          <w:ilvl w:val="0"/>
          <w:numId w:val="1"/>
        </w:num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sz w:val="24"/>
          <w:szCs w:val="24"/>
          <w:lang w:val="en-US" w:eastAsia="zh-CN"/>
        </w:rPr>
        <w:t>一种装饰板的快速夹紧装置；</w:t>
      </w:r>
    </w:p>
    <w:p w14:paraId="6DAACBDE">
      <w:pPr>
        <w:numPr>
          <w:ilvl w:val="0"/>
          <w:numId w:val="1"/>
        </w:num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rPr>
      </w:pPr>
      <w:r>
        <w:rPr>
          <w:rFonts w:hint="eastAsia"/>
          <w:sz w:val="24"/>
          <w:szCs w:val="24"/>
          <w:lang w:val="en-US" w:eastAsia="zh-CN"/>
        </w:rPr>
        <w:t>一种电梯时变干扰力矩的情景最优估计方法</w:t>
      </w:r>
      <w:r>
        <w:rPr>
          <w:rFonts w:hint="eastAsia"/>
          <w:sz w:val="32"/>
          <w:szCs w:val="32"/>
        </w:rPr>
        <w:t>、</w:t>
      </w:r>
      <w:r>
        <w:rPr>
          <w:rFonts w:hint="eastAsia"/>
          <w:sz w:val="24"/>
          <w:szCs w:val="24"/>
          <w:lang w:val="en-US" w:eastAsia="zh-CN"/>
        </w:rPr>
        <w:t>系统及介质；</w:t>
      </w:r>
    </w:p>
    <w:p w14:paraId="641687D9">
      <w:pPr>
        <w:numPr>
          <w:numId w:val="0"/>
        </w:numPr>
        <w:spacing w:line="360" w:lineRule="auto"/>
        <w:ind w:firstLine="480" w:firstLineChars="200"/>
        <w:jc w:val="left"/>
        <w:outlineLvl w:val="9"/>
        <w:rPr>
          <w:rFonts w:hint="eastAsia" w:ascii="宋体" w:hAnsi="宋体" w:eastAsia="宋体" w:cs="宋体"/>
          <w:b w:val="0"/>
          <w:bCs w:val="0"/>
          <w:snapToGrid w:val="0"/>
          <w:color w:val="auto"/>
          <w:sz w:val="24"/>
          <w:szCs w:val="24"/>
          <w:highlight w:val="none"/>
          <w:lang w:eastAsia="zh-CN"/>
        </w:rPr>
      </w:pPr>
      <w:r>
        <w:rPr>
          <w:rFonts w:hint="eastAsia" w:ascii="宋体" w:hAnsi="宋体" w:eastAsia="宋体" w:cs="宋体"/>
          <w:b w:val="0"/>
          <w:bCs w:val="0"/>
          <w:snapToGrid w:val="0"/>
          <w:color w:val="auto"/>
          <w:sz w:val="24"/>
          <w:szCs w:val="24"/>
          <w:highlight w:val="none"/>
          <w:lang w:eastAsia="zh-CN"/>
        </w:rPr>
        <w:t>（</w:t>
      </w:r>
      <w:r>
        <w:rPr>
          <w:rFonts w:hint="eastAsia" w:ascii="宋体" w:hAnsi="宋体" w:eastAsia="宋体" w:cs="宋体"/>
          <w:b w:val="0"/>
          <w:bCs w:val="0"/>
          <w:snapToGrid w:val="0"/>
          <w:color w:val="auto"/>
          <w:sz w:val="24"/>
          <w:szCs w:val="24"/>
          <w:highlight w:val="none"/>
          <w:lang w:val="en-US" w:eastAsia="zh-CN"/>
        </w:rPr>
        <w:t>9</w:t>
      </w:r>
      <w:r>
        <w:rPr>
          <w:rFonts w:hint="eastAsia" w:ascii="宋体" w:hAnsi="宋体" w:eastAsia="宋体" w:cs="宋体"/>
          <w:b w:val="0"/>
          <w:bCs w:val="0"/>
          <w:snapToGrid w:val="0"/>
          <w:color w:val="auto"/>
          <w:sz w:val="24"/>
          <w:szCs w:val="24"/>
          <w:highlight w:val="none"/>
          <w:lang w:eastAsia="zh-CN"/>
        </w:rPr>
        <w:t>）</w:t>
      </w:r>
      <w:r>
        <w:rPr>
          <w:rFonts w:hint="eastAsia" w:ascii="宋体" w:hAnsi="宋体" w:eastAsia="宋体" w:cs="宋体"/>
          <w:b w:val="0"/>
          <w:bCs w:val="0"/>
          <w:snapToGrid w:val="0"/>
          <w:color w:val="auto"/>
          <w:sz w:val="24"/>
          <w:szCs w:val="24"/>
          <w:highlight w:val="none"/>
        </w:rPr>
        <w:t>所投电梯品牌制造商具有中国合格评定国家认可委员会颁发的《实验室认可证书》且证书附件所列受认可的检测能力范围：检测对象≥30项和项目/参数数量≥150项</w:t>
      </w:r>
      <w:r>
        <w:rPr>
          <w:rFonts w:hint="eastAsia" w:ascii="宋体" w:hAnsi="宋体" w:eastAsia="宋体" w:cs="宋体"/>
          <w:b w:val="0"/>
          <w:bCs w:val="0"/>
          <w:snapToGrid w:val="0"/>
          <w:color w:val="auto"/>
          <w:sz w:val="24"/>
          <w:szCs w:val="24"/>
          <w:highlight w:val="none"/>
          <w:lang w:eastAsia="zh-CN"/>
        </w:rPr>
        <w:t>；</w:t>
      </w:r>
    </w:p>
    <w:p w14:paraId="5EBBD4BA">
      <w:pPr>
        <w:numPr>
          <w:ilvl w:val="0"/>
          <w:numId w:val="0"/>
        </w:numPr>
        <w:spacing w:line="360" w:lineRule="auto"/>
        <w:ind w:firstLine="482" w:firstLineChars="200"/>
        <w:jc w:val="left"/>
        <w:outlineLvl w:val="9"/>
        <w:rPr>
          <w:rFonts w:hint="default" w:ascii="宋体" w:hAnsi="宋体" w:eastAsia="宋体" w:cs="宋体"/>
          <w:b/>
          <w:bCs/>
          <w:snapToGrid w:val="0"/>
          <w:color w:val="auto"/>
          <w:sz w:val="24"/>
          <w:szCs w:val="24"/>
          <w:highlight w:val="none"/>
          <w:lang w:val="en-US" w:eastAsia="zh-CN"/>
        </w:rPr>
      </w:pPr>
      <w:r>
        <w:rPr>
          <w:rFonts w:hint="eastAsia" w:ascii="宋体" w:hAnsi="宋体" w:eastAsia="宋体" w:cs="宋体"/>
          <w:b/>
          <w:bCs/>
          <w:snapToGrid w:val="0"/>
          <w:color w:val="auto"/>
          <w:sz w:val="24"/>
          <w:szCs w:val="24"/>
          <w:highlight w:val="none"/>
          <w:lang w:val="en-US" w:eastAsia="zh-CN"/>
        </w:rPr>
        <w:t>投标人所投产品制造商须满足以上</w:t>
      </w:r>
      <w:r>
        <w:rPr>
          <w:rFonts w:hint="eastAsia" w:ascii="宋体" w:hAnsi="宋体" w:eastAsia="宋体" w:cs="宋体"/>
          <w:b/>
          <w:bCs/>
          <w:snapToGrid w:val="0"/>
          <w:color w:val="auto"/>
          <w:sz w:val="24"/>
          <w:szCs w:val="24"/>
          <w:highlight w:val="none"/>
          <w:lang w:eastAsia="zh-CN"/>
        </w:rPr>
        <w:t>（</w:t>
      </w:r>
      <w:r>
        <w:rPr>
          <w:rFonts w:hint="eastAsia" w:ascii="宋体" w:hAnsi="宋体" w:eastAsia="宋体" w:cs="宋体"/>
          <w:b/>
          <w:bCs/>
          <w:snapToGrid w:val="0"/>
          <w:color w:val="auto"/>
          <w:sz w:val="24"/>
          <w:szCs w:val="24"/>
          <w:highlight w:val="none"/>
          <w:lang w:val="en-US" w:eastAsia="zh-CN"/>
        </w:rPr>
        <w:t>1</w:t>
      </w:r>
      <w:r>
        <w:rPr>
          <w:rFonts w:hint="eastAsia" w:ascii="宋体" w:hAnsi="宋体" w:eastAsia="宋体" w:cs="宋体"/>
          <w:b/>
          <w:bCs/>
          <w:snapToGrid w:val="0"/>
          <w:color w:val="auto"/>
          <w:sz w:val="24"/>
          <w:szCs w:val="24"/>
          <w:highlight w:val="none"/>
          <w:lang w:eastAsia="zh-CN"/>
        </w:rPr>
        <w:t>）</w:t>
      </w:r>
      <w:r>
        <w:rPr>
          <w:rFonts w:hint="eastAsia" w:ascii="宋体" w:hAnsi="宋体" w:eastAsia="宋体" w:cs="宋体"/>
          <w:b/>
          <w:bCs/>
          <w:snapToGrid w:val="0"/>
          <w:color w:val="auto"/>
          <w:sz w:val="24"/>
          <w:szCs w:val="24"/>
          <w:highlight w:val="none"/>
          <w:lang w:val="en-US" w:eastAsia="zh-CN"/>
        </w:rPr>
        <w:t>-（</w:t>
      </w:r>
      <w:bookmarkStart w:id="2" w:name="_GoBack"/>
      <w:bookmarkEnd w:id="2"/>
      <w:r>
        <w:rPr>
          <w:rFonts w:hint="eastAsia" w:ascii="宋体" w:hAnsi="宋体" w:eastAsia="宋体" w:cs="宋体"/>
          <w:b/>
          <w:bCs/>
          <w:snapToGrid w:val="0"/>
          <w:color w:val="auto"/>
          <w:sz w:val="24"/>
          <w:szCs w:val="24"/>
          <w:highlight w:val="none"/>
          <w:lang w:val="en-US" w:eastAsia="zh-CN"/>
        </w:rPr>
        <w:t>9）中的2条及以上，并在响应文件中提供承诺函，格式自拟</w:t>
      </w:r>
      <w:r>
        <w:rPr>
          <w:rFonts w:hint="default" w:ascii="宋体" w:hAnsi="宋体" w:eastAsia="宋体" w:cs="宋体"/>
          <w:b/>
          <w:bCs/>
          <w:snapToGrid w:val="0"/>
          <w:color w:val="auto"/>
          <w:sz w:val="24"/>
          <w:szCs w:val="24"/>
          <w:highlight w:val="none"/>
          <w:lang w:eastAsia="zh-CN"/>
        </w:rPr>
        <w:t>（承诺的内容签订合同前须提供</w:t>
      </w:r>
      <w:r>
        <w:rPr>
          <w:rFonts w:hint="eastAsia" w:ascii="宋体" w:hAnsi="宋体" w:eastAsia="宋体" w:cs="宋体"/>
          <w:b/>
          <w:bCs/>
          <w:snapToGrid w:val="0"/>
          <w:color w:val="auto"/>
          <w:sz w:val="24"/>
          <w:szCs w:val="24"/>
          <w:highlight w:val="none"/>
          <w:lang w:val="en-US" w:eastAsia="zh-CN"/>
        </w:rPr>
        <w:t>相应的证明材料佐证</w:t>
      </w:r>
      <w:r>
        <w:rPr>
          <w:rFonts w:hint="default" w:ascii="宋体" w:hAnsi="宋体" w:eastAsia="宋体" w:cs="宋体"/>
          <w:b/>
          <w:bCs/>
          <w:snapToGrid w:val="0"/>
          <w:color w:val="auto"/>
          <w:sz w:val="24"/>
          <w:szCs w:val="24"/>
          <w:highlight w:val="none"/>
          <w:lang w:eastAsia="zh-CN"/>
        </w:rPr>
        <w:t>）</w:t>
      </w:r>
      <w:r>
        <w:rPr>
          <w:rFonts w:hint="eastAsia" w:ascii="宋体" w:hAnsi="宋体" w:eastAsia="宋体" w:cs="宋体"/>
          <w:b/>
          <w:bCs/>
          <w:snapToGrid w:val="0"/>
          <w:color w:val="auto"/>
          <w:sz w:val="24"/>
          <w:szCs w:val="24"/>
          <w:highlight w:val="none"/>
          <w:lang w:val="en-US" w:eastAsia="zh-CN"/>
        </w:rPr>
        <w:t>。</w:t>
      </w:r>
    </w:p>
    <w:bookmarkEnd w:id="1"/>
    <w:p w14:paraId="6F233064">
      <w:pPr>
        <w:numPr>
          <w:ilvl w:val="0"/>
          <w:numId w:val="0"/>
        </w:numPr>
        <w:spacing w:line="360" w:lineRule="auto"/>
        <w:ind w:firstLine="482" w:firstLineChars="200"/>
        <w:jc w:val="left"/>
        <w:outlineLvl w:val="9"/>
        <w:rPr>
          <w:rFonts w:hint="eastAsia" w:ascii="宋体" w:hAnsi="宋体" w:eastAsia="宋体" w:cs="宋体"/>
          <w:b/>
          <w:bCs/>
          <w:snapToGrid w:val="0"/>
          <w:color w:val="auto"/>
          <w:sz w:val="24"/>
          <w:szCs w:val="24"/>
          <w:highlight w:val="none"/>
          <w:lang w:val="en-US" w:eastAsia="zh-CN"/>
        </w:rPr>
      </w:pPr>
      <w:r>
        <w:rPr>
          <w:rFonts w:hint="eastAsia" w:ascii="宋体" w:hAnsi="宋体" w:eastAsia="宋体" w:cs="宋体"/>
          <w:b/>
          <w:bCs/>
          <w:snapToGrid w:val="0"/>
          <w:color w:val="auto"/>
          <w:sz w:val="24"/>
          <w:szCs w:val="24"/>
          <w:highlight w:val="none"/>
          <w:lang w:val="en-US" w:eastAsia="zh-CN"/>
        </w:rPr>
        <w:t>注：以上参数为最低要求，响应人必须全部满足或优于，不得负偏离，否则视为无效响应。</w:t>
      </w:r>
    </w:p>
    <w:p w14:paraId="67958CFC">
      <w:pPr>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CE27B1"/>
    <w:multiLevelType w:val="singleLevel"/>
    <w:tmpl w:val="FBCE27B1"/>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E16873"/>
    <w:rsid w:val="0F6A59DA"/>
    <w:rsid w:val="276C3E4A"/>
    <w:rsid w:val="45392238"/>
    <w:rsid w:val="53FC752F"/>
    <w:rsid w:val="58DD0FB2"/>
    <w:rsid w:val="60C5514D"/>
    <w:rsid w:val="746740F9"/>
    <w:rsid w:val="7CBD73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outlineLvl w:val="0"/>
    </w:pPr>
    <w:rPr>
      <w:rFonts w:ascii="宋体"/>
      <w:sz w:val="28"/>
    </w:rPr>
  </w:style>
  <w:style w:type="paragraph" w:styleId="3">
    <w:name w:val="heading 2"/>
    <w:basedOn w:val="1"/>
    <w:next w:val="1"/>
    <w:link w:val="9"/>
    <w:qFormat/>
    <w:uiPriority w:val="9"/>
    <w:pPr>
      <w:keepNext/>
      <w:keepLines/>
      <w:spacing w:before="260" w:after="260" w:line="416" w:lineRule="auto"/>
      <w:outlineLvl w:val="1"/>
    </w:pPr>
    <w:rPr>
      <w:rFonts w:ascii="Arial" w:hAnsi="Arial" w:eastAsia="黑体"/>
      <w:b/>
      <w:bCs/>
      <w:sz w:val="32"/>
      <w:szCs w:val="32"/>
    </w:rPr>
  </w:style>
  <w:style w:type="character" w:default="1" w:styleId="8">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Body Text"/>
    <w:basedOn w:val="1"/>
    <w:next w:val="1"/>
    <w:qFormat/>
    <w:uiPriority w:val="0"/>
    <w:pPr>
      <w:spacing w:after="120"/>
    </w:pPr>
  </w:style>
  <w:style w:type="paragraph" w:styleId="5">
    <w:name w:val="Body Text Indent"/>
    <w:basedOn w:val="1"/>
    <w:next w:val="6"/>
    <w:qFormat/>
    <w:uiPriority w:val="0"/>
    <w:pPr>
      <w:ind w:firstLine="645"/>
    </w:pPr>
    <w:rPr>
      <w:rFonts w:ascii="楷体_GB2312" w:eastAsia="楷体_GB2312"/>
      <w:sz w:val="32"/>
    </w:rPr>
  </w:style>
  <w:style w:type="paragraph" w:styleId="6">
    <w:name w:val="Body Text First Indent 2"/>
    <w:basedOn w:val="5"/>
    <w:qFormat/>
    <w:uiPriority w:val="0"/>
    <w:pPr>
      <w:ind w:firstLine="420" w:firstLineChars="200"/>
    </w:pPr>
  </w:style>
  <w:style w:type="character" w:customStyle="1" w:styleId="9">
    <w:name w:val="标题 2 Char"/>
    <w:link w:val="3"/>
    <w:qFormat/>
    <w:uiPriority w:val="9"/>
    <w:rPr>
      <w:rFonts w:ascii="Arial" w:hAnsi="Arial" w:eastAsia="黑体"/>
      <w:b/>
      <w:bCs/>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2026-04-10T03:04:00Z</dcterms:created>
  <dc:creator>pc</dc:creator>
  <cp:lastModifiedBy>pc</cp:lastModifiedBy>
  <dcterms:modified xsi:type="dcterms:W3CDTF">2026-06-09T08:07:27Z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eyJoZGlkIjoiZGU3MjEzOTBjYWI4OGRlZGQ5ZTEwOGZjZjQwMmZjNDMiLCJ1c2VySWQiOiI2MTM3NzM0MjYifQ==</vt:lpwstr>
  </property>
  <property fmtid="{D5CDD505-2E9C-101B-9397-08002B2CF9AE}" pid="4" name="ICV">
    <vt:lpwstr>E772AC05359A48E694FE8A27BBBD2809_12</vt:lpwstr>
  </property>
</Properties>
</file>