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CCE7B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lang w:eastAsia="zh-CN"/>
        </w:rPr>
      </w:pPr>
    </w:p>
    <w:p w14:paraId="0F9D33ED">
      <w:pPr>
        <w:spacing w:line="360"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响应文件</w:t>
      </w: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格式</w:t>
      </w:r>
    </w:p>
    <w:p w14:paraId="1896392F">
      <w:pPr>
        <w:pageBreakBefore w:val="0"/>
        <w:widowControl w:val="0"/>
        <w:wordWrap/>
        <w:overflowPunct/>
        <w:topLinePunct w:val="0"/>
        <w:bidi w:val="0"/>
        <w:spacing w:line="269" w:lineRule="auto"/>
        <w:jc w:val="center"/>
        <w:rPr>
          <w:color w:val="auto"/>
          <w:highlight w:val="none"/>
          <w:lang w:eastAsia="zh-CN"/>
        </w:rPr>
      </w:pPr>
    </w:p>
    <w:p w14:paraId="44C2EBD5">
      <w:pPr>
        <w:pageBreakBefore w:val="0"/>
        <w:widowControl w:val="0"/>
        <w:wordWrap/>
        <w:overflowPunct/>
        <w:topLinePunct w:val="0"/>
        <w:bidi w:val="0"/>
        <w:spacing w:line="269" w:lineRule="auto"/>
        <w:jc w:val="center"/>
        <w:rPr>
          <w:color w:val="auto"/>
          <w:highlight w:val="none"/>
          <w:lang w:eastAsia="zh-CN"/>
        </w:rPr>
      </w:pPr>
    </w:p>
    <w:p w14:paraId="06EA38BC">
      <w:pPr>
        <w:pageBreakBefore w:val="0"/>
        <w:widowControl w:val="0"/>
        <w:wordWrap/>
        <w:overflowPunct/>
        <w:topLinePunct w:val="0"/>
        <w:bidi w:val="0"/>
        <w:spacing w:line="269" w:lineRule="auto"/>
        <w:jc w:val="center"/>
        <w:rPr>
          <w:color w:val="auto"/>
          <w:highlight w:val="none"/>
          <w:lang w:eastAsia="zh-CN"/>
        </w:rPr>
      </w:pPr>
    </w:p>
    <w:p w14:paraId="54E68588">
      <w:pPr>
        <w:pageBreakBefore w:val="0"/>
        <w:widowControl w:val="0"/>
        <w:wordWrap/>
        <w:overflowPunct/>
        <w:topLinePunct w:val="0"/>
        <w:bidi w:val="0"/>
        <w:spacing w:line="269" w:lineRule="auto"/>
        <w:jc w:val="center"/>
        <w:rPr>
          <w:color w:val="auto"/>
          <w:highlight w:val="none"/>
          <w:lang w:eastAsia="zh-CN"/>
        </w:rPr>
      </w:pPr>
    </w:p>
    <w:p w14:paraId="0CB59ED8">
      <w:pPr>
        <w:pageBreakBefore w:val="0"/>
        <w:widowControl w:val="0"/>
        <w:wordWrap/>
        <w:overflowPunct/>
        <w:topLinePunct w:val="0"/>
        <w:bidi w:val="0"/>
        <w:spacing w:before="100" w:line="225" w:lineRule="auto"/>
        <w:jc w:val="center"/>
        <w:rPr>
          <w:rFonts w:ascii="宋体" w:hAnsi="宋体" w:eastAsia="宋体" w:cs="宋体"/>
          <w:color w:val="auto"/>
          <w:sz w:val="31"/>
          <w:szCs w:val="31"/>
          <w:highlight w:val="none"/>
          <w:lang w:eastAsia="zh-CN"/>
        </w:rPr>
      </w:pPr>
      <w:r>
        <w:rPr>
          <w:rFonts w:hint="eastAsia" w:ascii="宋体" w:hAnsi="宋体" w:eastAsia="宋体" w:cs="宋体"/>
          <w:color w:val="auto"/>
          <w:spacing w:val="-5"/>
          <w:sz w:val="31"/>
          <w:szCs w:val="31"/>
          <w:highlight w:val="none"/>
          <w:lang w:val="en-US" w:eastAsia="zh-CN"/>
          <w14:textOutline w14:w="5791" w14:cap="sq" w14:cmpd="sng" w14:algn="ctr">
            <w14:solidFill>
              <w14:srgbClr w14:val="000000"/>
            </w14:solidFill>
            <w14:prstDash w14:val="solid"/>
            <w14:bevel/>
          </w14:textOutline>
        </w:rPr>
        <w:t>磋 商 响 应</w:t>
      </w:r>
      <w:r>
        <w:rPr>
          <w:rFonts w:ascii="宋体" w:hAnsi="宋体" w:eastAsia="宋体" w:cs="宋体"/>
          <w:color w:val="auto"/>
          <w:spacing w:val="21"/>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19"/>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件</w:t>
      </w:r>
    </w:p>
    <w:p w14:paraId="61B32423">
      <w:pPr>
        <w:pageBreakBefore w:val="0"/>
        <w:widowControl w:val="0"/>
        <w:wordWrap/>
        <w:overflowPunct/>
        <w:topLinePunct w:val="0"/>
        <w:bidi w:val="0"/>
        <w:jc w:val="center"/>
        <w:rPr>
          <w:color w:val="auto"/>
          <w:highlight w:val="none"/>
          <w:lang w:eastAsia="zh-CN"/>
        </w:rPr>
      </w:pPr>
    </w:p>
    <w:p w14:paraId="2D9963E8">
      <w:pPr>
        <w:pageBreakBefore w:val="0"/>
        <w:widowControl w:val="0"/>
        <w:wordWrap/>
        <w:overflowPunct/>
        <w:topLinePunct w:val="0"/>
        <w:bidi w:val="0"/>
        <w:rPr>
          <w:color w:val="auto"/>
          <w:highlight w:val="none"/>
          <w:lang w:eastAsia="zh-CN"/>
        </w:rPr>
      </w:pPr>
    </w:p>
    <w:p w14:paraId="3E5C94A5">
      <w:pPr>
        <w:pageBreakBefore w:val="0"/>
        <w:widowControl w:val="0"/>
        <w:wordWrap/>
        <w:overflowPunct/>
        <w:topLinePunct w:val="0"/>
        <w:bidi w:val="0"/>
        <w:rPr>
          <w:color w:val="auto"/>
          <w:highlight w:val="none"/>
          <w:lang w:eastAsia="zh-CN"/>
        </w:rPr>
      </w:pPr>
    </w:p>
    <w:p w14:paraId="214F8F66">
      <w:pPr>
        <w:pageBreakBefore w:val="0"/>
        <w:widowControl w:val="0"/>
        <w:wordWrap/>
        <w:overflowPunct/>
        <w:topLinePunct w:val="0"/>
        <w:bidi w:val="0"/>
        <w:rPr>
          <w:color w:val="auto"/>
          <w:highlight w:val="none"/>
          <w:lang w:eastAsia="zh-CN"/>
        </w:rPr>
      </w:pPr>
    </w:p>
    <w:p w14:paraId="61934DFA">
      <w:pPr>
        <w:pageBreakBefore w:val="0"/>
        <w:widowControl w:val="0"/>
        <w:wordWrap/>
        <w:overflowPunct/>
        <w:topLinePunct w:val="0"/>
        <w:bidi w:val="0"/>
        <w:rPr>
          <w:color w:val="auto"/>
          <w:highlight w:val="none"/>
          <w:lang w:eastAsia="zh-CN"/>
        </w:rPr>
      </w:pPr>
    </w:p>
    <w:p w14:paraId="3F267FD2">
      <w:pPr>
        <w:pageBreakBefore w:val="0"/>
        <w:widowControl w:val="0"/>
        <w:wordWrap/>
        <w:overflowPunct/>
        <w:topLinePunct w:val="0"/>
        <w:bidi w:val="0"/>
        <w:rPr>
          <w:color w:val="auto"/>
          <w:highlight w:val="none"/>
          <w:lang w:eastAsia="zh-CN"/>
        </w:rPr>
      </w:pPr>
    </w:p>
    <w:p w14:paraId="61B3031B">
      <w:pPr>
        <w:pageBreakBefore w:val="0"/>
        <w:widowControl w:val="0"/>
        <w:wordWrap/>
        <w:overflowPunct/>
        <w:topLinePunct w:val="0"/>
        <w:bidi w:val="0"/>
        <w:rPr>
          <w:color w:val="auto"/>
          <w:highlight w:val="none"/>
          <w:lang w:eastAsia="zh-CN"/>
        </w:rPr>
      </w:pPr>
    </w:p>
    <w:p w14:paraId="0DDF134B">
      <w:pPr>
        <w:pageBreakBefore w:val="0"/>
        <w:widowControl w:val="0"/>
        <w:wordWrap/>
        <w:overflowPunct/>
        <w:topLinePunct w:val="0"/>
        <w:bidi w:val="0"/>
        <w:rPr>
          <w:color w:val="auto"/>
          <w:highlight w:val="none"/>
          <w:lang w:eastAsia="zh-CN"/>
        </w:rPr>
      </w:pPr>
    </w:p>
    <w:p w14:paraId="02361A39">
      <w:pPr>
        <w:pageBreakBefore w:val="0"/>
        <w:widowControl w:val="0"/>
        <w:wordWrap/>
        <w:overflowPunct/>
        <w:topLinePunct w:val="0"/>
        <w:bidi w:val="0"/>
        <w:spacing w:line="241" w:lineRule="auto"/>
        <w:rPr>
          <w:color w:val="auto"/>
          <w:highlight w:val="none"/>
          <w:lang w:eastAsia="zh-CN"/>
        </w:rPr>
      </w:pPr>
    </w:p>
    <w:p w14:paraId="5CFCEDBB">
      <w:pPr>
        <w:pageBreakBefore w:val="0"/>
        <w:widowControl w:val="0"/>
        <w:wordWrap/>
        <w:overflowPunct/>
        <w:topLinePunct w:val="0"/>
        <w:bidi w:val="0"/>
        <w:spacing w:line="241" w:lineRule="auto"/>
        <w:rPr>
          <w:color w:val="auto"/>
          <w:highlight w:val="none"/>
          <w:lang w:eastAsia="zh-CN"/>
        </w:rPr>
      </w:pPr>
    </w:p>
    <w:p w14:paraId="45B1F527">
      <w:pPr>
        <w:pageBreakBefore w:val="0"/>
        <w:widowControl w:val="0"/>
        <w:wordWrap/>
        <w:overflowPunct/>
        <w:topLinePunct w:val="0"/>
        <w:bidi w:val="0"/>
        <w:spacing w:line="241" w:lineRule="auto"/>
        <w:rPr>
          <w:color w:val="auto"/>
          <w:highlight w:val="none"/>
          <w:lang w:eastAsia="zh-CN"/>
        </w:rPr>
      </w:pPr>
    </w:p>
    <w:p w14:paraId="5901B773">
      <w:pPr>
        <w:pageBreakBefore w:val="0"/>
        <w:widowControl w:val="0"/>
        <w:wordWrap/>
        <w:overflowPunct/>
        <w:topLinePunct w:val="0"/>
        <w:bidi w:val="0"/>
        <w:spacing w:line="241" w:lineRule="auto"/>
        <w:rPr>
          <w:color w:val="auto"/>
          <w:highlight w:val="none"/>
          <w:lang w:eastAsia="zh-CN"/>
        </w:rPr>
      </w:pPr>
    </w:p>
    <w:p w14:paraId="2768AF40">
      <w:pPr>
        <w:pageBreakBefore w:val="0"/>
        <w:widowControl w:val="0"/>
        <w:wordWrap/>
        <w:overflowPunct/>
        <w:topLinePunct w:val="0"/>
        <w:bidi w:val="0"/>
        <w:spacing w:line="241" w:lineRule="auto"/>
        <w:rPr>
          <w:color w:val="auto"/>
          <w:highlight w:val="none"/>
          <w:lang w:eastAsia="zh-CN"/>
        </w:rPr>
      </w:pPr>
    </w:p>
    <w:p w14:paraId="4C3F60FC">
      <w:pPr>
        <w:pageBreakBefore w:val="0"/>
        <w:widowControl w:val="0"/>
        <w:wordWrap/>
        <w:overflowPunct/>
        <w:topLinePunct w:val="0"/>
        <w:bidi w:val="0"/>
        <w:spacing w:line="241" w:lineRule="auto"/>
        <w:rPr>
          <w:color w:val="auto"/>
          <w:highlight w:val="none"/>
          <w:lang w:eastAsia="zh-CN"/>
        </w:rPr>
      </w:pPr>
    </w:p>
    <w:p w14:paraId="66CB8F6C">
      <w:pPr>
        <w:pageBreakBefore w:val="0"/>
        <w:widowControl w:val="0"/>
        <w:wordWrap/>
        <w:overflowPunct/>
        <w:topLinePunct w:val="0"/>
        <w:bidi w:val="0"/>
        <w:spacing w:line="241" w:lineRule="auto"/>
        <w:rPr>
          <w:color w:val="auto"/>
          <w:highlight w:val="none"/>
          <w:lang w:eastAsia="zh-CN"/>
        </w:rPr>
      </w:pPr>
    </w:p>
    <w:p w14:paraId="7344F21C">
      <w:pPr>
        <w:pageBreakBefore w:val="0"/>
        <w:widowControl w:val="0"/>
        <w:wordWrap/>
        <w:overflowPunct/>
        <w:topLinePunct w:val="0"/>
        <w:bidi w:val="0"/>
        <w:spacing w:line="241" w:lineRule="auto"/>
        <w:rPr>
          <w:color w:val="auto"/>
          <w:highlight w:val="none"/>
          <w:lang w:eastAsia="zh-CN"/>
        </w:rPr>
      </w:pPr>
    </w:p>
    <w:p w14:paraId="4EE983A1">
      <w:pPr>
        <w:pageBreakBefore w:val="0"/>
        <w:widowControl w:val="0"/>
        <w:wordWrap/>
        <w:overflowPunct/>
        <w:topLinePunct w:val="0"/>
        <w:bidi w:val="0"/>
        <w:spacing w:before="78" w:line="220" w:lineRule="auto"/>
        <w:ind w:left="1445"/>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项目名称：</w:t>
      </w:r>
    </w:p>
    <w:p w14:paraId="5B5D8D63">
      <w:pPr>
        <w:pageBreakBefore w:val="0"/>
        <w:widowControl w:val="0"/>
        <w:wordWrap/>
        <w:overflowPunct/>
        <w:topLinePunct w:val="0"/>
        <w:bidi w:val="0"/>
        <w:spacing w:line="258" w:lineRule="auto"/>
        <w:rPr>
          <w:color w:val="auto"/>
          <w:highlight w:val="none"/>
          <w:lang w:eastAsia="zh-CN"/>
        </w:rPr>
      </w:pPr>
    </w:p>
    <w:p w14:paraId="00384BD4">
      <w:pPr>
        <w:pageBreakBefore w:val="0"/>
        <w:widowControl w:val="0"/>
        <w:wordWrap/>
        <w:overflowPunct/>
        <w:topLinePunct w:val="0"/>
        <w:bidi w:val="0"/>
        <w:spacing w:line="258" w:lineRule="auto"/>
        <w:rPr>
          <w:color w:val="auto"/>
          <w:highlight w:val="none"/>
          <w:lang w:eastAsia="zh-CN"/>
        </w:rPr>
      </w:pPr>
    </w:p>
    <w:p w14:paraId="533FBAED">
      <w:pPr>
        <w:pageBreakBefore w:val="0"/>
        <w:widowControl w:val="0"/>
        <w:wordWrap/>
        <w:overflowPunct/>
        <w:topLinePunct w:val="0"/>
        <w:bidi w:val="0"/>
        <w:spacing w:line="258" w:lineRule="auto"/>
        <w:rPr>
          <w:color w:val="auto"/>
          <w:highlight w:val="none"/>
          <w:lang w:eastAsia="zh-CN"/>
        </w:rPr>
      </w:pPr>
    </w:p>
    <w:p w14:paraId="28BD37B6">
      <w:pPr>
        <w:pageBreakBefore w:val="0"/>
        <w:widowControl w:val="0"/>
        <w:wordWrap/>
        <w:overflowPunct/>
        <w:topLinePunct w:val="0"/>
        <w:bidi w:val="0"/>
        <w:spacing w:line="259" w:lineRule="auto"/>
        <w:rPr>
          <w:color w:val="auto"/>
          <w:highlight w:val="none"/>
          <w:lang w:eastAsia="zh-CN"/>
        </w:rPr>
      </w:pPr>
    </w:p>
    <w:p w14:paraId="5B70CEAF">
      <w:pPr>
        <w:pageBreakBefore w:val="0"/>
        <w:widowControl w:val="0"/>
        <w:wordWrap/>
        <w:overflowPunct/>
        <w:topLinePunct w:val="0"/>
        <w:bidi w:val="0"/>
        <w:spacing w:before="79" w:line="219" w:lineRule="auto"/>
        <w:ind w:left="1445"/>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项目编号：</w:t>
      </w:r>
    </w:p>
    <w:p w14:paraId="1C45FC05">
      <w:pPr>
        <w:pageBreakBefore w:val="0"/>
        <w:widowControl w:val="0"/>
        <w:wordWrap/>
        <w:overflowPunct/>
        <w:topLinePunct w:val="0"/>
        <w:bidi w:val="0"/>
        <w:spacing w:line="245" w:lineRule="auto"/>
        <w:rPr>
          <w:color w:val="auto"/>
          <w:highlight w:val="none"/>
          <w:lang w:eastAsia="zh-CN"/>
        </w:rPr>
      </w:pPr>
    </w:p>
    <w:p w14:paraId="4D6068F5">
      <w:pPr>
        <w:pageBreakBefore w:val="0"/>
        <w:widowControl w:val="0"/>
        <w:wordWrap/>
        <w:overflowPunct/>
        <w:topLinePunct w:val="0"/>
        <w:bidi w:val="0"/>
        <w:spacing w:line="245" w:lineRule="auto"/>
        <w:rPr>
          <w:color w:val="auto"/>
          <w:highlight w:val="none"/>
          <w:lang w:eastAsia="zh-CN"/>
        </w:rPr>
      </w:pPr>
    </w:p>
    <w:p w14:paraId="76E21ED0">
      <w:pPr>
        <w:pageBreakBefore w:val="0"/>
        <w:widowControl w:val="0"/>
        <w:wordWrap/>
        <w:overflowPunct/>
        <w:topLinePunct w:val="0"/>
        <w:bidi w:val="0"/>
        <w:spacing w:line="245" w:lineRule="auto"/>
        <w:rPr>
          <w:color w:val="auto"/>
          <w:highlight w:val="none"/>
          <w:lang w:eastAsia="zh-CN"/>
        </w:rPr>
      </w:pPr>
    </w:p>
    <w:p w14:paraId="43181A7B">
      <w:pPr>
        <w:pageBreakBefore w:val="0"/>
        <w:widowControl w:val="0"/>
        <w:wordWrap/>
        <w:overflowPunct/>
        <w:topLinePunct w:val="0"/>
        <w:bidi w:val="0"/>
        <w:spacing w:line="245" w:lineRule="auto"/>
        <w:rPr>
          <w:color w:val="auto"/>
          <w:highlight w:val="none"/>
          <w:lang w:eastAsia="zh-CN"/>
        </w:rPr>
      </w:pPr>
    </w:p>
    <w:p w14:paraId="2CF8EE9E">
      <w:pPr>
        <w:pageBreakBefore w:val="0"/>
        <w:widowControl w:val="0"/>
        <w:wordWrap/>
        <w:overflowPunct/>
        <w:topLinePunct w:val="0"/>
        <w:bidi w:val="0"/>
        <w:spacing w:line="246" w:lineRule="auto"/>
        <w:rPr>
          <w:color w:val="auto"/>
          <w:highlight w:val="none"/>
          <w:lang w:eastAsia="zh-CN"/>
        </w:rPr>
      </w:pPr>
    </w:p>
    <w:p w14:paraId="4A79BBEA">
      <w:pPr>
        <w:pageBreakBefore w:val="0"/>
        <w:widowControl w:val="0"/>
        <w:wordWrap/>
        <w:overflowPunct/>
        <w:topLinePunct w:val="0"/>
        <w:bidi w:val="0"/>
        <w:spacing w:line="246" w:lineRule="auto"/>
        <w:rPr>
          <w:color w:val="auto"/>
          <w:highlight w:val="none"/>
          <w:lang w:eastAsia="zh-CN"/>
        </w:rPr>
      </w:pPr>
    </w:p>
    <w:p w14:paraId="78F637AD">
      <w:pPr>
        <w:pageBreakBefore w:val="0"/>
        <w:widowControl w:val="0"/>
        <w:wordWrap/>
        <w:overflowPunct/>
        <w:topLinePunct w:val="0"/>
        <w:bidi w:val="0"/>
        <w:spacing w:line="246" w:lineRule="auto"/>
        <w:rPr>
          <w:color w:val="auto"/>
          <w:highlight w:val="none"/>
          <w:lang w:eastAsia="zh-CN"/>
        </w:rPr>
      </w:pPr>
    </w:p>
    <w:p w14:paraId="1F46E441">
      <w:pPr>
        <w:pageBreakBefore w:val="0"/>
        <w:widowControl w:val="0"/>
        <w:wordWrap/>
        <w:overflowPunct/>
        <w:topLinePunct w:val="0"/>
        <w:bidi w:val="0"/>
        <w:spacing w:line="246" w:lineRule="auto"/>
        <w:rPr>
          <w:color w:val="auto"/>
          <w:highlight w:val="none"/>
          <w:lang w:eastAsia="zh-CN"/>
        </w:rPr>
      </w:pPr>
    </w:p>
    <w:p w14:paraId="64BC0934">
      <w:pPr>
        <w:pageBreakBefore w:val="0"/>
        <w:widowControl w:val="0"/>
        <w:wordWrap/>
        <w:overflowPunct/>
        <w:topLinePunct w:val="0"/>
        <w:bidi w:val="0"/>
        <w:spacing w:before="78" w:line="219" w:lineRule="auto"/>
        <w:ind w:left="3362"/>
        <w:rPr>
          <w:rFonts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（签章）</w:t>
      </w:r>
    </w:p>
    <w:p w14:paraId="2CB6D108">
      <w:pPr>
        <w:pageBreakBefore w:val="0"/>
        <w:widowControl w:val="0"/>
        <w:wordWrap/>
        <w:overflowPunct/>
        <w:topLinePunct w:val="0"/>
        <w:bidi w:val="0"/>
        <w:spacing w:line="285" w:lineRule="auto"/>
        <w:rPr>
          <w:color w:val="auto"/>
          <w:highlight w:val="none"/>
          <w:lang w:eastAsia="zh-CN"/>
        </w:rPr>
      </w:pPr>
    </w:p>
    <w:p w14:paraId="320A8B6F">
      <w:pPr>
        <w:pageBreakBefore w:val="0"/>
        <w:widowControl w:val="0"/>
        <w:wordWrap/>
        <w:overflowPunct/>
        <w:topLinePunct w:val="0"/>
        <w:bidi w:val="0"/>
        <w:spacing w:line="285" w:lineRule="auto"/>
        <w:rPr>
          <w:color w:val="auto"/>
          <w:highlight w:val="none"/>
          <w:lang w:eastAsia="zh-CN"/>
        </w:rPr>
      </w:pPr>
    </w:p>
    <w:p w14:paraId="5ADA4D86">
      <w:pPr>
        <w:pageBreakBefore w:val="0"/>
        <w:widowControl w:val="0"/>
        <w:wordWrap/>
        <w:overflowPunct/>
        <w:topLinePunct w:val="0"/>
        <w:bidi w:val="0"/>
        <w:spacing w:before="79" w:line="219" w:lineRule="auto"/>
        <w:jc w:val="center"/>
        <w:rPr>
          <w:rFonts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年</w:t>
      </w:r>
      <w:r>
        <w:rPr>
          <w:rFonts w:ascii="宋体" w:hAnsi="宋体" w:eastAsia="宋体" w:cs="宋体"/>
          <w:color w:val="auto"/>
          <w:spacing w:val="5"/>
          <w:sz w:val="24"/>
          <w:szCs w:val="24"/>
          <w:highlight w:val="none"/>
          <w:lang w:eastAsia="zh-CN"/>
        </w:rPr>
        <w:t xml:space="preserve">  </w:t>
      </w:r>
      <w:r>
        <w:rPr>
          <w:rFonts w:hint="eastAsia" w:ascii="宋体" w:hAnsi="宋体" w:eastAsia="宋体" w:cs="宋体"/>
          <w:color w:val="auto"/>
          <w:spacing w:val="5"/>
          <w:sz w:val="24"/>
          <w:szCs w:val="24"/>
          <w:highlight w:val="none"/>
          <w:lang w:val="en-US" w:eastAsia="zh-CN"/>
        </w:rPr>
        <w:t xml:space="preserve"> </w:t>
      </w:r>
      <w:r>
        <w:rPr>
          <w:rFonts w:ascii="宋体" w:hAnsi="宋体" w:eastAsia="宋体" w:cs="宋体"/>
          <w:color w:val="auto"/>
          <w:spacing w:val="5"/>
          <w:sz w:val="24"/>
          <w:szCs w:val="24"/>
          <w:highlight w:val="none"/>
          <w:lang w:eastAsia="zh-CN"/>
        </w:rPr>
        <w:t xml:space="preserve"> </w:t>
      </w:r>
      <w:r>
        <w:rPr>
          <w:rFonts w:ascii="宋体" w:hAnsi="宋体" w:eastAsia="宋体" w:cs="宋体"/>
          <w:color w:val="auto"/>
          <w:spacing w:val="-9"/>
          <w:sz w:val="24"/>
          <w:szCs w:val="24"/>
          <w:highlight w:val="none"/>
          <w:lang w:eastAsia="zh-CN"/>
        </w:rPr>
        <w:t>月</w:t>
      </w:r>
      <w:r>
        <w:rPr>
          <w:rFonts w:ascii="宋体" w:hAnsi="宋体" w:eastAsia="宋体" w:cs="宋体"/>
          <w:color w:val="auto"/>
          <w:spacing w:val="17"/>
          <w:sz w:val="24"/>
          <w:szCs w:val="24"/>
          <w:highlight w:val="none"/>
          <w:lang w:eastAsia="zh-CN"/>
        </w:rPr>
        <w:t xml:space="preserve">   </w:t>
      </w:r>
      <w:r>
        <w:rPr>
          <w:rFonts w:ascii="宋体" w:hAnsi="宋体" w:eastAsia="宋体" w:cs="宋体"/>
          <w:color w:val="auto"/>
          <w:spacing w:val="-9"/>
          <w:sz w:val="24"/>
          <w:szCs w:val="24"/>
          <w:highlight w:val="none"/>
          <w:lang w:eastAsia="zh-CN"/>
        </w:rPr>
        <w:t>日</w:t>
      </w:r>
    </w:p>
    <w:p w14:paraId="603A06E5">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3" w:type="default"/>
          <w:pgSz w:w="11906" w:h="16839"/>
          <w:pgMar w:top="1032" w:right="1157" w:bottom="1032" w:left="1174" w:header="0" w:footer="1200" w:gutter="0"/>
          <w:pgNumType w:fmt="decimal"/>
          <w:cols w:space="720" w:num="1"/>
        </w:sectPr>
      </w:pPr>
    </w:p>
    <w:p w14:paraId="1C5E66A1">
      <w:pPr>
        <w:pageBreakBefore w:val="0"/>
        <w:widowControl w:val="0"/>
        <w:wordWrap/>
        <w:overflowPunct/>
        <w:topLinePunct w:val="0"/>
        <w:bidi w:val="0"/>
        <w:spacing w:before="47" w:after="0" w:afterLines="150" w:afterAutospacing="0" w:line="219" w:lineRule="auto"/>
        <w:jc w:val="center"/>
        <w:rPr>
          <w:rFonts w:ascii="宋体" w:hAnsi="宋体" w:eastAsia="宋体" w:cs="宋体"/>
          <w:color w:val="auto"/>
          <w:sz w:val="24"/>
          <w:szCs w:val="24"/>
          <w:highlight w:val="none"/>
          <w:lang w:eastAsia="zh-CN"/>
        </w:rPr>
      </w:pPr>
      <w:bookmarkStart w:id="0" w:name="bookmark54"/>
      <w:bookmarkEnd w:id="0"/>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1"/>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磋商响应</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书</w:t>
      </w:r>
    </w:p>
    <w:p w14:paraId="7A76435C">
      <w:pPr>
        <w:pageBreakBefore w:val="0"/>
        <w:widowControl w:val="0"/>
        <w:wordWrap/>
        <w:overflowPunct/>
        <w:topLinePunct w:val="0"/>
        <w:bidi w:val="0"/>
        <w:spacing w:beforeAutospacing="0" w:line="220" w:lineRule="auto"/>
        <w:ind w:left="1"/>
        <w:rPr>
          <w:rFonts w:ascii="宋体" w:hAnsi="宋体" w:eastAsia="宋体" w:cs="宋体"/>
          <w:b w:val="0"/>
          <w:bCs w:val="0"/>
          <w:color w:val="auto"/>
          <w:sz w:val="24"/>
          <w:szCs w:val="24"/>
          <w:highlight w:val="none"/>
          <w:lang w:eastAsia="zh-CN"/>
        </w:rPr>
      </w:pPr>
      <w:r>
        <w:rPr>
          <w:rFonts w:ascii="宋体" w:hAnsi="宋体" w:eastAsia="宋体" w:cs="宋体"/>
          <w:b w:val="0"/>
          <w:bCs w:val="0"/>
          <w:color w:val="auto"/>
          <w:spacing w:val="-5"/>
          <w:sz w:val="24"/>
          <w:szCs w:val="24"/>
          <w:highlight w:val="none"/>
          <w:lang w:eastAsia="zh-CN"/>
          <w14:textOutline w14:w="4356" w14:cap="sq" w14:cmpd="sng" w14:algn="ctr">
            <w14:solidFill>
              <w14:srgbClr w14:val="000000"/>
            </w14:solidFill>
            <w14:prstDash w14:val="solid"/>
            <w14:bevel/>
          </w14:textOutline>
        </w:rPr>
        <w:t>致：</w:t>
      </w:r>
      <w:r>
        <w:rPr>
          <w:rFonts w:ascii="宋体" w:hAnsi="宋体" w:eastAsia="宋体" w:cs="宋体"/>
          <w:b w:val="0"/>
          <w:bCs w:val="0"/>
          <w:color w:val="auto"/>
          <w:spacing w:val="-69"/>
          <w:sz w:val="24"/>
          <w:szCs w:val="24"/>
          <w:highlight w:val="none"/>
          <w:lang w:eastAsia="zh-CN"/>
        </w:rPr>
        <w:t xml:space="preserve"> </w:t>
      </w:r>
      <w:r>
        <w:rPr>
          <w:rFonts w:hint="eastAsia" w:ascii="宋体" w:hAnsi="宋体" w:eastAsia="宋体" w:cs="宋体"/>
          <w:b w:val="0"/>
          <w:bCs w:val="0"/>
          <w:color w:val="auto"/>
          <w:spacing w:val="-5"/>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2C807F5E">
      <w:pPr>
        <w:spacing w:line="400" w:lineRule="exact"/>
        <w:ind w:firstLine="480"/>
        <w:rPr>
          <w:rFonts w:ascii="宋体" w:hAnsi="宋体" w:eastAsia="宋体" w:cs="宋体"/>
          <w:i w:val="0"/>
          <w:iCs w:val="0"/>
          <w:color w:val="auto"/>
          <w:sz w:val="24"/>
          <w:szCs w:val="24"/>
          <w:highlight w:val="none"/>
          <w:lang w:eastAsia="zh-CN"/>
        </w:rPr>
      </w:pPr>
      <w:r>
        <w:rPr>
          <w:rFonts w:hint="eastAsia" w:ascii="宋体" w:hAnsi="宋体" w:cs="宋体"/>
          <w:i w:val="0"/>
          <w:iCs w:val="0"/>
          <w:color w:val="auto"/>
          <w:sz w:val="24"/>
          <w:highlight w:val="none"/>
        </w:rPr>
        <w:t>根据贵方为(</w:t>
      </w:r>
      <w:r>
        <w:rPr>
          <w:rFonts w:hint="eastAsia" w:ascii="宋体" w:hAnsi="宋体" w:cs="宋体"/>
          <w:i w:val="0"/>
          <w:iCs w:val="0"/>
          <w:color w:val="auto"/>
          <w:sz w:val="24"/>
          <w:highlight w:val="none"/>
          <w:u w:val="single"/>
        </w:rPr>
        <w:t>项目名称</w:t>
      </w:r>
      <w:r>
        <w:rPr>
          <w:rFonts w:hint="eastAsia" w:ascii="宋体" w:hAnsi="宋体" w:cs="宋体"/>
          <w:i w:val="0"/>
          <w:iCs w:val="0"/>
          <w:color w:val="auto"/>
          <w:sz w:val="24"/>
          <w:highlight w:val="none"/>
        </w:rPr>
        <w:t>)项目</w:t>
      </w:r>
      <w:r>
        <w:rPr>
          <w:rFonts w:hint="eastAsia" w:ascii="宋体" w:hAnsi="宋体" w:eastAsia="宋体" w:cs="宋体"/>
          <w:i w:val="0"/>
          <w:iCs w:val="0"/>
          <w:color w:val="auto"/>
          <w:sz w:val="24"/>
          <w:highlight w:val="none"/>
          <w:lang w:eastAsia="zh-CN"/>
        </w:rPr>
        <w:t>磋商</w:t>
      </w:r>
      <w:r>
        <w:rPr>
          <w:rFonts w:hint="eastAsia" w:ascii="宋体" w:hAnsi="宋体" w:cs="宋体"/>
          <w:i w:val="0"/>
          <w:iCs w:val="0"/>
          <w:color w:val="auto"/>
          <w:sz w:val="24"/>
          <w:highlight w:val="none"/>
        </w:rPr>
        <w:t>采购服务的</w:t>
      </w:r>
      <w:r>
        <w:rPr>
          <w:rFonts w:hint="eastAsia" w:ascii="宋体" w:hAnsi="宋体" w:eastAsia="宋体" w:cs="宋体"/>
          <w:i w:val="0"/>
          <w:iCs w:val="0"/>
          <w:color w:val="auto"/>
          <w:sz w:val="24"/>
          <w:highlight w:val="none"/>
          <w:lang w:eastAsia="zh-CN"/>
        </w:rPr>
        <w:t>磋商</w:t>
      </w:r>
      <w:r>
        <w:rPr>
          <w:rFonts w:hint="eastAsia" w:ascii="宋体" w:hAnsi="宋体" w:cs="宋体"/>
          <w:i w:val="0"/>
          <w:iCs w:val="0"/>
          <w:color w:val="auto"/>
          <w:sz w:val="24"/>
          <w:highlight w:val="none"/>
        </w:rPr>
        <w:t>邀请</w:t>
      </w:r>
      <w:r>
        <w:rPr>
          <w:rFonts w:hint="eastAsia" w:ascii="宋体" w:hAnsi="宋体" w:cs="宋体"/>
          <w:i w:val="0"/>
          <w:iCs w:val="0"/>
          <w:color w:val="auto"/>
          <w:sz w:val="24"/>
          <w:highlight w:val="none"/>
          <w:u w:val="single"/>
        </w:rPr>
        <w:t>(项目编号)</w:t>
      </w:r>
      <w:r>
        <w:rPr>
          <w:rFonts w:hint="eastAsia" w:ascii="宋体" w:hAnsi="宋体" w:cs="宋体"/>
          <w:i w:val="0"/>
          <w:iCs w:val="0"/>
          <w:color w:val="auto"/>
          <w:sz w:val="24"/>
          <w:highlight w:val="none"/>
        </w:rPr>
        <w:t>，签字代表(</w:t>
      </w:r>
      <w:r>
        <w:rPr>
          <w:rFonts w:hint="eastAsia" w:ascii="宋体" w:hAnsi="宋体" w:cs="宋体"/>
          <w:i w:val="0"/>
          <w:iCs w:val="0"/>
          <w:color w:val="auto"/>
          <w:sz w:val="24"/>
          <w:highlight w:val="none"/>
          <w:u w:val="single"/>
        </w:rPr>
        <w:t>姓名、职务</w:t>
      </w:r>
      <w:r>
        <w:rPr>
          <w:rFonts w:hint="eastAsia" w:ascii="宋体" w:hAnsi="宋体" w:cs="宋体"/>
          <w:i w:val="0"/>
          <w:iCs w:val="0"/>
          <w:color w:val="auto"/>
          <w:sz w:val="24"/>
          <w:highlight w:val="none"/>
        </w:rPr>
        <w:t>)经正式授权并代表我方</w:t>
      </w:r>
      <w:r>
        <w:rPr>
          <w:rFonts w:hint="eastAsia" w:ascii="宋体" w:hAnsi="宋体" w:cs="宋体"/>
          <w:i w:val="0"/>
          <w:iCs w:val="0"/>
          <w:color w:val="auto"/>
          <w:sz w:val="24"/>
          <w:highlight w:val="none"/>
          <w:u w:val="single"/>
        </w:rPr>
        <w:t>(</w:t>
      </w:r>
      <w:r>
        <w:rPr>
          <w:rFonts w:hint="eastAsia" w:ascii="宋体" w:hAnsi="宋体" w:eastAsia="宋体" w:cs="宋体"/>
          <w:i w:val="0"/>
          <w:iCs w:val="0"/>
          <w:color w:val="auto"/>
          <w:spacing w:val="-1"/>
          <w:sz w:val="24"/>
          <w:szCs w:val="24"/>
          <w:highlight w:val="none"/>
          <w:u w:val="single"/>
          <w:lang w:eastAsia="zh-CN"/>
        </w:rPr>
        <w:t>单位名称、地址)</w:t>
      </w:r>
      <w:r>
        <w:rPr>
          <w:rFonts w:hint="eastAsia" w:ascii="宋体" w:hAnsi="宋体" w:eastAsia="宋体" w:cs="宋体"/>
          <w:i w:val="0"/>
          <w:iCs w:val="0"/>
          <w:color w:val="auto"/>
          <w:spacing w:val="-1"/>
          <w:sz w:val="24"/>
          <w:szCs w:val="24"/>
          <w:highlight w:val="none"/>
          <w:lang w:eastAsia="zh-CN"/>
        </w:rPr>
        <w:t>提交下述文件:</w:t>
      </w:r>
      <w:r>
        <w:rPr>
          <w:rFonts w:ascii="宋体" w:hAnsi="宋体" w:eastAsia="宋体" w:cs="宋体"/>
          <w:i w:val="0"/>
          <w:iCs w:val="0"/>
          <w:color w:val="auto"/>
          <w:spacing w:val="-1"/>
          <w:sz w:val="24"/>
          <w:szCs w:val="24"/>
          <w:highlight w:val="none"/>
          <w:lang w:eastAsia="zh-CN"/>
        </w:rPr>
        <w:t>（电子版上传到江西省公共资源交易</w:t>
      </w:r>
      <w:r>
        <w:rPr>
          <w:rFonts w:hint="eastAsia" w:ascii="宋体" w:hAnsi="宋体" w:eastAsia="宋体" w:cs="宋体"/>
          <w:i w:val="0"/>
          <w:iCs w:val="0"/>
          <w:color w:val="auto"/>
          <w:spacing w:val="-1"/>
          <w:sz w:val="24"/>
          <w:szCs w:val="24"/>
          <w:highlight w:val="none"/>
          <w:lang w:val="en-US" w:eastAsia="zh-CN"/>
        </w:rPr>
        <w:t>平台</w:t>
      </w:r>
      <w:r>
        <w:rPr>
          <w:rFonts w:ascii="宋体" w:hAnsi="宋体" w:eastAsia="宋体" w:cs="宋体"/>
          <w:i w:val="0"/>
          <w:iCs w:val="0"/>
          <w:color w:val="auto"/>
          <w:spacing w:val="-1"/>
          <w:sz w:val="24"/>
          <w:szCs w:val="24"/>
          <w:highlight w:val="none"/>
          <w:lang w:eastAsia="zh-CN"/>
        </w:rPr>
        <w:t>）:</w:t>
      </w:r>
    </w:p>
    <w:p w14:paraId="08D29105">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磋商响应</w:t>
      </w:r>
      <w:r>
        <w:rPr>
          <w:rFonts w:hint="eastAsia" w:ascii="宋体" w:hAnsi="宋体" w:eastAsia="宋体" w:cs="宋体"/>
          <w:color w:val="auto"/>
          <w:sz w:val="24"/>
          <w:szCs w:val="24"/>
          <w:highlight w:val="none"/>
        </w:rPr>
        <w:t>书</w:t>
      </w:r>
    </w:p>
    <w:p w14:paraId="601AA003">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报价</w:t>
      </w:r>
      <w:r>
        <w:rPr>
          <w:rFonts w:hint="eastAsia" w:ascii="宋体" w:hAnsi="宋体" w:eastAsia="宋体" w:cs="宋体"/>
          <w:color w:val="auto"/>
          <w:sz w:val="24"/>
          <w:szCs w:val="24"/>
          <w:highlight w:val="none"/>
        </w:rPr>
        <w:t>一览表</w:t>
      </w:r>
    </w:p>
    <w:p w14:paraId="4CEA5F7C">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3、分项报价表</w:t>
      </w:r>
    </w:p>
    <w:p w14:paraId="3F906FEB">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val="en-US" w:eastAsia="zh-CN"/>
        </w:rPr>
        <w:t>报价</w:t>
      </w:r>
      <w:r>
        <w:rPr>
          <w:rFonts w:hint="eastAsia" w:ascii="宋体" w:hAnsi="宋体" w:eastAsia="宋体" w:cs="宋体"/>
          <w:color w:val="auto"/>
          <w:sz w:val="24"/>
          <w:szCs w:val="24"/>
          <w:highlight w:val="none"/>
        </w:rPr>
        <w:t>一览明细表</w:t>
      </w:r>
    </w:p>
    <w:p w14:paraId="4B3D0ADD">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val="en-US" w:eastAsia="zh-CN"/>
        </w:rPr>
        <w:t>服务</w:t>
      </w:r>
      <w:r>
        <w:rPr>
          <w:rFonts w:hint="eastAsia" w:ascii="宋体" w:hAnsi="宋体" w:eastAsia="宋体" w:cs="宋体"/>
          <w:color w:val="auto"/>
          <w:sz w:val="24"/>
          <w:szCs w:val="24"/>
          <w:highlight w:val="none"/>
        </w:rPr>
        <w:t>需求响应/偏离表</w:t>
      </w:r>
    </w:p>
    <w:p w14:paraId="688F2B8F">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6、商务条件响应/偏离表</w:t>
      </w:r>
    </w:p>
    <w:p w14:paraId="7B44A9D2">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、为落实政府采购政策</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rPr>
        <w:t>须提供的证明材料</w:t>
      </w:r>
    </w:p>
    <w:p w14:paraId="32E6A312">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、技术文件</w:t>
      </w:r>
    </w:p>
    <w:p w14:paraId="663468E9">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rPr>
        <w:t>应当提交的资格、资信证明文件</w:t>
      </w:r>
    </w:p>
    <w:p w14:paraId="74203F3E">
      <w:pPr>
        <w:spacing w:line="380" w:lineRule="exact"/>
        <w:ind w:left="707" w:hanging="283"/>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 其他证明资料</w:t>
      </w:r>
    </w:p>
    <w:p w14:paraId="149D3BDB">
      <w:pPr>
        <w:spacing w:line="40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 提交的</w:t>
      </w:r>
      <w:r>
        <w:rPr>
          <w:rFonts w:hint="eastAsia" w:ascii="宋体" w:hAnsi="宋体" w:eastAsia="宋体" w:cs="宋体"/>
          <w:color w:val="auto"/>
          <w:sz w:val="24"/>
          <w:szCs w:val="24"/>
          <w:highlight w:val="none"/>
          <w:lang w:eastAsia="zh-CN"/>
        </w:rPr>
        <w:t>磋商</w:t>
      </w:r>
      <w:r>
        <w:rPr>
          <w:rFonts w:hint="eastAsia" w:ascii="宋体" w:hAnsi="宋体" w:eastAsia="宋体" w:cs="宋体"/>
          <w:color w:val="auto"/>
          <w:sz w:val="24"/>
          <w:szCs w:val="24"/>
          <w:highlight w:val="none"/>
        </w:rPr>
        <w:t>保证金，金额为</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w:t>
      </w:r>
    </w:p>
    <w:p w14:paraId="20C991E3">
      <w:pPr>
        <w:spacing w:line="400" w:lineRule="exact"/>
        <w:ind w:left="707" w:hanging="283"/>
        <w:rPr>
          <w:rFonts w:asciiTheme="minorEastAsia" w:hAnsiTheme="minorEastAsia" w:eastAsiaTheme="minorEastAsia" w:cstheme="minorEastAsia"/>
          <w:color w:val="auto"/>
          <w:sz w:val="24"/>
          <w:highlight w:val="none"/>
        </w:rPr>
      </w:pPr>
    </w:p>
    <w:p w14:paraId="31BDAC63">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据此函,签字代表宣布同意如下:</w:t>
      </w:r>
    </w:p>
    <w:p w14:paraId="597447B3">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 所附报价表中规定的应提供的服务总报价为（用文字和数字表示的总价）。</w:t>
      </w:r>
    </w:p>
    <w:p w14:paraId="0968510B">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 我方将按</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文件的规定履行合同责任和义务。</w:t>
      </w:r>
    </w:p>
    <w:p w14:paraId="68C9DC09">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 我方已详细审查全部</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文件，包括第</w:t>
      </w:r>
      <w:r>
        <w:rPr>
          <w:rFonts w:hint="eastAsia" w:asciiTheme="minorEastAsia" w:hAnsiTheme="minorEastAsia" w:eastAsiaTheme="minorEastAsia" w:cstheme="minorEastAsia"/>
          <w:color w:val="auto"/>
          <w:sz w:val="24"/>
          <w:highlight w:val="none"/>
          <w:u w:val="single"/>
        </w:rPr>
        <w:t>(编号、补遗函)(如果有的话)。</w:t>
      </w:r>
      <w:r>
        <w:rPr>
          <w:rFonts w:hint="eastAsia" w:asciiTheme="minorEastAsia" w:hAnsiTheme="minorEastAsia" w:eastAsiaTheme="minorEastAsia" w:cstheme="minorEastAsia"/>
          <w:color w:val="auto"/>
          <w:sz w:val="24"/>
          <w:highlight w:val="none"/>
        </w:rPr>
        <w:t>我们完全理解并同意放弃对这方面有不明及误解的权力。</w:t>
      </w:r>
    </w:p>
    <w:p w14:paraId="506FD3DD">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 本</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有效期为自</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之日起</w:t>
      </w:r>
      <w:r>
        <w:rPr>
          <w:rFonts w:hint="eastAsia" w:asciiTheme="minorEastAsia" w:hAnsiTheme="minorEastAsia" w:eastAsiaTheme="minorEastAsia" w:cstheme="minorEastAsia"/>
          <w:color w:val="auto"/>
          <w:sz w:val="24"/>
          <w:highlight w:val="none"/>
          <w:u w:val="single"/>
        </w:rPr>
        <w:t xml:space="preserve"> 90 </w:t>
      </w:r>
      <w:r>
        <w:rPr>
          <w:rFonts w:hint="eastAsia" w:asciiTheme="minorEastAsia" w:hAnsiTheme="minorEastAsia" w:eastAsiaTheme="minorEastAsia" w:cstheme="minorEastAsia"/>
          <w:color w:val="auto"/>
          <w:sz w:val="24"/>
          <w:highlight w:val="none"/>
        </w:rPr>
        <w:t>天。</w:t>
      </w:r>
    </w:p>
    <w:p w14:paraId="31179801">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 如果在规定的</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时间后，我方在</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有效期内撤回响应文件，</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保证金不予退还。</w:t>
      </w:r>
    </w:p>
    <w:p w14:paraId="0D82F206">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 我方同意提供按照贵方可能要求的与其</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有关的一切数据或资料。</w:t>
      </w:r>
    </w:p>
    <w:p w14:paraId="6B4FFC15">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7. 与本</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有关的一切正式往来信函请寄:</w:t>
      </w:r>
    </w:p>
    <w:p w14:paraId="27F60FED">
      <w:pPr>
        <w:spacing w:line="400" w:lineRule="exact"/>
        <w:ind w:left="707" w:hanging="283"/>
        <w:rPr>
          <w:rFonts w:asciiTheme="minorEastAsia" w:hAnsiTheme="minorEastAsia" w:eastAsiaTheme="minorEastAsia" w:cstheme="minorEastAsia"/>
          <w:color w:val="auto"/>
          <w:sz w:val="24"/>
          <w:highlight w:val="none"/>
        </w:rPr>
      </w:pPr>
    </w:p>
    <w:p w14:paraId="0AADA30A">
      <w:pPr>
        <w:spacing w:line="432" w:lineRule="auto"/>
        <w:ind w:firstLine="480" w:firstLineChars="200"/>
        <w:rPr>
          <w:rFonts w:hint="default" w:asciiTheme="minorEastAsia" w:hAnsiTheme="minorEastAsia" w:eastAsiaTheme="minorEastAsia" w:cstheme="minorEastAsia"/>
          <w:color w:val="auto"/>
          <w:sz w:val="24"/>
          <w:highlight w:val="none"/>
          <w:u w:val="single"/>
          <w:lang w:val="en-US" w:eastAsia="zh-CN"/>
        </w:rPr>
      </w:pPr>
      <w:r>
        <w:rPr>
          <w:rFonts w:hint="eastAsia" w:asciiTheme="minorEastAsia" w:hAnsiTheme="minorEastAsia" w:eastAsiaTheme="minorEastAsia" w:cstheme="minorEastAsia"/>
          <w:color w:val="auto"/>
          <w:sz w:val="24"/>
          <w:highlight w:val="none"/>
        </w:rPr>
        <w:t>地址传真</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u w:val="single"/>
          <w:lang w:val="en-US" w:eastAsia="zh-CN"/>
        </w:rPr>
        <w:t xml:space="preserve">                       </w:t>
      </w:r>
    </w:p>
    <w:p w14:paraId="79E1C9BF">
      <w:pPr>
        <w:spacing w:line="432" w:lineRule="auto"/>
        <w:ind w:firstLine="480" w:firstLineChars="200"/>
        <w:rPr>
          <w:rFonts w:hint="default" w:asciiTheme="minorEastAsia" w:hAnsiTheme="minorEastAsia" w:eastAsiaTheme="minorEastAsia" w:cstheme="minorEastAsia"/>
          <w:color w:val="auto"/>
          <w:sz w:val="24"/>
          <w:highlight w:val="none"/>
          <w:u w:val="single"/>
          <w:lang w:val="en-US" w:eastAsia="zh-CN"/>
        </w:rPr>
      </w:pPr>
      <w:r>
        <w:rPr>
          <w:rFonts w:hint="eastAsia" w:asciiTheme="minorEastAsia" w:hAnsiTheme="minorEastAsia" w:eastAsiaTheme="minorEastAsia" w:cstheme="minorEastAsia"/>
          <w:color w:val="auto"/>
          <w:sz w:val="24"/>
          <w:highlight w:val="none"/>
        </w:rPr>
        <w:t>电话电子邮件</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u w:val="single"/>
          <w:lang w:val="en-US" w:eastAsia="zh-CN"/>
        </w:rPr>
        <w:t xml:space="preserve">                   </w:t>
      </w:r>
    </w:p>
    <w:p w14:paraId="2DE1EB32">
      <w:pPr>
        <w:spacing w:line="432" w:lineRule="auto"/>
        <w:ind w:firstLine="480" w:firstLineChars="200"/>
        <w:rPr>
          <w:rFonts w:hint="default" w:asciiTheme="minorEastAsia" w:hAnsiTheme="minorEastAsia" w:eastAsiaTheme="minorEastAsia" w:cstheme="minorEastAsia"/>
          <w:color w:val="auto"/>
          <w:sz w:val="24"/>
          <w:highlight w:val="none"/>
          <w:u w:val="single"/>
          <w:lang w:val="en-US" w:eastAsia="zh-CN"/>
        </w:rPr>
      </w:pPr>
      <w:r>
        <w:rPr>
          <w:rFonts w:hint="eastAsia" w:asciiTheme="minorEastAsia" w:hAnsiTheme="minorEastAsia" w:eastAsiaTheme="minorEastAsia" w:cstheme="minorEastAsia"/>
          <w:color w:val="auto"/>
          <w:sz w:val="24"/>
          <w:highlight w:val="none"/>
        </w:rPr>
        <w:t>供应商代表签字或签章</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u w:val="single"/>
          <w:lang w:val="en-US" w:eastAsia="zh-CN"/>
        </w:rPr>
        <w:t xml:space="preserve">              </w:t>
      </w:r>
    </w:p>
    <w:p w14:paraId="23AA6180">
      <w:pPr>
        <w:spacing w:line="432" w:lineRule="auto"/>
        <w:ind w:firstLine="480" w:firstLineChars="200"/>
        <w:rPr>
          <w:rFonts w:hint="default" w:asciiTheme="minorEastAsia" w:hAnsiTheme="minorEastAsia" w:eastAsiaTheme="minorEastAsia" w:cstheme="minorEastAsia"/>
          <w:color w:val="auto"/>
          <w:sz w:val="24"/>
          <w:highlight w:val="none"/>
          <w:u w:val="single"/>
          <w:lang w:val="en-US" w:eastAsia="zh-CN"/>
        </w:rPr>
      </w:pPr>
      <w:r>
        <w:rPr>
          <w:rFonts w:hint="eastAsia" w:asciiTheme="minorEastAsia" w:hAnsiTheme="minorEastAsia" w:eastAsiaTheme="minorEastAsia" w:cstheme="minorEastAsia"/>
          <w:color w:val="auto"/>
          <w:sz w:val="24"/>
          <w:highlight w:val="none"/>
          <w:lang w:eastAsia="zh-CN"/>
        </w:rPr>
        <w:t>供应商盖章：</w:t>
      </w:r>
      <w:r>
        <w:rPr>
          <w:rFonts w:hint="eastAsia" w:asciiTheme="minorEastAsia" w:hAnsiTheme="minorEastAsia" w:eastAsiaTheme="minorEastAsia" w:cstheme="minorEastAsia"/>
          <w:color w:val="auto"/>
          <w:sz w:val="24"/>
          <w:highlight w:val="none"/>
          <w:u w:val="single"/>
          <w:lang w:val="en-US" w:eastAsia="zh-CN"/>
        </w:rPr>
        <w:t xml:space="preserve">                        </w:t>
      </w:r>
    </w:p>
    <w:p w14:paraId="03330C16">
      <w:pPr>
        <w:pageBreakBefore w:val="0"/>
        <w:widowControl w:val="0"/>
        <w:wordWrap/>
        <w:overflowPunct/>
        <w:topLinePunct w:val="0"/>
        <w:bidi w:val="0"/>
        <w:spacing w:before="0" w:beforeLines="50" w:beforeAutospacing="0" w:line="220" w:lineRule="auto"/>
        <w:ind w:left="420" w:leftChars="200" w:firstLine="0" w:firstLineChars="0"/>
        <w:rPr>
          <w:rFonts w:hint="default" w:ascii="宋体" w:hAnsi="宋体" w:eastAsia="宋体" w:cs="宋体"/>
          <w:color w:val="auto"/>
          <w:spacing w:val="0"/>
          <w:w w:val="100"/>
          <w:position w:val="0"/>
          <w:sz w:val="24"/>
          <w:szCs w:val="24"/>
          <w:u w:val="single"/>
          <w:lang w:val="en-US" w:eastAsia="zh-CN"/>
        </w:rPr>
      </w:pPr>
      <w:r>
        <w:rPr>
          <w:rFonts w:ascii="宋体" w:hAnsi="宋体" w:eastAsia="宋体" w:cs="宋体"/>
          <w:color w:val="auto"/>
          <w:spacing w:val="0"/>
          <w:w w:val="100"/>
          <w:position w:val="0"/>
          <w:sz w:val="24"/>
          <w:szCs w:val="24"/>
          <w:lang w:eastAsia="zh-CN"/>
        </w:rPr>
        <w:t>日期：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年</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月</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日</w:t>
      </w:r>
    </w:p>
    <w:p w14:paraId="059A2152">
      <w:pPr>
        <w:pageBreakBefore w:val="0"/>
        <w:widowControl w:val="0"/>
        <w:wordWrap/>
        <w:overflowPunct/>
        <w:topLinePunct w:val="0"/>
        <w:bidi w:val="0"/>
        <w:spacing w:line="220" w:lineRule="auto"/>
        <w:rPr>
          <w:rFonts w:ascii="宋体" w:hAnsi="宋体" w:eastAsia="宋体" w:cs="宋体"/>
          <w:color w:val="auto"/>
          <w:sz w:val="24"/>
          <w:szCs w:val="24"/>
          <w:highlight w:val="none"/>
          <w:lang w:eastAsia="zh-CN"/>
        </w:rPr>
        <w:sectPr>
          <w:footerReference r:id="rId4" w:type="default"/>
          <w:pgSz w:w="11906" w:h="16839"/>
          <w:pgMar w:top="1426" w:right="1054" w:bottom="1362" w:left="1425" w:header="0" w:footer="1200" w:gutter="0"/>
          <w:pgNumType w:fmt="decimal"/>
          <w:cols w:space="720" w:num="1"/>
        </w:sectPr>
      </w:pPr>
    </w:p>
    <w:p w14:paraId="6432C6DA">
      <w:pPr>
        <w:pageBreakBefore w:val="0"/>
        <w:widowControl w:val="0"/>
        <w:wordWrap/>
        <w:overflowPunct/>
        <w:topLinePunct w:val="0"/>
        <w:bidi w:val="0"/>
        <w:spacing w:before="48" w:line="219" w:lineRule="auto"/>
        <w:ind w:left="3323"/>
        <w:outlineLvl w:val="1"/>
        <w:rPr>
          <w:rFonts w:ascii="宋体" w:hAnsi="宋体" w:eastAsia="宋体" w:cs="宋体"/>
          <w:color w:val="auto"/>
          <w:sz w:val="24"/>
          <w:szCs w:val="24"/>
          <w:highlight w:val="none"/>
          <w:lang w:eastAsia="zh-CN"/>
        </w:rPr>
      </w:pPr>
      <w:bookmarkStart w:id="1" w:name="bookmark55"/>
      <w:bookmarkEnd w:id="1"/>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一览表</w:t>
      </w:r>
    </w:p>
    <w:p w14:paraId="7FE798BD">
      <w:pPr>
        <w:pageBreakBefore w:val="0"/>
        <w:widowControl w:val="0"/>
        <w:wordWrap/>
        <w:overflowPunct/>
        <w:topLinePunct w:val="0"/>
        <w:bidi w:val="0"/>
        <w:spacing w:line="276" w:lineRule="auto"/>
        <w:rPr>
          <w:color w:val="auto"/>
          <w:highlight w:val="none"/>
          <w:lang w:eastAsia="zh-CN"/>
        </w:rPr>
      </w:pPr>
    </w:p>
    <w:p w14:paraId="343A2D98">
      <w:pPr>
        <w:pageBreakBefore w:val="0"/>
        <w:widowControl w:val="0"/>
        <w:wordWrap/>
        <w:overflowPunct/>
        <w:topLinePunct w:val="0"/>
        <w:bidi w:val="0"/>
        <w:spacing w:line="276" w:lineRule="auto"/>
        <w:rPr>
          <w:color w:val="auto"/>
          <w:highlight w:val="none"/>
          <w:lang w:eastAsia="zh-CN"/>
        </w:rPr>
      </w:pPr>
    </w:p>
    <w:p w14:paraId="77ED94F6">
      <w:pPr>
        <w:pageBreakBefore w:val="0"/>
        <w:widowControl w:val="0"/>
        <w:wordWrap/>
        <w:overflowPunct/>
        <w:topLinePunct w:val="0"/>
        <w:bidi w:val="0"/>
        <w:spacing w:before="78" w:line="219" w:lineRule="auto"/>
        <w:ind w:left="2152"/>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2388ACD7">
      <w:pPr>
        <w:pageBreakBefore w:val="0"/>
        <w:widowControl w:val="0"/>
        <w:wordWrap/>
        <w:overflowPunct/>
        <w:topLinePunct w:val="0"/>
        <w:bidi w:val="0"/>
        <w:rPr>
          <w:color w:val="auto"/>
          <w:highlight w:val="none"/>
          <w:lang w:eastAsia="zh-CN"/>
        </w:rPr>
      </w:pPr>
    </w:p>
    <w:p w14:paraId="31A57762">
      <w:pPr>
        <w:pageBreakBefore w:val="0"/>
        <w:widowControl w:val="0"/>
        <w:wordWrap/>
        <w:overflowPunct/>
        <w:topLinePunct w:val="0"/>
        <w:bidi w:val="0"/>
        <w:rPr>
          <w:color w:val="auto"/>
          <w:highlight w:val="none"/>
          <w:lang w:eastAsia="zh-CN"/>
        </w:rPr>
      </w:pPr>
    </w:p>
    <w:p w14:paraId="7C2D3C88">
      <w:pPr>
        <w:pageBreakBefore w:val="0"/>
        <w:widowControl w:val="0"/>
        <w:wordWrap/>
        <w:overflowPunct/>
        <w:topLinePunct w:val="0"/>
        <w:bidi w:val="0"/>
        <w:rPr>
          <w:color w:val="auto"/>
          <w:highlight w:val="none"/>
          <w:lang w:eastAsia="zh-CN"/>
        </w:rPr>
      </w:pPr>
    </w:p>
    <w:p w14:paraId="1977AFC4">
      <w:pPr>
        <w:pageBreakBefore w:val="0"/>
        <w:widowControl w:val="0"/>
        <w:wordWrap/>
        <w:overflowPunct/>
        <w:topLinePunct w:val="0"/>
        <w:bidi w:val="0"/>
        <w:rPr>
          <w:color w:val="auto"/>
          <w:highlight w:val="none"/>
          <w:lang w:eastAsia="zh-CN"/>
        </w:rPr>
      </w:pPr>
    </w:p>
    <w:p w14:paraId="2618CE9F">
      <w:pPr>
        <w:pageBreakBefore w:val="0"/>
        <w:widowControl w:val="0"/>
        <w:wordWrap/>
        <w:overflowPunct/>
        <w:topLinePunct w:val="0"/>
        <w:bidi w:val="0"/>
        <w:rPr>
          <w:color w:val="auto"/>
          <w:highlight w:val="none"/>
          <w:lang w:eastAsia="zh-CN"/>
        </w:rPr>
      </w:pPr>
    </w:p>
    <w:p w14:paraId="5EB941C4">
      <w:pPr>
        <w:pageBreakBefore w:val="0"/>
        <w:widowControl w:val="0"/>
        <w:wordWrap/>
        <w:overflowPunct/>
        <w:topLinePunct w:val="0"/>
        <w:bidi w:val="0"/>
        <w:rPr>
          <w:color w:val="auto"/>
          <w:highlight w:val="none"/>
          <w:lang w:eastAsia="zh-CN"/>
        </w:rPr>
      </w:pPr>
    </w:p>
    <w:p w14:paraId="1A3BA29D">
      <w:pPr>
        <w:pageBreakBefore w:val="0"/>
        <w:widowControl w:val="0"/>
        <w:wordWrap/>
        <w:overflowPunct/>
        <w:topLinePunct w:val="0"/>
        <w:bidi w:val="0"/>
        <w:rPr>
          <w:color w:val="auto"/>
          <w:highlight w:val="none"/>
          <w:lang w:eastAsia="zh-CN"/>
        </w:rPr>
      </w:pPr>
    </w:p>
    <w:p w14:paraId="2F08E975">
      <w:pPr>
        <w:pageBreakBefore w:val="0"/>
        <w:widowControl w:val="0"/>
        <w:wordWrap/>
        <w:overflowPunct/>
        <w:topLinePunct w:val="0"/>
        <w:bidi w:val="0"/>
        <w:rPr>
          <w:color w:val="auto"/>
          <w:highlight w:val="none"/>
          <w:lang w:eastAsia="zh-CN"/>
        </w:rPr>
      </w:pPr>
    </w:p>
    <w:p w14:paraId="0D9BA755">
      <w:pPr>
        <w:pageBreakBefore w:val="0"/>
        <w:widowControl w:val="0"/>
        <w:wordWrap/>
        <w:overflowPunct/>
        <w:topLinePunct w:val="0"/>
        <w:bidi w:val="0"/>
        <w:rPr>
          <w:color w:val="auto"/>
          <w:highlight w:val="none"/>
          <w:lang w:eastAsia="zh-CN"/>
        </w:rPr>
      </w:pPr>
    </w:p>
    <w:p w14:paraId="1B7A722F">
      <w:pPr>
        <w:pageBreakBefore w:val="0"/>
        <w:widowControl w:val="0"/>
        <w:wordWrap/>
        <w:overflowPunct/>
        <w:topLinePunct w:val="0"/>
        <w:bidi w:val="0"/>
        <w:rPr>
          <w:color w:val="auto"/>
          <w:highlight w:val="none"/>
          <w:lang w:eastAsia="zh-CN"/>
        </w:rPr>
      </w:pPr>
    </w:p>
    <w:p w14:paraId="0FCC8716">
      <w:pPr>
        <w:pageBreakBefore w:val="0"/>
        <w:widowControl w:val="0"/>
        <w:wordWrap/>
        <w:overflowPunct/>
        <w:topLinePunct w:val="0"/>
        <w:bidi w:val="0"/>
        <w:rPr>
          <w:color w:val="auto"/>
          <w:highlight w:val="none"/>
          <w:lang w:eastAsia="zh-CN"/>
        </w:rPr>
      </w:pPr>
    </w:p>
    <w:p w14:paraId="3851BFC0">
      <w:pPr>
        <w:pageBreakBefore w:val="0"/>
        <w:widowControl w:val="0"/>
        <w:wordWrap/>
        <w:overflowPunct/>
        <w:topLinePunct w:val="0"/>
        <w:bidi w:val="0"/>
        <w:rPr>
          <w:color w:val="auto"/>
          <w:highlight w:val="none"/>
          <w:lang w:eastAsia="zh-CN"/>
        </w:rPr>
      </w:pPr>
    </w:p>
    <w:p w14:paraId="2159931F">
      <w:pPr>
        <w:pageBreakBefore w:val="0"/>
        <w:widowControl w:val="0"/>
        <w:wordWrap/>
        <w:overflowPunct/>
        <w:topLinePunct w:val="0"/>
        <w:bidi w:val="0"/>
        <w:rPr>
          <w:color w:val="auto"/>
          <w:highlight w:val="none"/>
          <w:lang w:eastAsia="zh-CN"/>
        </w:rPr>
      </w:pPr>
    </w:p>
    <w:p w14:paraId="1D4FA86B">
      <w:pPr>
        <w:pageBreakBefore w:val="0"/>
        <w:widowControl w:val="0"/>
        <w:wordWrap/>
        <w:overflowPunct/>
        <w:topLinePunct w:val="0"/>
        <w:bidi w:val="0"/>
        <w:rPr>
          <w:color w:val="auto"/>
          <w:highlight w:val="none"/>
          <w:lang w:eastAsia="zh-CN"/>
        </w:rPr>
      </w:pPr>
    </w:p>
    <w:p w14:paraId="0F7DD9B3">
      <w:pPr>
        <w:pageBreakBefore w:val="0"/>
        <w:widowControl w:val="0"/>
        <w:wordWrap/>
        <w:overflowPunct/>
        <w:topLinePunct w:val="0"/>
        <w:bidi w:val="0"/>
        <w:spacing w:line="241" w:lineRule="auto"/>
        <w:rPr>
          <w:color w:val="auto"/>
          <w:highlight w:val="none"/>
          <w:lang w:eastAsia="zh-CN"/>
        </w:rPr>
      </w:pPr>
    </w:p>
    <w:p w14:paraId="52A23D57">
      <w:pPr>
        <w:pageBreakBefore w:val="0"/>
        <w:widowControl w:val="0"/>
        <w:wordWrap/>
        <w:overflowPunct/>
        <w:topLinePunct w:val="0"/>
        <w:bidi w:val="0"/>
        <w:spacing w:line="241" w:lineRule="auto"/>
        <w:rPr>
          <w:color w:val="auto"/>
          <w:highlight w:val="none"/>
          <w:lang w:eastAsia="zh-CN"/>
        </w:rPr>
      </w:pPr>
    </w:p>
    <w:p w14:paraId="25488B51">
      <w:pPr>
        <w:pageBreakBefore w:val="0"/>
        <w:widowControl w:val="0"/>
        <w:wordWrap/>
        <w:overflowPunct/>
        <w:topLinePunct w:val="0"/>
        <w:bidi w:val="0"/>
        <w:spacing w:line="241" w:lineRule="auto"/>
        <w:rPr>
          <w:color w:val="auto"/>
          <w:highlight w:val="none"/>
          <w:lang w:eastAsia="zh-CN"/>
        </w:rPr>
      </w:pPr>
    </w:p>
    <w:p w14:paraId="3B7F69F3">
      <w:pPr>
        <w:pageBreakBefore w:val="0"/>
        <w:widowControl w:val="0"/>
        <w:wordWrap/>
        <w:overflowPunct/>
        <w:topLinePunct w:val="0"/>
        <w:bidi w:val="0"/>
        <w:spacing w:before="78" w:line="218" w:lineRule="auto"/>
        <w:ind w:left="3323"/>
        <w:outlineLvl w:val="1"/>
        <w:rPr>
          <w:rFonts w:ascii="宋体" w:hAnsi="宋体" w:eastAsia="宋体" w:cs="宋体"/>
          <w:color w:val="auto"/>
          <w:sz w:val="24"/>
          <w:szCs w:val="24"/>
          <w:highlight w:val="none"/>
          <w:lang w:eastAsia="zh-CN"/>
        </w:rPr>
      </w:pPr>
      <w:bookmarkStart w:id="2" w:name="bookmark56"/>
      <w:bookmarkEnd w:id="2"/>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3.分项报价表</w:t>
      </w:r>
    </w:p>
    <w:p w14:paraId="3B1EF023">
      <w:pPr>
        <w:pageBreakBefore w:val="0"/>
        <w:widowControl w:val="0"/>
        <w:wordWrap/>
        <w:overflowPunct/>
        <w:topLinePunct w:val="0"/>
        <w:bidi w:val="0"/>
        <w:spacing w:line="363" w:lineRule="auto"/>
        <w:rPr>
          <w:color w:val="auto"/>
          <w:highlight w:val="none"/>
          <w:lang w:eastAsia="zh-CN"/>
        </w:rPr>
      </w:pPr>
    </w:p>
    <w:p w14:paraId="050C7DD8">
      <w:pPr>
        <w:pageBreakBefore w:val="0"/>
        <w:widowControl w:val="0"/>
        <w:wordWrap/>
        <w:overflowPunct/>
        <w:topLinePunct w:val="0"/>
        <w:bidi w:val="0"/>
        <w:spacing w:before="78" w:line="219" w:lineRule="auto"/>
        <w:ind w:left="2152"/>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3B5711A0">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5" w:type="default"/>
          <w:pgSz w:w="11906" w:h="16839"/>
          <w:pgMar w:top="1426" w:right="1785" w:bottom="1362" w:left="1785" w:header="0" w:footer="1200" w:gutter="0"/>
          <w:pgNumType w:fmt="decimal"/>
          <w:cols w:space="720" w:num="1"/>
        </w:sectPr>
      </w:pPr>
    </w:p>
    <w:p w14:paraId="578ADEE1">
      <w:pPr>
        <w:pageBreakBefore w:val="0"/>
        <w:widowControl w:val="0"/>
        <w:wordWrap/>
        <w:overflowPunct/>
        <w:topLinePunct w:val="0"/>
        <w:bidi w:val="0"/>
        <w:spacing w:before="78" w:line="218" w:lineRule="auto"/>
        <w:jc w:val="center"/>
        <w:outlineLvl w:val="1"/>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报价一览明细表</w:t>
      </w:r>
    </w:p>
    <w:p w14:paraId="4BF4AD52">
      <w:pPr>
        <w:spacing w:beforeAutospacing="0" w:afterAutospacing="0" w:line="400" w:lineRule="exact"/>
        <w:rPr>
          <w:rFonts w:hint="eastAsia" w:ascii="宋体" w:hAnsi="宋体" w:eastAsia="宋体" w:cs="宋体"/>
          <w:color w:val="auto"/>
          <w:spacing w:val="0"/>
          <w:position w:val="0"/>
          <w:sz w:val="24"/>
          <w:highlight w:val="none"/>
          <w:lang w:val="en-US" w:eastAsia="zh-CN"/>
        </w:rPr>
      </w:pPr>
    </w:p>
    <w:p w14:paraId="1E60E4DA">
      <w:pPr>
        <w:spacing w:beforeAutospacing="0" w:afterAutospacing="0" w:line="400" w:lineRule="exact"/>
        <w:rPr>
          <w:rFonts w:hint="eastAsia" w:ascii="宋体" w:hAnsi="宋体" w:cs="宋体"/>
          <w:color w:val="auto"/>
          <w:spacing w:val="0"/>
          <w:position w:val="0"/>
          <w:sz w:val="24"/>
          <w:highlight w:val="none"/>
          <w:u w:val="single"/>
        </w:rPr>
      </w:pPr>
      <w:r>
        <w:rPr>
          <w:rFonts w:hint="eastAsia" w:ascii="宋体" w:hAnsi="宋体" w:eastAsia="宋体" w:cs="宋体"/>
          <w:color w:val="auto"/>
          <w:spacing w:val="0"/>
          <w:position w:val="0"/>
          <w:sz w:val="24"/>
          <w:highlight w:val="none"/>
          <w:lang w:val="en-US" w:eastAsia="zh-CN"/>
        </w:rPr>
        <w:t>供应商</w:t>
      </w:r>
      <w:r>
        <w:rPr>
          <w:rFonts w:hint="eastAsia" w:ascii="宋体" w:hAnsi="宋体" w:cs="宋体"/>
          <w:color w:val="auto"/>
          <w:spacing w:val="0"/>
          <w:position w:val="0"/>
          <w:sz w:val="24"/>
          <w:highlight w:val="none"/>
        </w:rPr>
        <w:t>名称：</w:t>
      </w:r>
      <w:r>
        <w:rPr>
          <w:rFonts w:hint="eastAsia" w:ascii="宋体" w:hAnsi="宋体" w:cs="宋体"/>
          <w:color w:val="auto"/>
          <w:spacing w:val="0"/>
          <w:position w:val="0"/>
          <w:sz w:val="24"/>
          <w:highlight w:val="none"/>
          <w:u w:val="single"/>
        </w:rPr>
        <w:t xml:space="preserve">              </w:t>
      </w:r>
      <w:r>
        <w:rPr>
          <w:rFonts w:hint="eastAsia" w:ascii="宋体" w:hAnsi="宋体" w:eastAsia="宋体" w:cs="宋体"/>
          <w:color w:val="auto"/>
          <w:spacing w:val="0"/>
          <w:position w:val="0"/>
          <w:sz w:val="24"/>
          <w:highlight w:val="none"/>
          <w:u w:val="single"/>
          <w:lang w:val="en-US" w:eastAsia="zh-CN"/>
        </w:rPr>
        <w:t xml:space="preserve">          </w:t>
      </w:r>
      <w:r>
        <w:rPr>
          <w:rFonts w:hint="eastAsia" w:ascii="宋体" w:hAnsi="宋体" w:eastAsia="宋体" w:cs="宋体"/>
          <w:color w:val="auto"/>
          <w:spacing w:val="0"/>
          <w:position w:val="0"/>
          <w:sz w:val="24"/>
          <w:highlight w:val="none"/>
          <w:lang w:val="en-US" w:eastAsia="zh-CN"/>
        </w:rPr>
        <w:t xml:space="preserve">            项目</w:t>
      </w:r>
      <w:r>
        <w:rPr>
          <w:rFonts w:hint="eastAsia" w:ascii="宋体" w:hAnsi="宋体" w:cs="宋体"/>
          <w:color w:val="auto"/>
          <w:spacing w:val="0"/>
          <w:position w:val="0"/>
          <w:sz w:val="24"/>
          <w:highlight w:val="none"/>
        </w:rPr>
        <w:t>编号：</w:t>
      </w:r>
      <w:r>
        <w:rPr>
          <w:rFonts w:hint="eastAsia" w:ascii="宋体" w:hAnsi="宋体" w:cs="宋体"/>
          <w:color w:val="auto"/>
          <w:spacing w:val="0"/>
          <w:position w:val="0"/>
          <w:sz w:val="24"/>
          <w:highlight w:val="none"/>
          <w:u w:val="single"/>
        </w:rPr>
        <w:t xml:space="preserve">               </w:t>
      </w:r>
    </w:p>
    <w:tbl>
      <w:tblPr>
        <w:tblStyle w:val="15"/>
        <w:tblpPr w:leftFromText="180" w:rightFromText="180" w:vertAnchor="text" w:horzAnchor="page" w:tblpX="1555" w:tblpY="448"/>
        <w:tblOverlap w:val="never"/>
        <w:tblW w:w="921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5"/>
        <w:gridCol w:w="2370"/>
        <w:gridCol w:w="1380"/>
        <w:gridCol w:w="1065"/>
        <w:gridCol w:w="1200"/>
        <w:gridCol w:w="2100"/>
      </w:tblGrid>
      <w:tr w14:paraId="4B4BE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4" w:hRule="exact"/>
        </w:trPr>
        <w:tc>
          <w:tcPr>
            <w:tcW w:w="1095" w:type="dxa"/>
            <w:noWrap w:val="0"/>
            <w:vAlign w:val="center"/>
          </w:tcPr>
          <w:p w14:paraId="5BD7B68C">
            <w:pPr>
              <w:spacing w:beforeAutospacing="0"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序号</w:t>
            </w:r>
          </w:p>
        </w:tc>
        <w:tc>
          <w:tcPr>
            <w:tcW w:w="2370" w:type="dxa"/>
            <w:noWrap w:val="0"/>
            <w:vAlign w:val="center"/>
          </w:tcPr>
          <w:p w14:paraId="3E46598E">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费用名称</w:t>
            </w:r>
          </w:p>
        </w:tc>
        <w:tc>
          <w:tcPr>
            <w:tcW w:w="1380" w:type="dxa"/>
            <w:noWrap w:val="0"/>
            <w:vAlign w:val="center"/>
          </w:tcPr>
          <w:p w14:paraId="21323EBB">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数量</w:t>
            </w:r>
          </w:p>
        </w:tc>
        <w:tc>
          <w:tcPr>
            <w:tcW w:w="1065" w:type="dxa"/>
            <w:noWrap w:val="0"/>
            <w:vAlign w:val="center"/>
          </w:tcPr>
          <w:p w14:paraId="5CE7D249">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单价</w:t>
            </w:r>
          </w:p>
          <w:p w14:paraId="29EA8E48">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（元）</w:t>
            </w:r>
          </w:p>
        </w:tc>
        <w:tc>
          <w:tcPr>
            <w:tcW w:w="1200" w:type="dxa"/>
            <w:noWrap w:val="0"/>
            <w:vAlign w:val="center"/>
          </w:tcPr>
          <w:p w14:paraId="3ABA6CB7">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总价</w:t>
            </w:r>
          </w:p>
          <w:p w14:paraId="2BD4BF04">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（元）</w:t>
            </w:r>
          </w:p>
        </w:tc>
        <w:tc>
          <w:tcPr>
            <w:tcW w:w="2100" w:type="dxa"/>
            <w:noWrap w:val="0"/>
            <w:vAlign w:val="center"/>
          </w:tcPr>
          <w:p w14:paraId="264B3C2E">
            <w:pPr>
              <w:spacing w:line="400" w:lineRule="exact"/>
              <w:jc w:val="center"/>
              <w:rPr>
                <w:rFonts w:hint="eastAsia"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备注</w:t>
            </w:r>
          </w:p>
        </w:tc>
      </w:tr>
      <w:tr w14:paraId="5F826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exact"/>
        </w:trPr>
        <w:tc>
          <w:tcPr>
            <w:tcW w:w="1095" w:type="dxa"/>
            <w:shd w:val="clear" w:color="auto" w:fill="auto"/>
            <w:noWrap w:val="0"/>
            <w:vAlign w:val="center"/>
          </w:tcPr>
          <w:p w14:paraId="6B206855">
            <w:pPr>
              <w:spacing w:line="400" w:lineRule="exact"/>
              <w:jc w:val="center"/>
              <w:rPr>
                <w:rFonts w:hint="eastAsia" w:ascii="宋体" w:hAnsi="宋体" w:eastAsia="Arial" w:cs="宋体"/>
                <w:snapToGrid w:val="0"/>
                <w:color w:val="auto"/>
                <w:spacing w:val="0"/>
                <w:position w:val="0"/>
                <w:sz w:val="24"/>
                <w:szCs w:val="21"/>
                <w:highlight w:val="none"/>
                <w:lang w:val="en-US" w:eastAsia="en-US" w:bidi="ar-SA"/>
              </w:rPr>
            </w:pPr>
            <w:r>
              <w:rPr>
                <w:rFonts w:hint="eastAsia" w:ascii="宋体" w:hAnsi="宋体" w:cs="宋体"/>
                <w:color w:val="auto"/>
                <w:spacing w:val="0"/>
                <w:position w:val="0"/>
                <w:sz w:val="24"/>
                <w:highlight w:val="none"/>
              </w:rPr>
              <w:t>1</w:t>
            </w:r>
          </w:p>
        </w:tc>
        <w:tc>
          <w:tcPr>
            <w:tcW w:w="2370" w:type="dxa"/>
            <w:noWrap w:val="0"/>
            <w:vAlign w:val="center"/>
          </w:tcPr>
          <w:p w14:paraId="019EA25F">
            <w:pPr>
              <w:spacing w:line="400" w:lineRule="exact"/>
              <w:jc w:val="center"/>
              <w:rPr>
                <w:rFonts w:hint="eastAsia" w:ascii="宋体" w:hAnsi="宋体" w:cs="宋体"/>
                <w:color w:val="auto"/>
                <w:spacing w:val="0"/>
                <w:position w:val="0"/>
                <w:sz w:val="24"/>
                <w:highlight w:val="none"/>
              </w:rPr>
            </w:pPr>
            <w:r>
              <w:rPr>
                <w:rFonts w:hint="eastAsia" w:ascii="宋体" w:hAnsi="宋体" w:eastAsia="宋体" w:cs="宋体"/>
                <w:color w:val="auto"/>
                <w:spacing w:val="0"/>
                <w:position w:val="0"/>
                <w:sz w:val="24"/>
                <w:szCs w:val="24"/>
                <w:lang w:val="en-US" w:eastAsia="zh-CN"/>
              </w:rPr>
              <w:t>人员工资</w:t>
            </w:r>
          </w:p>
        </w:tc>
        <w:tc>
          <w:tcPr>
            <w:tcW w:w="1380" w:type="dxa"/>
            <w:noWrap w:val="0"/>
            <w:vAlign w:val="center"/>
          </w:tcPr>
          <w:p w14:paraId="4802C8E7">
            <w:pPr>
              <w:spacing w:line="400" w:lineRule="exact"/>
              <w:jc w:val="center"/>
              <w:rPr>
                <w:rFonts w:hint="eastAsia" w:ascii="宋体" w:hAnsi="宋体" w:cs="宋体"/>
                <w:color w:val="auto"/>
                <w:spacing w:val="0"/>
                <w:position w:val="0"/>
                <w:sz w:val="24"/>
                <w:highlight w:val="none"/>
              </w:rPr>
            </w:pPr>
          </w:p>
        </w:tc>
        <w:tc>
          <w:tcPr>
            <w:tcW w:w="1065" w:type="dxa"/>
            <w:noWrap w:val="0"/>
            <w:vAlign w:val="center"/>
          </w:tcPr>
          <w:p w14:paraId="0D6EA12C">
            <w:pPr>
              <w:spacing w:line="400" w:lineRule="exact"/>
              <w:jc w:val="center"/>
              <w:rPr>
                <w:rFonts w:hint="eastAsia" w:ascii="宋体" w:hAnsi="宋体" w:cs="宋体"/>
                <w:color w:val="auto"/>
                <w:spacing w:val="0"/>
                <w:position w:val="0"/>
                <w:sz w:val="24"/>
                <w:highlight w:val="none"/>
              </w:rPr>
            </w:pPr>
          </w:p>
        </w:tc>
        <w:tc>
          <w:tcPr>
            <w:tcW w:w="1200" w:type="dxa"/>
            <w:noWrap w:val="0"/>
            <w:vAlign w:val="center"/>
          </w:tcPr>
          <w:p w14:paraId="4761F26C">
            <w:pPr>
              <w:spacing w:line="400" w:lineRule="exact"/>
              <w:jc w:val="center"/>
              <w:rPr>
                <w:rFonts w:hint="eastAsia" w:ascii="宋体" w:hAnsi="宋体" w:cs="宋体"/>
                <w:color w:val="auto"/>
                <w:spacing w:val="0"/>
                <w:position w:val="0"/>
                <w:sz w:val="24"/>
                <w:highlight w:val="none"/>
              </w:rPr>
            </w:pPr>
          </w:p>
        </w:tc>
        <w:tc>
          <w:tcPr>
            <w:tcW w:w="2100" w:type="dxa"/>
            <w:vMerge w:val="restart"/>
            <w:noWrap w:val="0"/>
            <w:vAlign w:val="center"/>
          </w:tcPr>
          <w:p w14:paraId="03466937">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2"/>
                <w:szCs w:val="20"/>
                <w:highlight w:val="none"/>
                <w:lang w:val="en-US" w:eastAsia="zh-CN"/>
              </w:rPr>
              <w:t>此处</w:t>
            </w:r>
            <w:r>
              <w:rPr>
                <w:rFonts w:hint="eastAsia" w:ascii="宋体" w:hAnsi="宋体" w:cs="宋体"/>
                <w:color w:val="auto"/>
                <w:spacing w:val="0"/>
                <w:position w:val="0"/>
                <w:sz w:val="22"/>
                <w:szCs w:val="20"/>
                <w:highlight w:val="none"/>
              </w:rPr>
              <w:t>备注是否属于</w:t>
            </w:r>
            <w:r>
              <w:rPr>
                <w:rFonts w:hint="eastAsia" w:ascii="宋体" w:hAnsi="宋体" w:cs="宋体"/>
                <w:color w:val="auto"/>
                <w:spacing w:val="0"/>
                <w:position w:val="0"/>
                <w:sz w:val="22"/>
                <w:szCs w:val="20"/>
                <w:highlight w:val="none"/>
                <w:lang w:eastAsia="zh-CN"/>
              </w:rPr>
              <w:t>中、</w:t>
            </w:r>
            <w:r>
              <w:rPr>
                <w:rFonts w:hint="eastAsia" w:ascii="宋体" w:hAnsi="宋体" w:cs="宋体"/>
                <w:color w:val="auto"/>
                <w:spacing w:val="0"/>
                <w:position w:val="0"/>
                <w:sz w:val="22"/>
                <w:szCs w:val="20"/>
                <w:highlight w:val="none"/>
              </w:rPr>
              <w:t>小、微企业或监狱企业或残疾人福利性单位</w:t>
            </w:r>
          </w:p>
        </w:tc>
      </w:tr>
      <w:tr w14:paraId="7E497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exact"/>
        </w:trPr>
        <w:tc>
          <w:tcPr>
            <w:tcW w:w="1095" w:type="dxa"/>
            <w:shd w:val="clear" w:color="auto" w:fill="auto"/>
            <w:noWrap w:val="0"/>
            <w:vAlign w:val="center"/>
          </w:tcPr>
          <w:p w14:paraId="7A4DCE76">
            <w:pPr>
              <w:spacing w:line="400" w:lineRule="exact"/>
              <w:jc w:val="center"/>
              <w:rPr>
                <w:rFonts w:hint="eastAsia" w:ascii="宋体" w:hAnsi="宋体" w:eastAsia="Arial" w:cs="宋体"/>
                <w:snapToGrid w:val="0"/>
                <w:color w:val="auto"/>
                <w:spacing w:val="0"/>
                <w:position w:val="0"/>
                <w:sz w:val="24"/>
                <w:szCs w:val="21"/>
                <w:highlight w:val="none"/>
                <w:lang w:val="en-US" w:eastAsia="en-US" w:bidi="ar-SA"/>
              </w:rPr>
            </w:pPr>
            <w:r>
              <w:rPr>
                <w:rFonts w:hint="eastAsia" w:ascii="宋体" w:hAnsi="宋体" w:cs="宋体"/>
                <w:color w:val="auto"/>
                <w:spacing w:val="0"/>
                <w:position w:val="0"/>
                <w:sz w:val="24"/>
                <w:highlight w:val="none"/>
              </w:rPr>
              <w:t>2</w:t>
            </w:r>
          </w:p>
        </w:tc>
        <w:tc>
          <w:tcPr>
            <w:tcW w:w="2370" w:type="dxa"/>
            <w:noWrap w:val="0"/>
            <w:vAlign w:val="center"/>
          </w:tcPr>
          <w:p w14:paraId="12374A0A">
            <w:pPr>
              <w:spacing w:line="400" w:lineRule="exact"/>
              <w:jc w:val="center"/>
              <w:rPr>
                <w:rFonts w:hint="eastAsia" w:ascii="宋体" w:hAnsi="宋体" w:cs="宋体"/>
                <w:color w:val="auto"/>
                <w:spacing w:val="0"/>
                <w:position w:val="0"/>
                <w:sz w:val="24"/>
                <w:highlight w:val="none"/>
              </w:rPr>
            </w:pPr>
            <w:r>
              <w:rPr>
                <w:rFonts w:hint="eastAsia" w:ascii="宋体" w:hAnsi="宋体" w:eastAsia="宋体" w:cs="宋体"/>
                <w:color w:val="auto"/>
                <w:spacing w:val="0"/>
                <w:position w:val="0"/>
                <w:sz w:val="24"/>
                <w:szCs w:val="24"/>
                <w:lang w:val="en-US" w:eastAsia="zh-CN"/>
              </w:rPr>
              <w:t>设备</w:t>
            </w:r>
          </w:p>
        </w:tc>
        <w:tc>
          <w:tcPr>
            <w:tcW w:w="1380" w:type="dxa"/>
            <w:noWrap w:val="0"/>
            <w:vAlign w:val="center"/>
          </w:tcPr>
          <w:p w14:paraId="689B3D67">
            <w:pPr>
              <w:spacing w:line="400" w:lineRule="exact"/>
              <w:jc w:val="center"/>
              <w:rPr>
                <w:rFonts w:hint="eastAsia" w:ascii="宋体" w:hAnsi="宋体" w:cs="宋体"/>
                <w:color w:val="auto"/>
                <w:spacing w:val="0"/>
                <w:position w:val="0"/>
                <w:sz w:val="24"/>
                <w:highlight w:val="none"/>
              </w:rPr>
            </w:pPr>
          </w:p>
        </w:tc>
        <w:tc>
          <w:tcPr>
            <w:tcW w:w="1065" w:type="dxa"/>
            <w:noWrap w:val="0"/>
            <w:vAlign w:val="center"/>
          </w:tcPr>
          <w:p w14:paraId="23A94D54">
            <w:pPr>
              <w:spacing w:line="400" w:lineRule="exact"/>
              <w:jc w:val="center"/>
              <w:rPr>
                <w:rFonts w:hint="eastAsia" w:ascii="宋体" w:hAnsi="宋体" w:cs="宋体"/>
                <w:color w:val="auto"/>
                <w:spacing w:val="0"/>
                <w:position w:val="0"/>
                <w:sz w:val="24"/>
                <w:highlight w:val="none"/>
              </w:rPr>
            </w:pPr>
          </w:p>
        </w:tc>
        <w:tc>
          <w:tcPr>
            <w:tcW w:w="1200" w:type="dxa"/>
            <w:noWrap w:val="0"/>
            <w:vAlign w:val="center"/>
          </w:tcPr>
          <w:p w14:paraId="59E22D55">
            <w:pPr>
              <w:spacing w:line="400" w:lineRule="exact"/>
              <w:jc w:val="center"/>
              <w:rPr>
                <w:rFonts w:hint="eastAsia" w:ascii="宋体" w:hAnsi="宋体" w:cs="宋体"/>
                <w:color w:val="auto"/>
                <w:spacing w:val="0"/>
                <w:position w:val="0"/>
                <w:sz w:val="24"/>
                <w:highlight w:val="none"/>
              </w:rPr>
            </w:pPr>
          </w:p>
        </w:tc>
        <w:tc>
          <w:tcPr>
            <w:tcW w:w="2100" w:type="dxa"/>
            <w:vMerge w:val="continue"/>
            <w:noWrap w:val="0"/>
            <w:vAlign w:val="center"/>
          </w:tcPr>
          <w:p w14:paraId="3C4EBCC9">
            <w:pPr>
              <w:spacing w:line="400" w:lineRule="exact"/>
              <w:jc w:val="center"/>
              <w:rPr>
                <w:rFonts w:hint="eastAsia" w:ascii="宋体" w:hAnsi="宋体" w:cs="宋体"/>
                <w:color w:val="auto"/>
                <w:spacing w:val="0"/>
                <w:position w:val="0"/>
                <w:sz w:val="24"/>
                <w:highlight w:val="none"/>
              </w:rPr>
            </w:pPr>
          </w:p>
        </w:tc>
      </w:tr>
      <w:tr w14:paraId="15F77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exact"/>
        </w:trPr>
        <w:tc>
          <w:tcPr>
            <w:tcW w:w="1095" w:type="dxa"/>
            <w:shd w:val="clear" w:color="auto" w:fill="auto"/>
            <w:noWrap w:val="0"/>
            <w:vAlign w:val="center"/>
          </w:tcPr>
          <w:p w14:paraId="292FF6AF">
            <w:pPr>
              <w:spacing w:line="400" w:lineRule="exact"/>
              <w:jc w:val="center"/>
              <w:rPr>
                <w:rFonts w:hint="eastAsia"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snapToGrid w:val="0"/>
                <w:color w:val="auto"/>
                <w:spacing w:val="0"/>
                <w:position w:val="0"/>
                <w:sz w:val="24"/>
                <w:szCs w:val="21"/>
                <w:highlight w:val="none"/>
                <w:lang w:val="en-US" w:eastAsia="zh-CN" w:bidi="ar-SA"/>
              </w:rPr>
              <w:t>3</w:t>
            </w:r>
          </w:p>
        </w:tc>
        <w:tc>
          <w:tcPr>
            <w:tcW w:w="2370" w:type="dxa"/>
            <w:noWrap w:val="0"/>
            <w:vAlign w:val="center"/>
          </w:tcPr>
          <w:p w14:paraId="5EB59F30">
            <w:pPr>
              <w:spacing w:line="400" w:lineRule="exact"/>
              <w:jc w:val="center"/>
              <w:rPr>
                <w:rFonts w:hint="eastAsia" w:ascii="宋体" w:hAnsi="宋体" w:cs="宋体"/>
                <w:color w:val="auto"/>
                <w:spacing w:val="0"/>
                <w:position w:val="0"/>
                <w:sz w:val="24"/>
                <w:highlight w:val="none"/>
              </w:rPr>
            </w:pPr>
            <w:r>
              <w:rPr>
                <w:rFonts w:hint="eastAsia" w:ascii="宋体" w:hAnsi="宋体" w:eastAsia="宋体" w:cs="宋体"/>
                <w:color w:val="auto"/>
                <w:spacing w:val="0"/>
                <w:position w:val="0"/>
                <w:sz w:val="24"/>
                <w:szCs w:val="24"/>
                <w:lang w:val="en-US" w:eastAsia="zh-CN"/>
              </w:rPr>
              <w:t>税费</w:t>
            </w:r>
          </w:p>
        </w:tc>
        <w:tc>
          <w:tcPr>
            <w:tcW w:w="1380" w:type="dxa"/>
            <w:noWrap w:val="0"/>
            <w:vAlign w:val="center"/>
          </w:tcPr>
          <w:p w14:paraId="73B3775A">
            <w:pPr>
              <w:spacing w:line="400" w:lineRule="exact"/>
              <w:jc w:val="center"/>
              <w:rPr>
                <w:rFonts w:hint="eastAsia" w:ascii="宋体" w:hAnsi="宋体" w:cs="宋体"/>
                <w:color w:val="auto"/>
                <w:spacing w:val="0"/>
                <w:position w:val="0"/>
                <w:sz w:val="24"/>
                <w:highlight w:val="none"/>
              </w:rPr>
            </w:pPr>
          </w:p>
        </w:tc>
        <w:tc>
          <w:tcPr>
            <w:tcW w:w="1065" w:type="dxa"/>
            <w:noWrap w:val="0"/>
            <w:vAlign w:val="center"/>
          </w:tcPr>
          <w:p w14:paraId="7B1FE40B">
            <w:pPr>
              <w:spacing w:line="400" w:lineRule="exact"/>
              <w:jc w:val="center"/>
              <w:rPr>
                <w:rFonts w:hint="eastAsia" w:ascii="宋体" w:hAnsi="宋体" w:cs="宋体"/>
                <w:color w:val="auto"/>
                <w:spacing w:val="0"/>
                <w:position w:val="0"/>
                <w:sz w:val="24"/>
                <w:highlight w:val="none"/>
              </w:rPr>
            </w:pPr>
          </w:p>
        </w:tc>
        <w:tc>
          <w:tcPr>
            <w:tcW w:w="1200" w:type="dxa"/>
            <w:noWrap w:val="0"/>
            <w:vAlign w:val="center"/>
          </w:tcPr>
          <w:p w14:paraId="3C47C3A5">
            <w:pPr>
              <w:spacing w:line="400" w:lineRule="exact"/>
              <w:jc w:val="center"/>
              <w:rPr>
                <w:rFonts w:hint="eastAsia" w:ascii="宋体" w:hAnsi="宋体" w:cs="宋体"/>
                <w:color w:val="auto"/>
                <w:spacing w:val="0"/>
                <w:position w:val="0"/>
                <w:sz w:val="24"/>
                <w:highlight w:val="none"/>
              </w:rPr>
            </w:pPr>
          </w:p>
        </w:tc>
        <w:tc>
          <w:tcPr>
            <w:tcW w:w="2100" w:type="dxa"/>
            <w:vMerge w:val="continue"/>
            <w:noWrap w:val="0"/>
            <w:vAlign w:val="center"/>
          </w:tcPr>
          <w:p w14:paraId="40DB37D3">
            <w:pPr>
              <w:spacing w:line="400" w:lineRule="exact"/>
              <w:jc w:val="center"/>
              <w:rPr>
                <w:rFonts w:hint="eastAsia" w:ascii="宋体" w:hAnsi="宋体" w:cs="宋体"/>
                <w:color w:val="auto"/>
                <w:spacing w:val="0"/>
                <w:position w:val="0"/>
                <w:sz w:val="24"/>
                <w:highlight w:val="none"/>
              </w:rPr>
            </w:pPr>
          </w:p>
        </w:tc>
      </w:tr>
      <w:tr w14:paraId="067AE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exact"/>
        </w:trPr>
        <w:tc>
          <w:tcPr>
            <w:tcW w:w="9210" w:type="dxa"/>
            <w:gridSpan w:val="6"/>
            <w:noWrap w:val="0"/>
            <w:vAlign w:val="center"/>
          </w:tcPr>
          <w:p w14:paraId="469C3924">
            <w:pPr>
              <w:spacing w:line="400" w:lineRule="exact"/>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合计（大写）：</w:t>
            </w:r>
          </w:p>
        </w:tc>
      </w:tr>
    </w:tbl>
    <w:p w14:paraId="5A1FC846">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left="-418" w:leftChars="-199" w:right="-485" w:rightChars="-231" w:firstLine="482" w:firstLineChars="20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注：1、中、小、微企业、监狱或残疾人福利性单位产品须在明细表中注明，并在投标文件中提供相应证明材料，否则产生的一切后果由 </w:t>
      </w:r>
      <w:r>
        <w:rPr>
          <w:rFonts w:hint="eastAsia" w:ascii="宋体" w:hAnsi="宋体" w:eastAsia="宋体" w:cs="宋体"/>
          <w:color w:val="auto"/>
          <w:spacing w:val="0"/>
          <w:position w:val="0"/>
          <w:sz w:val="24"/>
          <w:szCs w:val="24"/>
          <w:lang w:eastAsia="zh-CN"/>
        </w:rPr>
        <w:t>供应商</w:t>
      </w:r>
      <w:r>
        <w:rPr>
          <w:rFonts w:ascii="宋体" w:hAnsi="宋体" w:eastAsia="宋体" w:cs="宋体"/>
          <w:color w:val="auto"/>
          <w:spacing w:val="0"/>
          <w:position w:val="0"/>
          <w:sz w:val="24"/>
          <w:szCs w:val="24"/>
          <w:lang w:eastAsia="zh-CN"/>
        </w:rPr>
        <w:t>承担。</w:t>
      </w:r>
    </w:p>
    <w:p w14:paraId="2CB11967">
      <w:pPr>
        <w:keepNext w:val="0"/>
        <w:keepLines w:val="0"/>
        <w:pageBreakBefore w:val="0"/>
        <w:widowControl w:val="0"/>
        <w:kinsoku w:val="0"/>
        <w:wordWrap/>
        <w:overflowPunct/>
        <w:topLinePunct w:val="0"/>
        <w:autoSpaceDE w:val="0"/>
        <w:autoSpaceDN w:val="0"/>
        <w:bidi w:val="0"/>
        <w:adjustRightInd w:val="0"/>
        <w:snapToGrid w:val="0"/>
        <w:spacing w:line="360" w:lineRule="auto"/>
        <w:ind w:left="-418" w:leftChars="-199" w:right="-486" w:rightChars="0" w:firstLine="480" w:firstLineChars="20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2、属于《节能产品政府采购品目清单》的产品需备注注明，同时提供国家确定的认证机构出具的、处于有效期之内的节能产品认证证书扫描件，否则产生的一切后果由</w:t>
      </w:r>
      <w:r>
        <w:rPr>
          <w:rFonts w:hint="eastAsia" w:ascii="宋体" w:hAnsi="宋体" w:eastAsia="宋体" w:cs="宋体"/>
          <w:color w:val="auto"/>
          <w:spacing w:val="0"/>
          <w:position w:val="0"/>
          <w:sz w:val="24"/>
          <w:szCs w:val="24"/>
          <w:lang w:eastAsia="zh-CN"/>
        </w:rPr>
        <w:t>供应商</w:t>
      </w:r>
      <w:r>
        <w:rPr>
          <w:rFonts w:ascii="宋体" w:hAnsi="宋体" w:eastAsia="宋体" w:cs="宋体"/>
          <w:color w:val="auto"/>
          <w:spacing w:val="0"/>
          <w:position w:val="0"/>
          <w:sz w:val="24"/>
          <w:szCs w:val="24"/>
          <w:lang w:eastAsia="zh-CN"/>
        </w:rPr>
        <w:t>承担。（不属于节能产品的不需提供）</w:t>
      </w:r>
    </w:p>
    <w:p w14:paraId="41072AA5">
      <w:pPr>
        <w:keepNext w:val="0"/>
        <w:keepLines w:val="0"/>
        <w:pageBreakBefore w:val="0"/>
        <w:widowControl w:val="0"/>
        <w:kinsoku w:val="0"/>
        <w:wordWrap/>
        <w:overflowPunct/>
        <w:topLinePunct w:val="0"/>
        <w:autoSpaceDE w:val="0"/>
        <w:autoSpaceDN w:val="0"/>
        <w:bidi w:val="0"/>
        <w:adjustRightInd w:val="0"/>
        <w:snapToGrid w:val="0"/>
        <w:spacing w:line="360" w:lineRule="auto"/>
        <w:ind w:left="63" w:leftChars="30" w:firstLine="0" w:firstLineChars="0"/>
        <w:jc w:val="both"/>
        <w:textAlignment w:val="baseline"/>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eastAsia="zh-CN"/>
        </w:rPr>
        <w:t>供应商必须填写分项费用（</w:t>
      </w:r>
      <w:r>
        <w:rPr>
          <w:rFonts w:hint="eastAsia" w:ascii="宋体" w:hAnsi="宋体" w:eastAsia="宋体" w:cs="宋体"/>
          <w:color w:val="auto"/>
          <w:spacing w:val="0"/>
          <w:position w:val="0"/>
          <w:sz w:val="24"/>
          <w:szCs w:val="24"/>
          <w:lang w:val="en-US" w:eastAsia="zh-CN"/>
        </w:rPr>
        <w:t>如人员工资、设备、税费等</w:t>
      </w:r>
      <w:r>
        <w:rPr>
          <w:rFonts w:hint="eastAsia" w:ascii="宋体" w:hAnsi="宋体" w:eastAsia="宋体" w:cs="宋体"/>
          <w:color w:val="auto"/>
          <w:spacing w:val="0"/>
          <w:position w:val="0"/>
          <w:sz w:val="24"/>
          <w:szCs w:val="24"/>
          <w:lang w:eastAsia="zh-CN"/>
        </w:rPr>
        <w:t>），以证明投标报价的合理性，否则视为无效投标</w:t>
      </w:r>
    </w:p>
    <w:p w14:paraId="50DC80A0">
      <w:pPr>
        <w:pageBreakBefore w:val="0"/>
        <w:widowControl w:val="0"/>
        <w:wordWrap/>
        <w:overflowPunct/>
        <w:topLinePunct w:val="0"/>
        <w:bidi w:val="0"/>
        <w:spacing w:before="185" w:line="219" w:lineRule="auto"/>
        <w:ind w:left="129"/>
        <w:jc w:val="both"/>
        <w:rPr>
          <w:rFonts w:hint="eastAsia" w:ascii="宋体" w:hAnsi="宋体" w:eastAsia="宋体" w:cs="宋体"/>
          <w:color w:val="auto"/>
          <w:spacing w:val="0"/>
          <w:position w:val="0"/>
          <w:sz w:val="24"/>
          <w:szCs w:val="24"/>
          <w:lang w:val="en-US" w:eastAsia="zh-CN"/>
        </w:rPr>
      </w:pPr>
    </w:p>
    <w:p w14:paraId="3E3706CA">
      <w:pPr>
        <w:pageBreakBefore w:val="0"/>
        <w:widowControl w:val="0"/>
        <w:wordWrap/>
        <w:overflowPunct/>
        <w:topLinePunct w:val="0"/>
        <w:bidi w:val="0"/>
        <w:spacing w:before="185" w:line="219" w:lineRule="auto"/>
        <w:ind w:left="129"/>
        <w:jc w:val="both"/>
        <w:rPr>
          <w:rFonts w:ascii="宋体" w:hAnsi="宋体" w:eastAsia="宋体" w:cs="宋体"/>
          <w:color w:val="auto"/>
          <w:sz w:val="24"/>
          <w:szCs w:val="24"/>
          <w:highlight w:val="none"/>
          <w:lang w:eastAsia="zh-CN"/>
        </w:rPr>
        <w:sectPr>
          <w:footerReference r:id="rId6" w:type="default"/>
          <w:pgSz w:w="11906" w:h="16839"/>
          <w:pgMar w:top="1440" w:right="1800" w:bottom="1440" w:left="1800" w:header="0" w:footer="1200" w:gutter="0"/>
          <w:pgNumType w:fmt="decimal"/>
          <w:cols w:space="720" w:num="1"/>
        </w:sectPr>
      </w:pPr>
      <w:r>
        <w:rPr>
          <w:rFonts w:hint="eastAsia" w:ascii="宋体" w:hAnsi="宋体" w:eastAsia="宋体" w:cs="宋体"/>
          <w:color w:val="auto"/>
          <w:spacing w:val="0"/>
          <w:position w:val="0"/>
          <w:sz w:val="24"/>
          <w:szCs w:val="24"/>
          <w:lang w:val="en-US" w:eastAsia="zh-CN"/>
        </w:rPr>
        <w:t>供应商</w:t>
      </w:r>
      <w:r>
        <w:rPr>
          <w:rFonts w:ascii="宋体" w:hAnsi="宋体" w:eastAsia="宋体" w:cs="宋体"/>
          <w:color w:val="auto"/>
          <w:spacing w:val="0"/>
          <w:position w:val="0"/>
          <w:sz w:val="24"/>
          <w:szCs w:val="24"/>
          <w:lang w:eastAsia="zh-CN"/>
        </w:rPr>
        <w:t>盖章</w:t>
      </w:r>
      <w:r>
        <w:rPr>
          <w:rFonts w:ascii="宋体" w:hAnsi="宋体" w:eastAsia="宋体" w:cs="宋体"/>
          <w:color w:val="auto"/>
          <w:spacing w:val="-1"/>
          <w:sz w:val="24"/>
          <w:szCs w:val="24"/>
          <w:highlight w:val="none"/>
          <w:lang w:eastAsia="zh-CN"/>
        </w:rPr>
        <w:t>：</w:t>
      </w:r>
    </w:p>
    <w:p w14:paraId="686BD34E">
      <w:pPr>
        <w:pageBreakBefore w:val="0"/>
        <w:widowControl w:val="0"/>
        <w:wordWrap/>
        <w:overflowPunct/>
        <w:topLinePunct w:val="0"/>
        <w:bidi w:val="0"/>
        <w:spacing w:before="78" w:line="219" w:lineRule="auto"/>
        <w:jc w:val="center"/>
        <w:outlineLvl w:val="1"/>
        <w:rPr>
          <w:rFonts w:ascii="宋体" w:hAnsi="宋体" w:eastAsia="宋体" w:cs="宋体"/>
          <w:color w:val="auto"/>
          <w:sz w:val="24"/>
          <w:szCs w:val="24"/>
          <w:highlight w:val="none"/>
          <w:lang w:eastAsia="zh-CN"/>
        </w:rPr>
      </w:pPr>
      <w:bookmarkStart w:id="3" w:name="bookmark58"/>
      <w:bookmarkEnd w:id="3"/>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服务要</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求响应/偏离表</w:t>
      </w:r>
    </w:p>
    <w:p w14:paraId="5ED5263C">
      <w:pPr>
        <w:pageBreakBefore w:val="0"/>
        <w:widowControl w:val="0"/>
        <w:tabs>
          <w:tab w:val="left" w:pos="6090"/>
        </w:tabs>
        <w:wordWrap/>
        <w:overflowPunct/>
        <w:topLinePunct w:val="0"/>
        <w:bidi w:val="0"/>
        <w:spacing w:before="24"/>
        <w:rPr>
          <w:color w:val="auto"/>
          <w:highlight w:val="none"/>
          <w:lang w:eastAsia="zh-CN"/>
        </w:rPr>
      </w:pPr>
    </w:p>
    <w:tbl>
      <w:tblPr>
        <w:tblStyle w:val="24"/>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2286E3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9" w:hRule="atLeast"/>
        </w:trPr>
        <w:tc>
          <w:tcPr>
            <w:tcW w:w="1356" w:type="dxa"/>
            <w:vAlign w:val="bottom"/>
          </w:tcPr>
          <w:p w14:paraId="6D515D95">
            <w:pPr>
              <w:tabs>
                <w:tab w:val="left" w:pos="6090"/>
              </w:tabs>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序号</w:t>
            </w:r>
          </w:p>
        </w:tc>
        <w:tc>
          <w:tcPr>
            <w:tcW w:w="2256" w:type="dxa"/>
            <w:vAlign w:val="center"/>
          </w:tcPr>
          <w:p w14:paraId="145EBF4B">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p>
          <w:p w14:paraId="5C84AB5E">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lang w:val="en-US" w:eastAsia="zh-CN"/>
              </w:rPr>
              <w:t>的</w:t>
            </w:r>
            <w:r>
              <w:rPr>
                <w:rFonts w:hint="eastAsia" w:asciiTheme="minorEastAsia" w:hAnsiTheme="minorEastAsia" w:eastAsiaTheme="minorEastAsia" w:cstheme="minorEastAsia"/>
                <w:color w:val="auto"/>
                <w:sz w:val="24"/>
                <w:highlight w:val="none"/>
              </w:rPr>
              <w:t>服务要求</w:t>
            </w:r>
          </w:p>
        </w:tc>
        <w:tc>
          <w:tcPr>
            <w:tcW w:w="2700" w:type="dxa"/>
            <w:vAlign w:val="center"/>
          </w:tcPr>
          <w:p w14:paraId="392D757F">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响应</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r>
              <w:rPr>
                <w:rFonts w:hint="eastAsia" w:asciiTheme="minorEastAsia" w:hAnsiTheme="minorEastAsia" w:eastAsiaTheme="minorEastAsia" w:cstheme="minorEastAsia"/>
                <w:color w:val="auto"/>
                <w:sz w:val="24"/>
                <w:highlight w:val="none"/>
              </w:rPr>
              <w:t>响应</w:t>
            </w:r>
          </w:p>
          <w:p w14:paraId="1F5DA8DE">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rPr>
              <w:t>的具体内容</w:t>
            </w:r>
          </w:p>
        </w:tc>
        <w:tc>
          <w:tcPr>
            <w:tcW w:w="1559" w:type="dxa"/>
            <w:vAlign w:val="bottom"/>
          </w:tcPr>
          <w:p w14:paraId="407C148E">
            <w:pPr>
              <w:tabs>
                <w:tab w:val="left" w:pos="6090"/>
              </w:tabs>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响应/偏离</w:t>
            </w:r>
          </w:p>
        </w:tc>
        <w:tc>
          <w:tcPr>
            <w:tcW w:w="1421" w:type="dxa"/>
            <w:vAlign w:val="bottom"/>
          </w:tcPr>
          <w:p w14:paraId="2CD3EC1B">
            <w:pPr>
              <w:tabs>
                <w:tab w:val="left" w:pos="6090"/>
              </w:tabs>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说明</w:t>
            </w:r>
          </w:p>
        </w:tc>
      </w:tr>
      <w:tr w14:paraId="7A7B65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4CF07498">
            <w:pPr>
              <w:pStyle w:val="25"/>
              <w:pageBreakBefore w:val="0"/>
              <w:widowControl w:val="0"/>
              <w:tabs>
                <w:tab w:val="left" w:pos="6090"/>
              </w:tabs>
              <w:wordWrap/>
              <w:overflowPunct/>
              <w:topLinePunct w:val="0"/>
              <w:bidi w:val="0"/>
              <w:rPr>
                <w:color w:val="auto"/>
                <w:highlight w:val="none"/>
              </w:rPr>
            </w:pPr>
          </w:p>
        </w:tc>
        <w:tc>
          <w:tcPr>
            <w:tcW w:w="2256" w:type="dxa"/>
          </w:tcPr>
          <w:p w14:paraId="2562DF8B">
            <w:pPr>
              <w:pStyle w:val="25"/>
              <w:pageBreakBefore w:val="0"/>
              <w:widowControl w:val="0"/>
              <w:tabs>
                <w:tab w:val="left" w:pos="6090"/>
              </w:tabs>
              <w:wordWrap/>
              <w:overflowPunct/>
              <w:topLinePunct w:val="0"/>
              <w:bidi w:val="0"/>
              <w:rPr>
                <w:color w:val="auto"/>
                <w:highlight w:val="none"/>
              </w:rPr>
            </w:pPr>
          </w:p>
        </w:tc>
        <w:tc>
          <w:tcPr>
            <w:tcW w:w="2700" w:type="dxa"/>
          </w:tcPr>
          <w:p w14:paraId="6F57442D">
            <w:pPr>
              <w:pStyle w:val="25"/>
              <w:pageBreakBefore w:val="0"/>
              <w:widowControl w:val="0"/>
              <w:tabs>
                <w:tab w:val="left" w:pos="6090"/>
              </w:tabs>
              <w:wordWrap/>
              <w:overflowPunct/>
              <w:topLinePunct w:val="0"/>
              <w:bidi w:val="0"/>
              <w:rPr>
                <w:color w:val="auto"/>
                <w:highlight w:val="none"/>
              </w:rPr>
            </w:pPr>
          </w:p>
        </w:tc>
        <w:tc>
          <w:tcPr>
            <w:tcW w:w="1559" w:type="dxa"/>
          </w:tcPr>
          <w:p w14:paraId="523B085B">
            <w:pPr>
              <w:pStyle w:val="25"/>
              <w:pageBreakBefore w:val="0"/>
              <w:widowControl w:val="0"/>
              <w:tabs>
                <w:tab w:val="left" w:pos="6090"/>
              </w:tabs>
              <w:wordWrap/>
              <w:overflowPunct/>
              <w:topLinePunct w:val="0"/>
              <w:bidi w:val="0"/>
              <w:rPr>
                <w:color w:val="auto"/>
                <w:highlight w:val="none"/>
              </w:rPr>
            </w:pPr>
          </w:p>
        </w:tc>
        <w:tc>
          <w:tcPr>
            <w:tcW w:w="1421" w:type="dxa"/>
          </w:tcPr>
          <w:p w14:paraId="61D187D3">
            <w:pPr>
              <w:pStyle w:val="25"/>
              <w:pageBreakBefore w:val="0"/>
              <w:widowControl w:val="0"/>
              <w:tabs>
                <w:tab w:val="left" w:pos="6090"/>
              </w:tabs>
              <w:wordWrap/>
              <w:overflowPunct/>
              <w:topLinePunct w:val="0"/>
              <w:bidi w:val="0"/>
              <w:rPr>
                <w:color w:val="auto"/>
                <w:highlight w:val="none"/>
              </w:rPr>
            </w:pPr>
          </w:p>
        </w:tc>
      </w:tr>
      <w:tr w14:paraId="116E7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1F9F800A">
            <w:pPr>
              <w:pStyle w:val="25"/>
              <w:pageBreakBefore w:val="0"/>
              <w:widowControl w:val="0"/>
              <w:tabs>
                <w:tab w:val="left" w:pos="6090"/>
              </w:tabs>
              <w:wordWrap/>
              <w:overflowPunct/>
              <w:topLinePunct w:val="0"/>
              <w:bidi w:val="0"/>
              <w:rPr>
                <w:color w:val="auto"/>
                <w:highlight w:val="none"/>
              </w:rPr>
            </w:pPr>
          </w:p>
        </w:tc>
        <w:tc>
          <w:tcPr>
            <w:tcW w:w="2256" w:type="dxa"/>
          </w:tcPr>
          <w:p w14:paraId="2B2A5963">
            <w:pPr>
              <w:pStyle w:val="25"/>
              <w:pageBreakBefore w:val="0"/>
              <w:widowControl w:val="0"/>
              <w:tabs>
                <w:tab w:val="left" w:pos="6090"/>
              </w:tabs>
              <w:wordWrap/>
              <w:overflowPunct/>
              <w:topLinePunct w:val="0"/>
              <w:bidi w:val="0"/>
              <w:rPr>
                <w:color w:val="auto"/>
                <w:highlight w:val="none"/>
              </w:rPr>
            </w:pPr>
          </w:p>
        </w:tc>
        <w:tc>
          <w:tcPr>
            <w:tcW w:w="2700" w:type="dxa"/>
          </w:tcPr>
          <w:p w14:paraId="592625A7">
            <w:pPr>
              <w:pStyle w:val="25"/>
              <w:pageBreakBefore w:val="0"/>
              <w:widowControl w:val="0"/>
              <w:tabs>
                <w:tab w:val="left" w:pos="6090"/>
              </w:tabs>
              <w:wordWrap/>
              <w:overflowPunct/>
              <w:topLinePunct w:val="0"/>
              <w:bidi w:val="0"/>
              <w:rPr>
                <w:color w:val="auto"/>
                <w:highlight w:val="none"/>
              </w:rPr>
            </w:pPr>
          </w:p>
        </w:tc>
        <w:tc>
          <w:tcPr>
            <w:tcW w:w="1559" w:type="dxa"/>
          </w:tcPr>
          <w:p w14:paraId="78688BDD">
            <w:pPr>
              <w:pStyle w:val="25"/>
              <w:pageBreakBefore w:val="0"/>
              <w:widowControl w:val="0"/>
              <w:tabs>
                <w:tab w:val="left" w:pos="6090"/>
              </w:tabs>
              <w:wordWrap/>
              <w:overflowPunct/>
              <w:topLinePunct w:val="0"/>
              <w:bidi w:val="0"/>
              <w:rPr>
                <w:color w:val="auto"/>
                <w:highlight w:val="none"/>
              </w:rPr>
            </w:pPr>
          </w:p>
        </w:tc>
        <w:tc>
          <w:tcPr>
            <w:tcW w:w="1421" w:type="dxa"/>
          </w:tcPr>
          <w:p w14:paraId="18D16979">
            <w:pPr>
              <w:pStyle w:val="25"/>
              <w:pageBreakBefore w:val="0"/>
              <w:widowControl w:val="0"/>
              <w:tabs>
                <w:tab w:val="left" w:pos="6090"/>
              </w:tabs>
              <w:wordWrap/>
              <w:overflowPunct/>
              <w:topLinePunct w:val="0"/>
              <w:bidi w:val="0"/>
              <w:rPr>
                <w:color w:val="auto"/>
                <w:highlight w:val="none"/>
              </w:rPr>
            </w:pPr>
          </w:p>
        </w:tc>
      </w:tr>
      <w:tr w14:paraId="633B14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01BAFB4D">
            <w:pPr>
              <w:pStyle w:val="25"/>
              <w:pageBreakBefore w:val="0"/>
              <w:widowControl w:val="0"/>
              <w:tabs>
                <w:tab w:val="left" w:pos="6090"/>
              </w:tabs>
              <w:wordWrap/>
              <w:overflowPunct/>
              <w:topLinePunct w:val="0"/>
              <w:bidi w:val="0"/>
              <w:rPr>
                <w:color w:val="auto"/>
                <w:highlight w:val="none"/>
              </w:rPr>
            </w:pPr>
          </w:p>
        </w:tc>
        <w:tc>
          <w:tcPr>
            <w:tcW w:w="2256" w:type="dxa"/>
          </w:tcPr>
          <w:p w14:paraId="44E6C151">
            <w:pPr>
              <w:pStyle w:val="25"/>
              <w:pageBreakBefore w:val="0"/>
              <w:widowControl w:val="0"/>
              <w:tabs>
                <w:tab w:val="left" w:pos="6090"/>
              </w:tabs>
              <w:wordWrap/>
              <w:overflowPunct/>
              <w:topLinePunct w:val="0"/>
              <w:bidi w:val="0"/>
              <w:rPr>
                <w:color w:val="auto"/>
                <w:highlight w:val="none"/>
              </w:rPr>
            </w:pPr>
          </w:p>
        </w:tc>
        <w:tc>
          <w:tcPr>
            <w:tcW w:w="2700" w:type="dxa"/>
          </w:tcPr>
          <w:p w14:paraId="45B60164">
            <w:pPr>
              <w:pStyle w:val="25"/>
              <w:pageBreakBefore w:val="0"/>
              <w:widowControl w:val="0"/>
              <w:tabs>
                <w:tab w:val="left" w:pos="6090"/>
              </w:tabs>
              <w:wordWrap/>
              <w:overflowPunct/>
              <w:topLinePunct w:val="0"/>
              <w:bidi w:val="0"/>
              <w:rPr>
                <w:color w:val="auto"/>
                <w:highlight w:val="none"/>
              </w:rPr>
            </w:pPr>
          </w:p>
        </w:tc>
        <w:tc>
          <w:tcPr>
            <w:tcW w:w="1559" w:type="dxa"/>
          </w:tcPr>
          <w:p w14:paraId="6EBDB309">
            <w:pPr>
              <w:pStyle w:val="25"/>
              <w:pageBreakBefore w:val="0"/>
              <w:widowControl w:val="0"/>
              <w:tabs>
                <w:tab w:val="left" w:pos="6090"/>
              </w:tabs>
              <w:wordWrap/>
              <w:overflowPunct/>
              <w:topLinePunct w:val="0"/>
              <w:bidi w:val="0"/>
              <w:rPr>
                <w:color w:val="auto"/>
                <w:highlight w:val="none"/>
              </w:rPr>
            </w:pPr>
          </w:p>
        </w:tc>
        <w:tc>
          <w:tcPr>
            <w:tcW w:w="1421" w:type="dxa"/>
          </w:tcPr>
          <w:p w14:paraId="7A24C900">
            <w:pPr>
              <w:pStyle w:val="25"/>
              <w:pageBreakBefore w:val="0"/>
              <w:widowControl w:val="0"/>
              <w:tabs>
                <w:tab w:val="left" w:pos="6090"/>
              </w:tabs>
              <w:wordWrap/>
              <w:overflowPunct/>
              <w:topLinePunct w:val="0"/>
              <w:bidi w:val="0"/>
              <w:rPr>
                <w:color w:val="auto"/>
                <w:highlight w:val="none"/>
              </w:rPr>
            </w:pPr>
          </w:p>
        </w:tc>
      </w:tr>
      <w:tr w14:paraId="6C2158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5689F273">
            <w:pPr>
              <w:pStyle w:val="25"/>
              <w:pageBreakBefore w:val="0"/>
              <w:widowControl w:val="0"/>
              <w:tabs>
                <w:tab w:val="left" w:pos="6090"/>
              </w:tabs>
              <w:wordWrap/>
              <w:overflowPunct/>
              <w:topLinePunct w:val="0"/>
              <w:bidi w:val="0"/>
              <w:rPr>
                <w:color w:val="auto"/>
                <w:highlight w:val="none"/>
              </w:rPr>
            </w:pPr>
          </w:p>
        </w:tc>
        <w:tc>
          <w:tcPr>
            <w:tcW w:w="2256" w:type="dxa"/>
          </w:tcPr>
          <w:p w14:paraId="738AA663">
            <w:pPr>
              <w:pStyle w:val="25"/>
              <w:pageBreakBefore w:val="0"/>
              <w:widowControl w:val="0"/>
              <w:tabs>
                <w:tab w:val="left" w:pos="6090"/>
              </w:tabs>
              <w:wordWrap/>
              <w:overflowPunct/>
              <w:topLinePunct w:val="0"/>
              <w:bidi w:val="0"/>
              <w:rPr>
                <w:color w:val="auto"/>
                <w:highlight w:val="none"/>
              </w:rPr>
            </w:pPr>
          </w:p>
        </w:tc>
        <w:tc>
          <w:tcPr>
            <w:tcW w:w="2700" w:type="dxa"/>
          </w:tcPr>
          <w:p w14:paraId="0AA14669">
            <w:pPr>
              <w:pStyle w:val="25"/>
              <w:pageBreakBefore w:val="0"/>
              <w:widowControl w:val="0"/>
              <w:tabs>
                <w:tab w:val="left" w:pos="6090"/>
              </w:tabs>
              <w:wordWrap/>
              <w:overflowPunct/>
              <w:topLinePunct w:val="0"/>
              <w:bidi w:val="0"/>
              <w:rPr>
                <w:color w:val="auto"/>
                <w:highlight w:val="none"/>
              </w:rPr>
            </w:pPr>
          </w:p>
        </w:tc>
        <w:tc>
          <w:tcPr>
            <w:tcW w:w="1559" w:type="dxa"/>
          </w:tcPr>
          <w:p w14:paraId="7328019F">
            <w:pPr>
              <w:pStyle w:val="25"/>
              <w:pageBreakBefore w:val="0"/>
              <w:widowControl w:val="0"/>
              <w:tabs>
                <w:tab w:val="left" w:pos="6090"/>
              </w:tabs>
              <w:wordWrap/>
              <w:overflowPunct/>
              <w:topLinePunct w:val="0"/>
              <w:bidi w:val="0"/>
              <w:rPr>
                <w:color w:val="auto"/>
                <w:highlight w:val="none"/>
              </w:rPr>
            </w:pPr>
          </w:p>
        </w:tc>
        <w:tc>
          <w:tcPr>
            <w:tcW w:w="1421" w:type="dxa"/>
          </w:tcPr>
          <w:p w14:paraId="1AA59AFA">
            <w:pPr>
              <w:pStyle w:val="25"/>
              <w:pageBreakBefore w:val="0"/>
              <w:widowControl w:val="0"/>
              <w:tabs>
                <w:tab w:val="left" w:pos="6090"/>
              </w:tabs>
              <w:wordWrap/>
              <w:overflowPunct/>
              <w:topLinePunct w:val="0"/>
              <w:bidi w:val="0"/>
              <w:rPr>
                <w:color w:val="auto"/>
                <w:highlight w:val="none"/>
              </w:rPr>
            </w:pPr>
          </w:p>
        </w:tc>
      </w:tr>
      <w:tr w14:paraId="646881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7118BC69">
            <w:pPr>
              <w:pStyle w:val="25"/>
              <w:pageBreakBefore w:val="0"/>
              <w:widowControl w:val="0"/>
              <w:tabs>
                <w:tab w:val="left" w:pos="6090"/>
              </w:tabs>
              <w:wordWrap/>
              <w:overflowPunct/>
              <w:topLinePunct w:val="0"/>
              <w:bidi w:val="0"/>
              <w:rPr>
                <w:color w:val="auto"/>
                <w:highlight w:val="none"/>
              </w:rPr>
            </w:pPr>
          </w:p>
        </w:tc>
        <w:tc>
          <w:tcPr>
            <w:tcW w:w="2256" w:type="dxa"/>
          </w:tcPr>
          <w:p w14:paraId="129511EA">
            <w:pPr>
              <w:pStyle w:val="25"/>
              <w:pageBreakBefore w:val="0"/>
              <w:widowControl w:val="0"/>
              <w:tabs>
                <w:tab w:val="left" w:pos="6090"/>
              </w:tabs>
              <w:wordWrap/>
              <w:overflowPunct/>
              <w:topLinePunct w:val="0"/>
              <w:bidi w:val="0"/>
              <w:rPr>
                <w:color w:val="auto"/>
                <w:highlight w:val="none"/>
              </w:rPr>
            </w:pPr>
          </w:p>
        </w:tc>
        <w:tc>
          <w:tcPr>
            <w:tcW w:w="2700" w:type="dxa"/>
          </w:tcPr>
          <w:p w14:paraId="03A475B5">
            <w:pPr>
              <w:pStyle w:val="25"/>
              <w:pageBreakBefore w:val="0"/>
              <w:widowControl w:val="0"/>
              <w:tabs>
                <w:tab w:val="left" w:pos="6090"/>
              </w:tabs>
              <w:wordWrap/>
              <w:overflowPunct/>
              <w:topLinePunct w:val="0"/>
              <w:bidi w:val="0"/>
              <w:rPr>
                <w:color w:val="auto"/>
                <w:highlight w:val="none"/>
              </w:rPr>
            </w:pPr>
          </w:p>
        </w:tc>
        <w:tc>
          <w:tcPr>
            <w:tcW w:w="1559" w:type="dxa"/>
          </w:tcPr>
          <w:p w14:paraId="01D5AC67">
            <w:pPr>
              <w:pStyle w:val="25"/>
              <w:pageBreakBefore w:val="0"/>
              <w:widowControl w:val="0"/>
              <w:tabs>
                <w:tab w:val="left" w:pos="6090"/>
              </w:tabs>
              <w:wordWrap/>
              <w:overflowPunct/>
              <w:topLinePunct w:val="0"/>
              <w:bidi w:val="0"/>
              <w:rPr>
                <w:color w:val="auto"/>
                <w:highlight w:val="none"/>
              </w:rPr>
            </w:pPr>
          </w:p>
        </w:tc>
        <w:tc>
          <w:tcPr>
            <w:tcW w:w="1421" w:type="dxa"/>
          </w:tcPr>
          <w:p w14:paraId="6344357F">
            <w:pPr>
              <w:pStyle w:val="25"/>
              <w:pageBreakBefore w:val="0"/>
              <w:widowControl w:val="0"/>
              <w:tabs>
                <w:tab w:val="left" w:pos="6090"/>
              </w:tabs>
              <w:wordWrap/>
              <w:overflowPunct/>
              <w:topLinePunct w:val="0"/>
              <w:bidi w:val="0"/>
              <w:rPr>
                <w:color w:val="auto"/>
                <w:highlight w:val="none"/>
              </w:rPr>
            </w:pPr>
          </w:p>
        </w:tc>
      </w:tr>
      <w:tr w14:paraId="3EC9C7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5656C4BF">
            <w:pPr>
              <w:pStyle w:val="25"/>
              <w:pageBreakBefore w:val="0"/>
              <w:widowControl w:val="0"/>
              <w:tabs>
                <w:tab w:val="left" w:pos="6090"/>
              </w:tabs>
              <w:wordWrap/>
              <w:overflowPunct/>
              <w:topLinePunct w:val="0"/>
              <w:bidi w:val="0"/>
              <w:rPr>
                <w:color w:val="auto"/>
                <w:highlight w:val="none"/>
              </w:rPr>
            </w:pPr>
          </w:p>
        </w:tc>
        <w:tc>
          <w:tcPr>
            <w:tcW w:w="2256" w:type="dxa"/>
          </w:tcPr>
          <w:p w14:paraId="2B509493">
            <w:pPr>
              <w:pStyle w:val="25"/>
              <w:pageBreakBefore w:val="0"/>
              <w:widowControl w:val="0"/>
              <w:tabs>
                <w:tab w:val="left" w:pos="6090"/>
              </w:tabs>
              <w:wordWrap/>
              <w:overflowPunct/>
              <w:topLinePunct w:val="0"/>
              <w:bidi w:val="0"/>
              <w:rPr>
                <w:color w:val="auto"/>
                <w:highlight w:val="none"/>
              </w:rPr>
            </w:pPr>
          </w:p>
        </w:tc>
        <w:tc>
          <w:tcPr>
            <w:tcW w:w="2700" w:type="dxa"/>
          </w:tcPr>
          <w:p w14:paraId="58BBC5DF">
            <w:pPr>
              <w:pStyle w:val="25"/>
              <w:pageBreakBefore w:val="0"/>
              <w:widowControl w:val="0"/>
              <w:tabs>
                <w:tab w:val="left" w:pos="6090"/>
              </w:tabs>
              <w:wordWrap/>
              <w:overflowPunct/>
              <w:topLinePunct w:val="0"/>
              <w:bidi w:val="0"/>
              <w:rPr>
                <w:color w:val="auto"/>
                <w:highlight w:val="none"/>
              </w:rPr>
            </w:pPr>
          </w:p>
        </w:tc>
        <w:tc>
          <w:tcPr>
            <w:tcW w:w="1559" w:type="dxa"/>
          </w:tcPr>
          <w:p w14:paraId="5D38A7CF">
            <w:pPr>
              <w:pStyle w:val="25"/>
              <w:pageBreakBefore w:val="0"/>
              <w:widowControl w:val="0"/>
              <w:tabs>
                <w:tab w:val="left" w:pos="6090"/>
              </w:tabs>
              <w:wordWrap/>
              <w:overflowPunct/>
              <w:topLinePunct w:val="0"/>
              <w:bidi w:val="0"/>
              <w:rPr>
                <w:color w:val="auto"/>
                <w:highlight w:val="none"/>
              </w:rPr>
            </w:pPr>
          </w:p>
        </w:tc>
        <w:tc>
          <w:tcPr>
            <w:tcW w:w="1421" w:type="dxa"/>
          </w:tcPr>
          <w:p w14:paraId="14EE4026">
            <w:pPr>
              <w:pStyle w:val="25"/>
              <w:pageBreakBefore w:val="0"/>
              <w:widowControl w:val="0"/>
              <w:tabs>
                <w:tab w:val="left" w:pos="6090"/>
              </w:tabs>
              <w:wordWrap/>
              <w:overflowPunct/>
              <w:topLinePunct w:val="0"/>
              <w:bidi w:val="0"/>
              <w:rPr>
                <w:color w:val="auto"/>
                <w:highlight w:val="none"/>
              </w:rPr>
            </w:pPr>
          </w:p>
        </w:tc>
      </w:tr>
      <w:tr w14:paraId="51A1CD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1356" w:type="dxa"/>
          </w:tcPr>
          <w:p w14:paraId="5394D6C9">
            <w:pPr>
              <w:pStyle w:val="25"/>
              <w:pageBreakBefore w:val="0"/>
              <w:widowControl w:val="0"/>
              <w:tabs>
                <w:tab w:val="left" w:pos="6090"/>
              </w:tabs>
              <w:wordWrap/>
              <w:overflowPunct/>
              <w:topLinePunct w:val="0"/>
              <w:bidi w:val="0"/>
              <w:rPr>
                <w:color w:val="auto"/>
                <w:highlight w:val="none"/>
              </w:rPr>
            </w:pPr>
          </w:p>
        </w:tc>
        <w:tc>
          <w:tcPr>
            <w:tcW w:w="2256" w:type="dxa"/>
          </w:tcPr>
          <w:p w14:paraId="3CF57D44">
            <w:pPr>
              <w:pStyle w:val="25"/>
              <w:pageBreakBefore w:val="0"/>
              <w:widowControl w:val="0"/>
              <w:tabs>
                <w:tab w:val="left" w:pos="6090"/>
              </w:tabs>
              <w:wordWrap/>
              <w:overflowPunct/>
              <w:topLinePunct w:val="0"/>
              <w:bidi w:val="0"/>
              <w:rPr>
                <w:color w:val="auto"/>
                <w:highlight w:val="none"/>
              </w:rPr>
            </w:pPr>
          </w:p>
        </w:tc>
        <w:tc>
          <w:tcPr>
            <w:tcW w:w="2700" w:type="dxa"/>
          </w:tcPr>
          <w:p w14:paraId="294A3925">
            <w:pPr>
              <w:pStyle w:val="25"/>
              <w:pageBreakBefore w:val="0"/>
              <w:widowControl w:val="0"/>
              <w:tabs>
                <w:tab w:val="left" w:pos="6090"/>
              </w:tabs>
              <w:wordWrap/>
              <w:overflowPunct/>
              <w:topLinePunct w:val="0"/>
              <w:bidi w:val="0"/>
              <w:rPr>
                <w:color w:val="auto"/>
                <w:highlight w:val="none"/>
              </w:rPr>
            </w:pPr>
          </w:p>
        </w:tc>
        <w:tc>
          <w:tcPr>
            <w:tcW w:w="1559" w:type="dxa"/>
          </w:tcPr>
          <w:p w14:paraId="1A08774B">
            <w:pPr>
              <w:pStyle w:val="25"/>
              <w:pageBreakBefore w:val="0"/>
              <w:widowControl w:val="0"/>
              <w:tabs>
                <w:tab w:val="left" w:pos="6090"/>
              </w:tabs>
              <w:wordWrap/>
              <w:overflowPunct/>
              <w:topLinePunct w:val="0"/>
              <w:bidi w:val="0"/>
              <w:rPr>
                <w:color w:val="auto"/>
                <w:highlight w:val="none"/>
              </w:rPr>
            </w:pPr>
          </w:p>
        </w:tc>
        <w:tc>
          <w:tcPr>
            <w:tcW w:w="1421" w:type="dxa"/>
          </w:tcPr>
          <w:p w14:paraId="4330EE6D">
            <w:pPr>
              <w:pStyle w:val="25"/>
              <w:pageBreakBefore w:val="0"/>
              <w:widowControl w:val="0"/>
              <w:tabs>
                <w:tab w:val="left" w:pos="6090"/>
              </w:tabs>
              <w:wordWrap/>
              <w:overflowPunct/>
              <w:topLinePunct w:val="0"/>
              <w:bidi w:val="0"/>
              <w:rPr>
                <w:color w:val="auto"/>
                <w:highlight w:val="none"/>
              </w:rPr>
            </w:pPr>
          </w:p>
        </w:tc>
      </w:tr>
      <w:tr w14:paraId="76D295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7CEE896C">
            <w:pPr>
              <w:pStyle w:val="25"/>
              <w:pageBreakBefore w:val="0"/>
              <w:widowControl w:val="0"/>
              <w:tabs>
                <w:tab w:val="left" w:pos="6090"/>
              </w:tabs>
              <w:wordWrap/>
              <w:overflowPunct/>
              <w:topLinePunct w:val="0"/>
              <w:bidi w:val="0"/>
              <w:rPr>
                <w:color w:val="auto"/>
                <w:highlight w:val="none"/>
              </w:rPr>
            </w:pPr>
          </w:p>
        </w:tc>
        <w:tc>
          <w:tcPr>
            <w:tcW w:w="2256" w:type="dxa"/>
          </w:tcPr>
          <w:p w14:paraId="2E4980D9">
            <w:pPr>
              <w:pStyle w:val="25"/>
              <w:pageBreakBefore w:val="0"/>
              <w:widowControl w:val="0"/>
              <w:tabs>
                <w:tab w:val="left" w:pos="6090"/>
              </w:tabs>
              <w:wordWrap/>
              <w:overflowPunct/>
              <w:topLinePunct w:val="0"/>
              <w:bidi w:val="0"/>
              <w:rPr>
                <w:color w:val="auto"/>
                <w:highlight w:val="none"/>
              </w:rPr>
            </w:pPr>
          </w:p>
        </w:tc>
        <w:tc>
          <w:tcPr>
            <w:tcW w:w="2700" w:type="dxa"/>
          </w:tcPr>
          <w:p w14:paraId="6AF8FB66">
            <w:pPr>
              <w:pStyle w:val="25"/>
              <w:pageBreakBefore w:val="0"/>
              <w:widowControl w:val="0"/>
              <w:tabs>
                <w:tab w:val="left" w:pos="6090"/>
              </w:tabs>
              <w:wordWrap/>
              <w:overflowPunct/>
              <w:topLinePunct w:val="0"/>
              <w:bidi w:val="0"/>
              <w:rPr>
                <w:color w:val="auto"/>
                <w:highlight w:val="none"/>
              </w:rPr>
            </w:pPr>
          </w:p>
        </w:tc>
        <w:tc>
          <w:tcPr>
            <w:tcW w:w="1559" w:type="dxa"/>
          </w:tcPr>
          <w:p w14:paraId="3E86E716">
            <w:pPr>
              <w:pStyle w:val="25"/>
              <w:pageBreakBefore w:val="0"/>
              <w:widowControl w:val="0"/>
              <w:tabs>
                <w:tab w:val="left" w:pos="6090"/>
              </w:tabs>
              <w:wordWrap/>
              <w:overflowPunct/>
              <w:topLinePunct w:val="0"/>
              <w:bidi w:val="0"/>
              <w:rPr>
                <w:color w:val="auto"/>
                <w:highlight w:val="none"/>
              </w:rPr>
            </w:pPr>
          </w:p>
        </w:tc>
        <w:tc>
          <w:tcPr>
            <w:tcW w:w="1421" w:type="dxa"/>
          </w:tcPr>
          <w:p w14:paraId="6A9FAA45">
            <w:pPr>
              <w:pStyle w:val="25"/>
              <w:pageBreakBefore w:val="0"/>
              <w:widowControl w:val="0"/>
              <w:tabs>
                <w:tab w:val="left" w:pos="6090"/>
              </w:tabs>
              <w:wordWrap/>
              <w:overflowPunct/>
              <w:topLinePunct w:val="0"/>
              <w:bidi w:val="0"/>
              <w:rPr>
                <w:color w:val="auto"/>
                <w:highlight w:val="none"/>
              </w:rPr>
            </w:pPr>
          </w:p>
        </w:tc>
      </w:tr>
    </w:tbl>
    <w:p w14:paraId="0ACC75FE">
      <w:pPr>
        <w:pageBreakBefore w:val="0"/>
        <w:widowControl w:val="0"/>
        <w:tabs>
          <w:tab w:val="left" w:pos="6090"/>
        </w:tabs>
        <w:wordWrap/>
        <w:overflowPunct/>
        <w:topLinePunct w:val="0"/>
        <w:bidi w:val="0"/>
        <w:spacing w:line="252" w:lineRule="auto"/>
        <w:rPr>
          <w:color w:val="auto"/>
          <w:position w:val="0"/>
          <w:highlight w:val="none"/>
        </w:rPr>
      </w:pPr>
    </w:p>
    <w:p w14:paraId="707E4871">
      <w:pPr>
        <w:keepNext w:val="0"/>
        <w:keepLines w:val="0"/>
        <w:pageBreakBefore w:val="0"/>
        <w:widowControl w:val="0"/>
        <w:kinsoku w:val="0"/>
        <w:wordWrap/>
        <w:overflowPunct/>
        <w:topLinePunct w:val="0"/>
        <w:autoSpaceDE w:val="0"/>
        <w:autoSpaceDN w:val="0"/>
        <w:bidi w:val="0"/>
        <w:adjustRightInd w:val="0"/>
        <w:snapToGrid w:val="0"/>
        <w:spacing w:line="360" w:lineRule="exact"/>
        <w:ind w:left="-199" w:leftChars="-95" w:firstLine="480" w:firstLineChars="200"/>
        <w:jc w:val="both"/>
        <w:textAlignment w:val="baseline"/>
        <w:rPr>
          <w:rFonts w:hint="eastAsia" w:ascii="宋体" w:hAnsi="宋体" w:eastAsia="宋体" w:cs="宋体"/>
          <w:color w:val="auto"/>
          <w:spacing w:val="-3"/>
          <w:sz w:val="24"/>
          <w:szCs w:val="24"/>
          <w:highlight w:val="none"/>
          <w:lang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cs="宋体"/>
          <w:color w:val="auto"/>
          <w:sz w:val="24"/>
          <w:highlight w:val="none"/>
        </w:rPr>
        <w:t>有正负偏离须注明，如无偏离只须在上表中填入完全响应即可，不填视为完全响应，不需要把服务要求一一列到上表中。</w:t>
      </w:r>
    </w:p>
    <w:p w14:paraId="0E6AF541">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6300EAD2">
      <w:pPr>
        <w:pageBreakBefore w:val="0"/>
        <w:widowControl w:val="0"/>
        <w:wordWrap/>
        <w:overflowPunct/>
        <w:topLinePunct w:val="0"/>
        <w:bidi w:val="0"/>
        <w:spacing w:before="78" w:line="219" w:lineRule="auto"/>
        <w:ind w:left="125"/>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78C276EE">
      <w:pPr>
        <w:pageBreakBefore w:val="0"/>
        <w:widowControl w:val="0"/>
        <w:tabs>
          <w:tab w:val="left" w:pos="6090"/>
        </w:tabs>
        <w:wordWrap/>
        <w:overflowPunct/>
        <w:topLinePunct w:val="0"/>
        <w:bidi w:val="0"/>
        <w:spacing w:before="79" w:line="219" w:lineRule="auto"/>
        <w:ind w:left="123"/>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046AAC8A">
      <w:pPr>
        <w:pageBreakBefore w:val="0"/>
        <w:widowControl w:val="0"/>
        <w:tabs>
          <w:tab w:val="left" w:pos="6090"/>
        </w:tabs>
        <w:wordWrap/>
        <w:overflowPunct/>
        <w:topLinePunct w:val="0"/>
        <w:bidi w:val="0"/>
        <w:spacing w:line="219" w:lineRule="auto"/>
        <w:rPr>
          <w:rFonts w:ascii="宋体" w:hAnsi="宋体" w:eastAsia="宋体" w:cs="宋体"/>
          <w:color w:val="auto"/>
          <w:sz w:val="24"/>
          <w:szCs w:val="24"/>
          <w:highlight w:val="none"/>
          <w:lang w:eastAsia="zh-CN"/>
        </w:rPr>
        <w:sectPr>
          <w:footerReference r:id="rId7" w:type="default"/>
          <w:pgSz w:w="11906" w:h="16839"/>
          <w:pgMar w:top="1431" w:right="873" w:bottom="1156" w:left="1701" w:header="0" w:footer="994" w:gutter="0"/>
          <w:pgNumType w:fmt="decimal"/>
          <w:cols w:space="720" w:num="1"/>
        </w:sectPr>
      </w:pPr>
    </w:p>
    <w:p w14:paraId="10D36807">
      <w:pPr>
        <w:pageBreakBefore w:val="0"/>
        <w:widowControl w:val="0"/>
        <w:tabs>
          <w:tab w:val="left" w:pos="6090"/>
        </w:tabs>
        <w:wordWrap/>
        <w:overflowPunct/>
        <w:topLinePunct w:val="0"/>
        <w:bidi w:val="0"/>
        <w:spacing w:before="101" w:line="219" w:lineRule="auto"/>
        <w:jc w:val="center"/>
        <w:outlineLvl w:val="1"/>
        <w:rPr>
          <w:rFonts w:ascii="宋体" w:hAnsi="宋体" w:eastAsia="宋体" w:cs="宋体"/>
          <w:color w:val="auto"/>
          <w:sz w:val="24"/>
          <w:szCs w:val="24"/>
          <w:highlight w:val="none"/>
          <w:lang w:eastAsia="zh-CN"/>
        </w:rPr>
      </w:pPr>
      <w:bookmarkStart w:id="4" w:name="bookmark59"/>
      <w:bookmarkEnd w:id="4"/>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p>
    <w:p w14:paraId="3376921E">
      <w:pPr>
        <w:pageBreakBefore w:val="0"/>
        <w:widowControl w:val="0"/>
        <w:tabs>
          <w:tab w:val="left" w:pos="6090"/>
        </w:tabs>
        <w:wordWrap/>
        <w:overflowPunct/>
        <w:topLinePunct w:val="0"/>
        <w:bidi w:val="0"/>
        <w:spacing w:before="26"/>
        <w:rPr>
          <w:color w:val="auto"/>
          <w:highlight w:val="none"/>
          <w:lang w:eastAsia="zh-CN"/>
        </w:rPr>
      </w:pPr>
    </w:p>
    <w:tbl>
      <w:tblPr>
        <w:tblStyle w:val="24"/>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49550D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5" w:hRule="atLeast"/>
        </w:trPr>
        <w:tc>
          <w:tcPr>
            <w:tcW w:w="1297" w:type="dxa"/>
          </w:tcPr>
          <w:p w14:paraId="7111411E">
            <w:pPr>
              <w:pageBreakBefore w:val="0"/>
              <w:widowControl w:val="0"/>
              <w:tabs>
                <w:tab w:val="left" w:pos="6090"/>
              </w:tabs>
              <w:wordWrap/>
              <w:overflowPunct/>
              <w:topLinePunct w:val="0"/>
              <w:bidi w:val="0"/>
              <w:spacing w:before="300" w:line="221" w:lineRule="auto"/>
              <w:jc w:val="center"/>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序号</w:t>
            </w:r>
          </w:p>
        </w:tc>
        <w:tc>
          <w:tcPr>
            <w:tcW w:w="2556" w:type="dxa"/>
          </w:tcPr>
          <w:p w14:paraId="47CC81C9">
            <w:pPr>
              <w:pageBreakBefore w:val="0"/>
              <w:widowControl w:val="0"/>
              <w:tabs>
                <w:tab w:val="left" w:pos="6090"/>
              </w:tabs>
              <w:wordWrap/>
              <w:overflowPunct/>
              <w:topLinePunct w:val="0"/>
              <w:bidi w:val="0"/>
              <w:spacing w:before="301" w:line="219" w:lineRule="auto"/>
              <w:ind w:left="153"/>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2"/>
                <w:sz w:val="24"/>
                <w:szCs w:val="24"/>
                <w:highlight w:val="none"/>
                <w:lang w:eastAsia="zh-CN"/>
              </w:rPr>
              <w:t>磋商文件</w:t>
            </w:r>
            <w:r>
              <w:rPr>
                <w:rFonts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val="en-US" w:eastAsia="zh-CN"/>
              </w:rPr>
              <w:t>条件</w:t>
            </w:r>
          </w:p>
        </w:tc>
        <w:tc>
          <w:tcPr>
            <w:tcW w:w="2644" w:type="dxa"/>
            <w:vAlign w:val="center"/>
          </w:tcPr>
          <w:p w14:paraId="30273EEB">
            <w:pPr>
              <w:pageBreakBefore w:val="0"/>
              <w:widowControl w:val="0"/>
              <w:tabs>
                <w:tab w:val="left" w:pos="6090"/>
              </w:tabs>
              <w:wordWrap/>
              <w:overflowPunct/>
              <w:topLinePunct w:val="0"/>
              <w:bidi w:val="0"/>
              <w:spacing w:line="240" w:lineRule="auto"/>
              <w:jc w:val="center"/>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响应文件中响应</w:t>
            </w:r>
          </w:p>
          <w:p w14:paraId="79B91D8F">
            <w:pPr>
              <w:pageBreakBefore w:val="0"/>
              <w:widowControl w:val="0"/>
              <w:tabs>
                <w:tab w:val="left" w:pos="6090"/>
              </w:tabs>
              <w:wordWrap/>
              <w:overflowPunct/>
              <w:topLinePunct w:val="0"/>
              <w:bidi w:val="0"/>
              <w:spacing w:line="240"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的具体内容</w:t>
            </w:r>
          </w:p>
        </w:tc>
        <w:tc>
          <w:tcPr>
            <w:tcW w:w="1656" w:type="dxa"/>
            <w:vAlign w:val="center"/>
          </w:tcPr>
          <w:p w14:paraId="4DCBFA87">
            <w:pPr>
              <w:pageBreakBefore w:val="0"/>
              <w:widowControl w:val="0"/>
              <w:tabs>
                <w:tab w:val="left" w:pos="6090"/>
              </w:tabs>
              <w:wordWrap/>
              <w:overflowPunct/>
              <w:topLinePunct w:val="0"/>
              <w:bidi w:val="0"/>
              <w:spacing w:before="68" w:line="240" w:lineRule="auto"/>
              <w:ind w:left="206"/>
              <w:jc w:val="center"/>
              <w:rPr>
                <w:rFonts w:ascii="宋体" w:hAnsi="宋体" w:eastAsia="宋体" w:cs="宋体"/>
                <w:color w:val="auto"/>
                <w:sz w:val="24"/>
                <w:szCs w:val="24"/>
                <w:highlight w:val="none"/>
              </w:rPr>
            </w:pPr>
            <w:r>
              <w:rPr>
                <w:rFonts w:ascii="宋体" w:hAnsi="宋体" w:eastAsia="宋体" w:cs="宋体"/>
                <w:color w:val="auto"/>
                <w:spacing w:val="0"/>
                <w:position w:val="0"/>
                <w:sz w:val="24"/>
                <w:szCs w:val="24"/>
                <w:highlight w:val="none"/>
              </w:rPr>
              <w:t>响应/偏离</w:t>
            </w:r>
          </w:p>
        </w:tc>
        <w:tc>
          <w:tcPr>
            <w:tcW w:w="1389" w:type="dxa"/>
          </w:tcPr>
          <w:p w14:paraId="05DC40EB">
            <w:pPr>
              <w:pageBreakBefore w:val="0"/>
              <w:widowControl w:val="0"/>
              <w:tabs>
                <w:tab w:val="left" w:pos="6090"/>
              </w:tabs>
              <w:wordWrap/>
              <w:overflowPunct/>
              <w:topLinePunct w:val="0"/>
              <w:bidi w:val="0"/>
              <w:spacing w:before="301" w:line="219" w:lineRule="auto"/>
              <w:jc w:val="center"/>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说明</w:t>
            </w:r>
          </w:p>
        </w:tc>
      </w:tr>
      <w:tr w14:paraId="2ED536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3E07AD28">
            <w:pPr>
              <w:pStyle w:val="25"/>
              <w:pageBreakBefore w:val="0"/>
              <w:widowControl w:val="0"/>
              <w:tabs>
                <w:tab w:val="left" w:pos="6090"/>
              </w:tabs>
              <w:wordWrap/>
              <w:overflowPunct/>
              <w:topLinePunct w:val="0"/>
              <w:bidi w:val="0"/>
              <w:rPr>
                <w:color w:val="auto"/>
                <w:highlight w:val="none"/>
              </w:rPr>
            </w:pPr>
          </w:p>
        </w:tc>
        <w:tc>
          <w:tcPr>
            <w:tcW w:w="2556" w:type="dxa"/>
          </w:tcPr>
          <w:p w14:paraId="350402DD">
            <w:pPr>
              <w:pStyle w:val="25"/>
              <w:pageBreakBefore w:val="0"/>
              <w:widowControl w:val="0"/>
              <w:tabs>
                <w:tab w:val="left" w:pos="6090"/>
              </w:tabs>
              <w:wordWrap/>
              <w:overflowPunct/>
              <w:topLinePunct w:val="0"/>
              <w:bidi w:val="0"/>
              <w:rPr>
                <w:color w:val="auto"/>
                <w:highlight w:val="none"/>
              </w:rPr>
            </w:pPr>
          </w:p>
        </w:tc>
        <w:tc>
          <w:tcPr>
            <w:tcW w:w="2644" w:type="dxa"/>
          </w:tcPr>
          <w:p w14:paraId="3D8EE517">
            <w:pPr>
              <w:pStyle w:val="25"/>
              <w:pageBreakBefore w:val="0"/>
              <w:widowControl w:val="0"/>
              <w:tabs>
                <w:tab w:val="left" w:pos="6090"/>
              </w:tabs>
              <w:wordWrap/>
              <w:overflowPunct/>
              <w:topLinePunct w:val="0"/>
              <w:bidi w:val="0"/>
              <w:rPr>
                <w:color w:val="auto"/>
                <w:highlight w:val="none"/>
              </w:rPr>
            </w:pPr>
          </w:p>
        </w:tc>
        <w:tc>
          <w:tcPr>
            <w:tcW w:w="1656" w:type="dxa"/>
          </w:tcPr>
          <w:p w14:paraId="4735B12A">
            <w:pPr>
              <w:pStyle w:val="25"/>
              <w:pageBreakBefore w:val="0"/>
              <w:widowControl w:val="0"/>
              <w:tabs>
                <w:tab w:val="left" w:pos="6090"/>
              </w:tabs>
              <w:wordWrap/>
              <w:overflowPunct/>
              <w:topLinePunct w:val="0"/>
              <w:bidi w:val="0"/>
              <w:rPr>
                <w:color w:val="auto"/>
                <w:highlight w:val="none"/>
              </w:rPr>
            </w:pPr>
          </w:p>
        </w:tc>
        <w:tc>
          <w:tcPr>
            <w:tcW w:w="1389" w:type="dxa"/>
          </w:tcPr>
          <w:p w14:paraId="6438A116">
            <w:pPr>
              <w:pStyle w:val="25"/>
              <w:pageBreakBefore w:val="0"/>
              <w:widowControl w:val="0"/>
              <w:tabs>
                <w:tab w:val="left" w:pos="6090"/>
              </w:tabs>
              <w:wordWrap/>
              <w:overflowPunct/>
              <w:topLinePunct w:val="0"/>
              <w:bidi w:val="0"/>
              <w:rPr>
                <w:color w:val="auto"/>
                <w:highlight w:val="none"/>
              </w:rPr>
            </w:pPr>
          </w:p>
        </w:tc>
      </w:tr>
      <w:tr w14:paraId="6E3FB0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E999957">
            <w:pPr>
              <w:pStyle w:val="25"/>
              <w:pageBreakBefore w:val="0"/>
              <w:widowControl w:val="0"/>
              <w:tabs>
                <w:tab w:val="left" w:pos="6090"/>
              </w:tabs>
              <w:wordWrap/>
              <w:overflowPunct/>
              <w:topLinePunct w:val="0"/>
              <w:bidi w:val="0"/>
              <w:rPr>
                <w:color w:val="auto"/>
                <w:highlight w:val="none"/>
              </w:rPr>
            </w:pPr>
          </w:p>
        </w:tc>
        <w:tc>
          <w:tcPr>
            <w:tcW w:w="2556" w:type="dxa"/>
          </w:tcPr>
          <w:p w14:paraId="416566C2">
            <w:pPr>
              <w:pStyle w:val="25"/>
              <w:pageBreakBefore w:val="0"/>
              <w:widowControl w:val="0"/>
              <w:tabs>
                <w:tab w:val="left" w:pos="6090"/>
              </w:tabs>
              <w:wordWrap/>
              <w:overflowPunct/>
              <w:topLinePunct w:val="0"/>
              <w:bidi w:val="0"/>
              <w:rPr>
                <w:color w:val="auto"/>
                <w:highlight w:val="none"/>
              </w:rPr>
            </w:pPr>
          </w:p>
        </w:tc>
        <w:tc>
          <w:tcPr>
            <w:tcW w:w="2644" w:type="dxa"/>
          </w:tcPr>
          <w:p w14:paraId="3B1F5902">
            <w:pPr>
              <w:pStyle w:val="25"/>
              <w:pageBreakBefore w:val="0"/>
              <w:widowControl w:val="0"/>
              <w:tabs>
                <w:tab w:val="left" w:pos="6090"/>
              </w:tabs>
              <w:wordWrap/>
              <w:overflowPunct/>
              <w:topLinePunct w:val="0"/>
              <w:bidi w:val="0"/>
              <w:rPr>
                <w:color w:val="auto"/>
                <w:highlight w:val="none"/>
              </w:rPr>
            </w:pPr>
          </w:p>
        </w:tc>
        <w:tc>
          <w:tcPr>
            <w:tcW w:w="1656" w:type="dxa"/>
          </w:tcPr>
          <w:p w14:paraId="75F239E2">
            <w:pPr>
              <w:pStyle w:val="25"/>
              <w:pageBreakBefore w:val="0"/>
              <w:widowControl w:val="0"/>
              <w:tabs>
                <w:tab w:val="left" w:pos="6090"/>
              </w:tabs>
              <w:wordWrap/>
              <w:overflowPunct/>
              <w:topLinePunct w:val="0"/>
              <w:bidi w:val="0"/>
              <w:rPr>
                <w:color w:val="auto"/>
                <w:highlight w:val="none"/>
              </w:rPr>
            </w:pPr>
          </w:p>
        </w:tc>
        <w:tc>
          <w:tcPr>
            <w:tcW w:w="1389" w:type="dxa"/>
          </w:tcPr>
          <w:p w14:paraId="6D63335F">
            <w:pPr>
              <w:pStyle w:val="25"/>
              <w:pageBreakBefore w:val="0"/>
              <w:widowControl w:val="0"/>
              <w:tabs>
                <w:tab w:val="left" w:pos="6090"/>
              </w:tabs>
              <w:wordWrap/>
              <w:overflowPunct/>
              <w:topLinePunct w:val="0"/>
              <w:bidi w:val="0"/>
              <w:rPr>
                <w:color w:val="auto"/>
                <w:highlight w:val="none"/>
              </w:rPr>
            </w:pPr>
          </w:p>
        </w:tc>
      </w:tr>
      <w:tr w14:paraId="5360B0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5CBC7708">
            <w:pPr>
              <w:pStyle w:val="25"/>
              <w:pageBreakBefore w:val="0"/>
              <w:widowControl w:val="0"/>
              <w:tabs>
                <w:tab w:val="left" w:pos="6090"/>
              </w:tabs>
              <w:wordWrap/>
              <w:overflowPunct/>
              <w:topLinePunct w:val="0"/>
              <w:bidi w:val="0"/>
              <w:rPr>
                <w:color w:val="auto"/>
                <w:highlight w:val="none"/>
              </w:rPr>
            </w:pPr>
          </w:p>
        </w:tc>
        <w:tc>
          <w:tcPr>
            <w:tcW w:w="2556" w:type="dxa"/>
          </w:tcPr>
          <w:p w14:paraId="684F2607">
            <w:pPr>
              <w:pStyle w:val="25"/>
              <w:pageBreakBefore w:val="0"/>
              <w:widowControl w:val="0"/>
              <w:tabs>
                <w:tab w:val="left" w:pos="6090"/>
              </w:tabs>
              <w:wordWrap/>
              <w:overflowPunct/>
              <w:topLinePunct w:val="0"/>
              <w:bidi w:val="0"/>
              <w:rPr>
                <w:color w:val="auto"/>
                <w:highlight w:val="none"/>
              </w:rPr>
            </w:pPr>
          </w:p>
        </w:tc>
        <w:tc>
          <w:tcPr>
            <w:tcW w:w="2644" w:type="dxa"/>
          </w:tcPr>
          <w:p w14:paraId="3EDAF3A7">
            <w:pPr>
              <w:pStyle w:val="25"/>
              <w:pageBreakBefore w:val="0"/>
              <w:widowControl w:val="0"/>
              <w:tabs>
                <w:tab w:val="left" w:pos="6090"/>
              </w:tabs>
              <w:wordWrap/>
              <w:overflowPunct/>
              <w:topLinePunct w:val="0"/>
              <w:bidi w:val="0"/>
              <w:rPr>
                <w:color w:val="auto"/>
                <w:highlight w:val="none"/>
              </w:rPr>
            </w:pPr>
          </w:p>
        </w:tc>
        <w:tc>
          <w:tcPr>
            <w:tcW w:w="1656" w:type="dxa"/>
          </w:tcPr>
          <w:p w14:paraId="42D4AA28">
            <w:pPr>
              <w:pStyle w:val="25"/>
              <w:pageBreakBefore w:val="0"/>
              <w:widowControl w:val="0"/>
              <w:tabs>
                <w:tab w:val="left" w:pos="6090"/>
              </w:tabs>
              <w:wordWrap/>
              <w:overflowPunct/>
              <w:topLinePunct w:val="0"/>
              <w:bidi w:val="0"/>
              <w:rPr>
                <w:color w:val="auto"/>
                <w:highlight w:val="none"/>
              </w:rPr>
            </w:pPr>
          </w:p>
        </w:tc>
        <w:tc>
          <w:tcPr>
            <w:tcW w:w="1389" w:type="dxa"/>
          </w:tcPr>
          <w:p w14:paraId="1AF015F7">
            <w:pPr>
              <w:pStyle w:val="25"/>
              <w:pageBreakBefore w:val="0"/>
              <w:widowControl w:val="0"/>
              <w:tabs>
                <w:tab w:val="left" w:pos="6090"/>
              </w:tabs>
              <w:wordWrap/>
              <w:overflowPunct/>
              <w:topLinePunct w:val="0"/>
              <w:bidi w:val="0"/>
              <w:rPr>
                <w:color w:val="auto"/>
                <w:highlight w:val="none"/>
              </w:rPr>
            </w:pPr>
          </w:p>
        </w:tc>
      </w:tr>
      <w:tr w14:paraId="6B15A6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C712E47">
            <w:pPr>
              <w:pStyle w:val="25"/>
              <w:pageBreakBefore w:val="0"/>
              <w:widowControl w:val="0"/>
              <w:tabs>
                <w:tab w:val="left" w:pos="6090"/>
              </w:tabs>
              <w:wordWrap/>
              <w:overflowPunct/>
              <w:topLinePunct w:val="0"/>
              <w:bidi w:val="0"/>
              <w:rPr>
                <w:color w:val="auto"/>
                <w:highlight w:val="none"/>
              </w:rPr>
            </w:pPr>
          </w:p>
        </w:tc>
        <w:tc>
          <w:tcPr>
            <w:tcW w:w="2556" w:type="dxa"/>
          </w:tcPr>
          <w:p w14:paraId="36383391">
            <w:pPr>
              <w:pStyle w:val="25"/>
              <w:pageBreakBefore w:val="0"/>
              <w:widowControl w:val="0"/>
              <w:tabs>
                <w:tab w:val="left" w:pos="6090"/>
              </w:tabs>
              <w:wordWrap/>
              <w:overflowPunct/>
              <w:topLinePunct w:val="0"/>
              <w:bidi w:val="0"/>
              <w:rPr>
                <w:color w:val="auto"/>
                <w:highlight w:val="none"/>
              </w:rPr>
            </w:pPr>
          </w:p>
        </w:tc>
        <w:tc>
          <w:tcPr>
            <w:tcW w:w="2644" w:type="dxa"/>
          </w:tcPr>
          <w:p w14:paraId="04197BCE">
            <w:pPr>
              <w:pStyle w:val="25"/>
              <w:pageBreakBefore w:val="0"/>
              <w:widowControl w:val="0"/>
              <w:tabs>
                <w:tab w:val="left" w:pos="6090"/>
              </w:tabs>
              <w:wordWrap/>
              <w:overflowPunct/>
              <w:topLinePunct w:val="0"/>
              <w:bidi w:val="0"/>
              <w:rPr>
                <w:color w:val="auto"/>
                <w:highlight w:val="none"/>
              </w:rPr>
            </w:pPr>
          </w:p>
        </w:tc>
        <w:tc>
          <w:tcPr>
            <w:tcW w:w="1656" w:type="dxa"/>
          </w:tcPr>
          <w:p w14:paraId="4E43E857">
            <w:pPr>
              <w:pStyle w:val="25"/>
              <w:pageBreakBefore w:val="0"/>
              <w:widowControl w:val="0"/>
              <w:tabs>
                <w:tab w:val="left" w:pos="6090"/>
              </w:tabs>
              <w:wordWrap/>
              <w:overflowPunct/>
              <w:topLinePunct w:val="0"/>
              <w:bidi w:val="0"/>
              <w:rPr>
                <w:color w:val="auto"/>
                <w:highlight w:val="none"/>
              </w:rPr>
            </w:pPr>
          </w:p>
        </w:tc>
        <w:tc>
          <w:tcPr>
            <w:tcW w:w="1389" w:type="dxa"/>
          </w:tcPr>
          <w:p w14:paraId="163FA41B">
            <w:pPr>
              <w:pStyle w:val="25"/>
              <w:pageBreakBefore w:val="0"/>
              <w:widowControl w:val="0"/>
              <w:tabs>
                <w:tab w:val="left" w:pos="6090"/>
              </w:tabs>
              <w:wordWrap/>
              <w:overflowPunct/>
              <w:topLinePunct w:val="0"/>
              <w:bidi w:val="0"/>
              <w:rPr>
                <w:color w:val="auto"/>
                <w:highlight w:val="none"/>
              </w:rPr>
            </w:pPr>
          </w:p>
        </w:tc>
      </w:tr>
      <w:tr w14:paraId="052383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54883616">
            <w:pPr>
              <w:pStyle w:val="25"/>
              <w:pageBreakBefore w:val="0"/>
              <w:widowControl w:val="0"/>
              <w:tabs>
                <w:tab w:val="left" w:pos="6090"/>
              </w:tabs>
              <w:wordWrap/>
              <w:overflowPunct/>
              <w:topLinePunct w:val="0"/>
              <w:bidi w:val="0"/>
              <w:rPr>
                <w:color w:val="auto"/>
                <w:highlight w:val="none"/>
              </w:rPr>
            </w:pPr>
          </w:p>
        </w:tc>
        <w:tc>
          <w:tcPr>
            <w:tcW w:w="2556" w:type="dxa"/>
          </w:tcPr>
          <w:p w14:paraId="14F171CB">
            <w:pPr>
              <w:pStyle w:val="25"/>
              <w:pageBreakBefore w:val="0"/>
              <w:widowControl w:val="0"/>
              <w:tabs>
                <w:tab w:val="left" w:pos="6090"/>
              </w:tabs>
              <w:wordWrap/>
              <w:overflowPunct/>
              <w:topLinePunct w:val="0"/>
              <w:bidi w:val="0"/>
              <w:rPr>
                <w:color w:val="auto"/>
                <w:highlight w:val="none"/>
              </w:rPr>
            </w:pPr>
          </w:p>
        </w:tc>
        <w:tc>
          <w:tcPr>
            <w:tcW w:w="2644" w:type="dxa"/>
          </w:tcPr>
          <w:p w14:paraId="3E1DD599">
            <w:pPr>
              <w:pStyle w:val="25"/>
              <w:pageBreakBefore w:val="0"/>
              <w:widowControl w:val="0"/>
              <w:tabs>
                <w:tab w:val="left" w:pos="6090"/>
              </w:tabs>
              <w:wordWrap/>
              <w:overflowPunct/>
              <w:topLinePunct w:val="0"/>
              <w:bidi w:val="0"/>
              <w:rPr>
                <w:color w:val="auto"/>
                <w:highlight w:val="none"/>
              </w:rPr>
            </w:pPr>
          </w:p>
        </w:tc>
        <w:tc>
          <w:tcPr>
            <w:tcW w:w="1656" w:type="dxa"/>
          </w:tcPr>
          <w:p w14:paraId="050C361C">
            <w:pPr>
              <w:pStyle w:val="25"/>
              <w:pageBreakBefore w:val="0"/>
              <w:widowControl w:val="0"/>
              <w:tabs>
                <w:tab w:val="left" w:pos="6090"/>
              </w:tabs>
              <w:wordWrap/>
              <w:overflowPunct/>
              <w:topLinePunct w:val="0"/>
              <w:bidi w:val="0"/>
              <w:rPr>
                <w:color w:val="auto"/>
                <w:highlight w:val="none"/>
              </w:rPr>
            </w:pPr>
          </w:p>
        </w:tc>
        <w:tc>
          <w:tcPr>
            <w:tcW w:w="1389" w:type="dxa"/>
          </w:tcPr>
          <w:p w14:paraId="5D48012C">
            <w:pPr>
              <w:pStyle w:val="25"/>
              <w:pageBreakBefore w:val="0"/>
              <w:widowControl w:val="0"/>
              <w:tabs>
                <w:tab w:val="left" w:pos="6090"/>
              </w:tabs>
              <w:wordWrap/>
              <w:overflowPunct/>
              <w:topLinePunct w:val="0"/>
              <w:bidi w:val="0"/>
              <w:rPr>
                <w:color w:val="auto"/>
                <w:highlight w:val="none"/>
              </w:rPr>
            </w:pPr>
          </w:p>
        </w:tc>
      </w:tr>
      <w:tr w14:paraId="7E3FF6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0896E03A">
            <w:pPr>
              <w:pStyle w:val="25"/>
              <w:pageBreakBefore w:val="0"/>
              <w:widowControl w:val="0"/>
              <w:tabs>
                <w:tab w:val="left" w:pos="6090"/>
              </w:tabs>
              <w:wordWrap/>
              <w:overflowPunct/>
              <w:topLinePunct w:val="0"/>
              <w:bidi w:val="0"/>
              <w:rPr>
                <w:color w:val="auto"/>
                <w:highlight w:val="none"/>
              </w:rPr>
            </w:pPr>
          </w:p>
        </w:tc>
        <w:tc>
          <w:tcPr>
            <w:tcW w:w="2556" w:type="dxa"/>
          </w:tcPr>
          <w:p w14:paraId="3D8DB7C1">
            <w:pPr>
              <w:pStyle w:val="25"/>
              <w:pageBreakBefore w:val="0"/>
              <w:widowControl w:val="0"/>
              <w:tabs>
                <w:tab w:val="left" w:pos="6090"/>
              </w:tabs>
              <w:wordWrap/>
              <w:overflowPunct/>
              <w:topLinePunct w:val="0"/>
              <w:bidi w:val="0"/>
              <w:rPr>
                <w:color w:val="auto"/>
                <w:highlight w:val="none"/>
              </w:rPr>
            </w:pPr>
          </w:p>
        </w:tc>
        <w:tc>
          <w:tcPr>
            <w:tcW w:w="2644" w:type="dxa"/>
          </w:tcPr>
          <w:p w14:paraId="4876360E">
            <w:pPr>
              <w:pStyle w:val="25"/>
              <w:pageBreakBefore w:val="0"/>
              <w:widowControl w:val="0"/>
              <w:tabs>
                <w:tab w:val="left" w:pos="6090"/>
              </w:tabs>
              <w:wordWrap/>
              <w:overflowPunct/>
              <w:topLinePunct w:val="0"/>
              <w:bidi w:val="0"/>
              <w:rPr>
                <w:color w:val="auto"/>
                <w:highlight w:val="none"/>
              </w:rPr>
            </w:pPr>
          </w:p>
        </w:tc>
        <w:tc>
          <w:tcPr>
            <w:tcW w:w="1656" w:type="dxa"/>
          </w:tcPr>
          <w:p w14:paraId="1666DA63">
            <w:pPr>
              <w:pStyle w:val="25"/>
              <w:pageBreakBefore w:val="0"/>
              <w:widowControl w:val="0"/>
              <w:tabs>
                <w:tab w:val="left" w:pos="6090"/>
              </w:tabs>
              <w:wordWrap/>
              <w:overflowPunct/>
              <w:topLinePunct w:val="0"/>
              <w:bidi w:val="0"/>
              <w:rPr>
                <w:color w:val="auto"/>
                <w:highlight w:val="none"/>
              </w:rPr>
            </w:pPr>
          </w:p>
        </w:tc>
        <w:tc>
          <w:tcPr>
            <w:tcW w:w="1389" w:type="dxa"/>
          </w:tcPr>
          <w:p w14:paraId="6C9C4172">
            <w:pPr>
              <w:pStyle w:val="25"/>
              <w:pageBreakBefore w:val="0"/>
              <w:widowControl w:val="0"/>
              <w:tabs>
                <w:tab w:val="left" w:pos="6090"/>
              </w:tabs>
              <w:wordWrap/>
              <w:overflowPunct/>
              <w:topLinePunct w:val="0"/>
              <w:bidi w:val="0"/>
              <w:rPr>
                <w:color w:val="auto"/>
                <w:highlight w:val="none"/>
              </w:rPr>
            </w:pPr>
          </w:p>
        </w:tc>
      </w:tr>
      <w:tr w14:paraId="2F2DAA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00D07545">
            <w:pPr>
              <w:pStyle w:val="25"/>
              <w:pageBreakBefore w:val="0"/>
              <w:widowControl w:val="0"/>
              <w:tabs>
                <w:tab w:val="left" w:pos="6090"/>
              </w:tabs>
              <w:wordWrap/>
              <w:overflowPunct/>
              <w:topLinePunct w:val="0"/>
              <w:bidi w:val="0"/>
              <w:rPr>
                <w:color w:val="auto"/>
                <w:highlight w:val="none"/>
              </w:rPr>
            </w:pPr>
          </w:p>
        </w:tc>
        <w:tc>
          <w:tcPr>
            <w:tcW w:w="2556" w:type="dxa"/>
          </w:tcPr>
          <w:p w14:paraId="56B16CD1">
            <w:pPr>
              <w:pStyle w:val="25"/>
              <w:pageBreakBefore w:val="0"/>
              <w:widowControl w:val="0"/>
              <w:tabs>
                <w:tab w:val="left" w:pos="6090"/>
              </w:tabs>
              <w:wordWrap/>
              <w:overflowPunct/>
              <w:topLinePunct w:val="0"/>
              <w:bidi w:val="0"/>
              <w:rPr>
                <w:color w:val="auto"/>
                <w:highlight w:val="none"/>
              </w:rPr>
            </w:pPr>
          </w:p>
        </w:tc>
        <w:tc>
          <w:tcPr>
            <w:tcW w:w="2644" w:type="dxa"/>
          </w:tcPr>
          <w:p w14:paraId="0F48AD80">
            <w:pPr>
              <w:pStyle w:val="25"/>
              <w:pageBreakBefore w:val="0"/>
              <w:widowControl w:val="0"/>
              <w:tabs>
                <w:tab w:val="left" w:pos="6090"/>
              </w:tabs>
              <w:wordWrap/>
              <w:overflowPunct/>
              <w:topLinePunct w:val="0"/>
              <w:bidi w:val="0"/>
              <w:rPr>
                <w:color w:val="auto"/>
                <w:highlight w:val="none"/>
              </w:rPr>
            </w:pPr>
          </w:p>
        </w:tc>
        <w:tc>
          <w:tcPr>
            <w:tcW w:w="1656" w:type="dxa"/>
          </w:tcPr>
          <w:p w14:paraId="5CC57F1D">
            <w:pPr>
              <w:pStyle w:val="25"/>
              <w:pageBreakBefore w:val="0"/>
              <w:widowControl w:val="0"/>
              <w:tabs>
                <w:tab w:val="left" w:pos="6090"/>
              </w:tabs>
              <w:wordWrap/>
              <w:overflowPunct/>
              <w:topLinePunct w:val="0"/>
              <w:bidi w:val="0"/>
              <w:rPr>
                <w:color w:val="auto"/>
                <w:highlight w:val="none"/>
              </w:rPr>
            </w:pPr>
          </w:p>
        </w:tc>
        <w:tc>
          <w:tcPr>
            <w:tcW w:w="1389" w:type="dxa"/>
          </w:tcPr>
          <w:p w14:paraId="352B57A7">
            <w:pPr>
              <w:pStyle w:val="25"/>
              <w:pageBreakBefore w:val="0"/>
              <w:widowControl w:val="0"/>
              <w:tabs>
                <w:tab w:val="left" w:pos="6090"/>
              </w:tabs>
              <w:wordWrap/>
              <w:overflowPunct/>
              <w:topLinePunct w:val="0"/>
              <w:bidi w:val="0"/>
              <w:rPr>
                <w:color w:val="auto"/>
                <w:highlight w:val="none"/>
              </w:rPr>
            </w:pPr>
          </w:p>
        </w:tc>
      </w:tr>
      <w:tr w14:paraId="079D4C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1297" w:type="dxa"/>
          </w:tcPr>
          <w:p w14:paraId="27693337">
            <w:pPr>
              <w:pStyle w:val="25"/>
              <w:pageBreakBefore w:val="0"/>
              <w:widowControl w:val="0"/>
              <w:tabs>
                <w:tab w:val="left" w:pos="6090"/>
              </w:tabs>
              <w:wordWrap/>
              <w:overflowPunct/>
              <w:topLinePunct w:val="0"/>
              <w:bidi w:val="0"/>
              <w:rPr>
                <w:color w:val="auto"/>
                <w:highlight w:val="none"/>
              </w:rPr>
            </w:pPr>
          </w:p>
        </w:tc>
        <w:tc>
          <w:tcPr>
            <w:tcW w:w="2556" w:type="dxa"/>
          </w:tcPr>
          <w:p w14:paraId="7CEFA06D">
            <w:pPr>
              <w:pStyle w:val="25"/>
              <w:pageBreakBefore w:val="0"/>
              <w:widowControl w:val="0"/>
              <w:tabs>
                <w:tab w:val="left" w:pos="6090"/>
              </w:tabs>
              <w:wordWrap/>
              <w:overflowPunct/>
              <w:topLinePunct w:val="0"/>
              <w:bidi w:val="0"/>
              <w:rPr>
                <w:color w:val="auto"/>
                <w:highlight w:val="none"/>
              </w:rPr>
            </w:pPr>
          </w:p>
        </w:tc>
        <w:tc>
          <w:tcPr>
            <w:tcW w:w="2644" w:type="dxa"/>
          </w:tcPr>
          <w:p w14:paraId="5C7C5DFF">
            <w:pPr>
              <w:pStyle w:val="25"/>
              <w:pageBreakBefore w:val="0"/>
              <w:widowControl w:val="0"/>
              <w:tabs>
                <w:tab w:val="left" w:pos="6090"/>
              </w:tabs>
              <w:wordWrap/>
              <w:overflowPunct/>
              <w:topLinePunct w:val="0"/>
              <w:bidi w:val="0"/>
              <w:rPr>
                <w:color w:val="auto"/>
                <w:highlight w:val="none"/>
              </w:rPr>
            </w:pPr>
          </w:p>
        </w:tc>
        <w:tc>
          <w:tcPr>
            <w:tcW w:w="1656" w:type="dxa"/>
          </w:tcPr>
          <w:p w14:paraId="45EB3C57">
            <w:pPr>
              <w:pStyle w:val="25"/>
              <w:pageBreakBefore w:val="0"/>
              <w:widowControl w:val="0"/>
              <w:tabs>
                <w:tab w:val="left" w:pos="6090"/>
              </w:tabs>
              <w:wordWrap/>
              <w:overflowPunct/>
              <w:topLinePunct w:val="0"/>
              <w:bidi w:val="0"/>
              <w:rPr>
                <w:color w:val="auto"/>
                <w:highlight w:val="none"/>
              </w:rPr>
            </w:pPr>
          </w:p>
        </w:tc>
        <w:tc>
          <w:tcPr>
            <w:tcW w:w="1389" w:type="dxa"/>
          </w:tcPr>
          <w:p w14:paraId="4CE743A0">
            <w:pPr>
              <w:pStyle w:val="25"/>
              <w:pageBreakBefore w:val="0"/>
              <w:widowControl w:val="0"/>
              <w:tabs>
                <w:tab w:val="left" w:pos="6090"/>
              </w:tabs>
              <w:wordWrap/>
              <w:overflowPunct/>
              <w:topLinePunct w:val="0"/>
              <w:bidi w:val="0"/>
              <w:rPr>
                <w:color w:val="auto"/>
                <w:highlight w:val="none"/>
              </w:rPr>
            </w:pPr>
          </w:p>
        </w:tc>
      </w:tr>
    </w:tbl>
    <w:p w14:paraId="7D1EB212">
      <w:pPr>
        <w:keepNext w:val="0"/>
        <w:keepLines w:val="0"/>
        <w:pageBreakBefore w:val="0"/>
        <w:widowControl w:val="0"/>
        <w:kinsoku w:val="0"/>
        <w:wordWrap/>
        <w:overflowPunct/>
        <w:topLinePunct w:val="0"/>
        <w:autoSpaceDE w:val="0"/>
        <w:autoSpaceDN w:val="0"/>
        <w:bidi w:val="0"/>
        <w:adjustRightInd w:val="0"/>
        <w:snapToGrid w:val="0"/>
        <w:spacing w:line="360" w:lineRule="exact"/>
        <w:ind w:left="122" w:firstLine="480" w:firstLineChars="200"/>
        <w:jc w:val="both"/>
        <w:textAlignment w:val="baseline"/>
        <w:rPr>
          <w:rFonts w:hint="eastAsia" w:ascii="宋体" w:hAnsi="宋体" w:eastAsia="宋体" w:cs="宋体"/>
          <w:color w:val="auto"/>
          <w:spacing w:val="-3"/>
          <w:sz w:val="24"/>
          <w:szCs w:val="24"/>
          <w:highlight w:val="none"/>
          <w:lang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cs="宋体"/>
          <w:color w:val="auto"/>
          <w:sz w:val="24"/>
          <w:highlight w:val="none"/>
        </w:rPr>
        <w:t>有正负偏离须注明，如无偏离只须在上表中填入完全响应即可，不填视为完全响应，不需要把</w:t>
      </w:r>
      <w:r>
        <w:rPr>
          <w:rFonts w:hint="eastAsia" w:ascii="宋体" w:hAnsi="宋体" w:eastAsia="宋体" w:cs="宋体"/>
          <w:color w:val="auto"/>
          <w:sz w:val="24"/>
          <w:highlight w:val="none"/>
          <w:lang w:val="en-US" w:eastAsia="zh-CN"/>
        </w:rPr>
        <w:t>商务</w:t>
      </w:r>
      <w:r>
        <w:rPr>
          <w:rFonts w:hint="eastAsia" w:ascii="宋体" w:hAnsi="宋体" w:cs="宋体"/>
          <w:color w:val="auto"/>
          <w:sz w:val="24"/>
          <w:highlight w:val="none"/>
        </w:rPr>
        <w:t>要求一一列到上表中。</w:t>
      </w:r>
    </w:p>
    <w:p w14:paraId="5E07EF1A">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35770A83">
      <w:pPr>
        <w:pageBreakBefore w:val="0"/>
        <w:widowControl w:val="0"/>
        <w:wordWrap/>
        <w:overflowPunct/>
        <w:topLinePunct w:val="0"/>
        <w:bidi w:val="0"/>
        <w:spacing w:before="78" w:line="219" w:lineRule="auto"/>
        <w:ind w:left="125" w:firstLine="468" w:firstLineChars="200"/>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3264BC73">
      <w:pPr>
        <w:keepNext w:val="0"/>
        <w:keepLines w:val="0"/>
        <w:pageBreakBefore w:val="0"/>
        <w:widowControl w:val="0"/>
        <w:tabs>
          <w:tab w:val="left" w:pos="6090"/>
        </w:tabs>
        <w:kinsoku w:val="0"/>
        <w:wordWrap/>
        <w:overflowPunct/>
        <w:topLinePunct w:val="0"/>
        <w:autoSpaceDE w:val="0"/>
        <w:autoSpaceDN w:val="0"/>
        <w:bidi w:val="0"/>
        <w:adjustRightInd w:val="0"/>
        <w:snapToGrid w:val="0"/>
        <w:spacing w:line="360" w:lineRule="auto"/>
        <w:ind w:left="543"/>
        <w:textAlignment w:val="baseline"/>
        <w:outlineLvl w:val="0"/>
        <w:rPr>
          <w:rFonts w:hint="default" w:ascii="宋体" w:hAnsi="宋体" w:eastAsia="宋体" w:cs="宋体"/>
          <w:color w:val="auto"/>
          <w:spacing w:val="-1"/>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50252EA3">
      <w:pPr>
        <w:pStyle w:val="26"/>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方正小标宋简体" w:hAnsi="方正小标宋简体" w:eastAsia="方正小标宋简体" w:cs="方正小标宋简体"/>
          <w:b/>
          <w:bCs/>
          <w:color w:val="auto"/>
          <w:spacing w:val="0"/>
          <w:w w:val="100"/>
          <w:position w:val="0"/>
          <w:sz w:val="24"/>
          <w:szCs w:val="24"/>
          <w:highlight w:val="none"/>
        </w:rPr>
      </w:pPr>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格式 7</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cs="宋体"/>
          <w:color w:val="auto"/>
          <w:spacing w:val="-1"/>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应当提交的资格证明文件</w:t>
      </w:r>
    </w:p>
    <w:p w14:paraId="3C861136">
      <w:pPr>
        <w:pStyle w:val="26"/>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z w:val="24"/>
          <w:szCs w:val="24"/>
          <w:highlight w:val="none"/>
        </w:rPr>
      </w:pPr>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 xml:space="preserve">格式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cs="宋体"/>
          <w:color w:val="auto"/>
          <w:spacing w:val="-2"/>
          <w:sz w:val="24"/>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r>
        <w:rPr>
          <w:rFonts w:hint="eastAsia" w:ascii="宋体" w:hAnsi="宋体" w:eastAsia="宋体" w:cs="宋体"/>
          <w:b/>
          <w:bCs/>
          <w:color w:val="auto"/>
          <w:sz w:val="24"/>
          <w:szCs w:val="24"/>
          <w:highlight w:val="none"/>
          <w:lang w:val="en-US" w:eastAsia="zh-CN"/>
        </w:rPr>
        <w:t xml:space="preserve"> </w:t>
      </w:r>
    </w:p>
    <w:p w14:paraId="3FC62CBB">
      <w:pPr>
        <w:pStyle w:val="27"/>
        <w:keepNext w:val="0"/>
        <w:keepLines w:val="0"/>
        <w:pageBreakBefore w:val="0"/>
        <w:widowControl w:val="0"/>
        <w:shd w:val="clear" w:color="auto" w:fill="auto"/>
        <w:wordWrap/>
        <w:overflowPunct/>
        <w:topLinePunct w:val="0"/>
        <w:bidi w:val="0"/>
        <w:spacing w:before="0" w:after="0" w:line="610" w:lineRule="exact"/>
        <w:ind w:left="0" w:right="0" w:firstLine="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致（采购人或政府采购代理机构）:</w:t>
      </w:r>
      <w:r>
        <w:rPr>
          <w:rFonts w:hint="eastAsia"/>
          <w:color w:val="auto"/>
          <w:spacing w:val="0"/>
          <w:w w:val="100"/>
          <w:position w:val="0"/>
          <w:sz w:val="24"/>
          <w:szCs w:val="24"/>
          <w:highlight w:val="none"/>
          <w:u w:val="single"/>
          <w:lang w:val="en-US" w:eastAsia="zh-CN"/>
        </w:rPr>
        <w:t xml:space="preserve">                          </w:t>
      </w:r>
    </w:p>
    <w:p w14:paraId="77DCE231">
      <w:pPr>
        <w:pStyle w:val="27"/>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单位名称（自然人姓名）:</w:t>
      </w:r>
      <w:r>
        <w:rPr>
          <w:rFonts w:hint="eastAsia"/>
          <w:color w:val="auto"/>
          <w:spacing w:val="0"/>
          <w:w w:val="100"/>
          <w:position w:val="0"/>
          <w:sz w:val="24"/>
          <w:szCs w:val="24"/>
          <w:highlight w:val="none"/>
          <w:u w:val="single"/>
          <w:lang w:val="en-US" w:eastAsia="zh-CN"/>
        </w:rPr>
        <w:t xml:space="preserve">                              </w:t>
      </w:r>
    </w:p>
    <w:p w14:paraId="640B94EB">
      <w:pPr>
        <w:pStyle w:val="27"/>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统一社会信用代码（身份证号码）：</w:t>
      </w:r>
      <w:r>
        <w:rPr>
          <w:rFonts w:hint="eastAsia"/>
          <w:color w:val="auto"/>
          <w:spacing w:val="0"/>
          <w:w w:val="100"/>
          <w:position w:val="0"/>
          <w:sz w:val="24"/>
          <w:szCs w:val="24"/>
          <w:highlight w:val="none"/>
          <w:u w:val="single"/>
          <w:lang w:val="en-US" w:eastAsia="zh-CN"/>
        </w:rPr>
        <w:t xml:space="preserve">                              </w:t>
      </w:r>
    </w:p>
    <w:p w14:paraId="2E3AD79E">
      <w:pPr>
        <w:pStyle w:val="27"/>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法定代表人（负责人）：</w:t>
      </w:r>
      <w:r>
        <w:rPr>
          <w:rFonts w:hint="eastAsia"/>
          <w:color w:val="auto"/>
          <w:spacing w:val="0"/>
          <w:w w:val="100"/>
          <w:position w:val="0"/>
          <w:sz w:val="24"/>
          <w:szCs w:val="24"/>
          <w:highlight w:val="none"/>
          <w:u w:val="single"/>
          <w:lang w:val="en-US" w:eastAsia="zh-CN"/>
        </w:rPr>
        <w:t xml:space="preserve">                        </w:t>
      </w:r>
    </w:p>
    <w:p w14:paraId="2D81AD5A">
      <w:pPr>
        <w:pStyle w:val="27"/>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联系地址和电话：</w:t>
      </w:r>
      <w:r>
        <w:rPr>
          <w:rFonts w:hint="eastAsia"/>
          <w:color w:val="auto"/>
          <w:spacing w:val="0"/>
          <w:w w:val="100"/>
          <w:position w:val="0"/>
          <w:sz w:val="24"/>
          <w:szCs w:val="24"/>
          <w:highlight w:val="none"/>
          <w:u w:val="single"/>
          <w:lang w:val="en-US" w:eastAsia="zh-CN"/>
        </w:rPr>
        <w:t xml:space="preserve">                              </w:t>
      </w:r>
    </w:p>
    <w:p w14:paraId="1B8C786A">
      <w:pPr>
        <w:pStyle w:val="27"/>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19A9CF92">
      <w:pPr>
        <w:pStyle w:val="27"/>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（一）我单位（本人）符合采购文件要求以及《中华人民共和国政府采购法》第二十二条规定的条件：</w:t>
      </w:r>
    </w:p>
    <w:p w14:paraId="35C8EBA8">
      <w:pPr>
        <w:pStyle w:val="27"/>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1、</w:t>
      </w:r>
      <w:r>
        <w:rPr>
          <w:b w:val="0"/>
          <w:bCs w:val="0"/>
          <w:i w:val="0"/>
          <w:iCs w:val="0"/>
          <w:smallCaps w:val="0"/>
          <w:strike w:val="0"/>
          <w:color w:val="auto"/>
          <w:spacing w:val="0"/>
          <w:w w:val="100"/>
          <w:position w:val="0"/>
          <w:sz w:val="24"/>
          <w:szCs w:val="24"/>
          <w:highlight w:val="none"/>
        </w:rPr>
        <w:t>具有独立承担民事责任的能力；</w:t>
      </w:r>
    </w:p>
    <w:p w14:paraId="259AB9DB">
      <w:pPr>
        <w:pStyle w:val="27"/>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2、</w:t>
      </w:r>
      <w:r>
        <w:rPr>
          <w:b w:val="0"/>
          <w:bCs w:val="0"/>
          <w:i w:val="0"/>
          <w:iCs w:val="0"/>
          <w:smallCaps w:val="0"/>
          <w:strike w:val="0"/>
          <w:color w:val="auto"/>
          <w:spacing w:val="0"/>
          <w:w w:val="100"/>
          <w:position w:val="0"/>
          <w:sz w:val="24"/>
          <w:szCs w:val="24"/>
          <w:highlight w:val="none"/>
        </w:rPr>
        <w:t>具有良好的商业信誉和健全的财务会计制度；</w:t>
      </w:r>
    </w:p>
    <w:p w14:paraId="4645A75A">
      <w:pPr>
        <w:pStyle w:val="27"/>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3、</w:t>
      </w:r>
      <w:r>
        <w:rPr>
          <w:b w:val="0"/>
          <w:bCs w:val="0"/>
          <w:i w:val="0"/>
          <w:iCs w:val="0"/>
          <w:smallCaps w:val="0"/>
          <w:strike w:val="0"/>
          <w:color w:val="auto"/>
          <w:spacing w:val="0"/>
          <w:w w:val="100"/>
          <w:position w:val="0"/>
          <w:sz w:val="24"/>
          <w:szCs w:val="24"/>
          <w:highlight w:val="none"/>
        </w:rPr>
        <w:t>具有履行合同所必需的设备和专业技术能力；</w:t>
      </w:r>
    </w:p>
    <w:p w14:paraId="79D74EC8">
      <w:pPr>
        <w:pStyle w:val="27"/>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4、</w:t>
      </w:r>
      <w:r>
        <w:rPr>
          <w:b w:val="0"/>
          <w:bCs w:val="0"/>
          <w:i w:val="0"/>
          <w:iCs w:val="0"/>
          <w:smallCaps w:val="0"/>
          <w:strike w:val="0"/>
          <w:color w:val="auto"/>
          <w:spacing w:val="0"/>
          <w:w w:val="100"/>
          <w:position w:val="0"/>
          <w:sz w:val="24"/>
          <w:szCs w:val="24"/>
          <w:highlight w:val="none"/>
        </w:rPr>
        <w:t>有依法缴纳税收和社会保障资金的良好记录；</w:t>
      </w:r>
    </w:p>
    <w:p w14:paraId="1B4B3111">
      <w:pPr>
        <w:pStyle w:val="27"/>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5、</w:t>
      </w:r>
      <w:r>
        <w:rPr>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4BE22B48">
      <w:pPr>
        <w:pStyle w:val="27"/>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6、</w:t>
      </w:r>
      <w:r>
        <w:rPr>
          <w:b w:val="0"/>
          <w:bCs w:val="0"/>
          <w:i w:val="0"/>
          <w:iCs w:val="0"/>
          <w:smallCaps w:val="0"/>
          <w:strike w:val="0"/>
          <w:color w:val="auto"/>
          <w:spacing w:val="0"/>
          <w:w w:val="100"/>
          <w:position w:val="0"/>
          <w:sz w:val="24"/>
          <w:szCs w:val="24"/>
          <w:highlight w:val="none"/>
        </w:rPr>
        <w:t>符合法律、行政法规规定的其他条件。</w:t>
      </w:r>
    </w:p>
    <w:p w14:paraId="7EA91D2A">
      <w:pPr>
        <w:pStyle w:val="27"/>
        <w:keepNext w:val="0"/>
        <w:keepLines w:val="0"/>
        <w:pageBreakBefore w:val="0"/>
        <w:widowControl w:val="0"/>
        <w:shd w:val="clear" w:color="auto" w:fill="auto"/>
        <w:wordWrap/>
        <w:overflowPunct/>
        <w:topLinePunct w:val="0"/>
        <w:bidi w:val="0"/>
        <w:spacing w:before="0" w:after="0" w:line="653"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（二）我单位（本人）未被列入严重失信主体名单、失信被执行人、</w:t>
      </w:r>
      <w:r>
        <w:rPr>
          <w:rFonts w:hint="eastAsia"/>
          <w:color w:val="auto"/>
          <w:spacing w:val="0"/>
          <w:w w:val="100"/>
          <w:position w:val="0"/>
          <w:sz w:val="24"/>
          <w:szCs w:val="24"/>
          <w:highlight w:val="none"/>
          <w:lang w:val="en-US" w:eastAsia="zh-CN"/>
        </w:rPr>
        <w:t>税收违法黑名单</w:t>
      </w:r>
      <w:r>
        <w:rPr>
          <w:rFonts w:hint="eastAsia"/>
          <w:color w:val="auto"/>
          <w:spacing w:val="0"/>
          <w:w w:val="100"/>
          <w:position w:val="0"/>
          <w:sz w:val="24"/>
          <w:szCs w:val="24"/>
          <w:highlight w:val="none"/>
          <w:lang w:eastAsia="zh-CN"/>
        </w:rPr>
        <w:t>（</w:t>
      </w:r>
      <w:r>
        <w:rPr>
          <w:rFonts w:hint="eastAsia"/>
          <w:color w:val="auto"/>
          <w:spacing w:val="0"/>
          <w:w w:val="100"/>
          <w:position w:val="0"/>
          <w:sz w:val="24"/>
          <w:szCs w:val="24"/>
          <w:highlight w:val="none"/>
          <w:lang w:val="en-US" w:eastAsia="zh-CN"/>
        </w:rPr>
        <w:t>重大</w:t>
      </w:r>
      <w:r>
        <w:rPr>
          <w:color w:val="auto"/>
          <w:spacing w:val="0"/>
          <w:w w:val="100"/>
          <w:position w:val="0"/>
          <w:sz w:val="24"/>
          <w:szCs w:val="24"/>
          <w:highlight w:val="none"/>
        </w:rPr>
        <w:t>税收违法</w:t>
      </w:r>
      <w:r>
        <w:rPr>
          <w:rFonts w:hint="eastAsia"/>
          <w:color w:val="auto"/>
          <w:spacing w:val="0"/>
          <w:w w:val="100"/>
          <w:position w:val="0"/>
          <w:sz w:val="24"/>
          <w:szCs w:val="24"/>
          <w:highlight w:val="none"/>
          <w:lang w:val="en-US" w:eastAsia="zh-CN"/>
        </w:rPr>
        <w:t>失信主体）</w:t>
      </w:r>
      <w:r>
        <w:rPr>
          <w:color w:val="auto"/>
          <w:spacing w:val="0"/>
          <w:w w:val="100"/>
          <w:position w:val="0"/>
          <w:sz w:val="24"/>
          <w:szCs w:val="24"/>
          <w:highlight w:val="none"/>
        </w:rPr>
        <w:t>、政府采购严重违法失信行为记录名单。</w:t>
      </w:r>
    </w:p>
    <w:p w14:paraId="0A5CBB6D">
      <w:pPr>
        <w:pStyle w:val="27"/>
        <w:keepNext w:val="0"/>
        <w:keepLines w:val="0"/>
        <w:pageBreakBefore w:val="0"/>
        <w:widowControl w:val="0"/>
        <w:shd w:val="clear" w:color="auto" w:fill="auto"/>
        <w:wordWrap/>
        <w:overflowPunct/>
        <w:topLinePunct w:val="0"/>
        <w:bidi w:val="0"/>
        <w:spacing w:before="0" w:after="580" w:line="605"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color w:val="auto"/>
          <w:spacing w:val="0"/>
          <w:w w:val="100"/>
          <w:position w:val="0"/>
          <w:sz w:val="24"/>
          <w:szCs w:val="24"/>
          <w:highlight w:val="none"/>
          <w:lang w:val="zh-CN" w:eastAsia="zh-CN" w:bidi="zh-CN"/>
        </w:rPr>
        <w:t>“提供</w:t>
      </w:r>
      <w:r>
        <w:rPr>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color w:val="auto"/>
          <w:spacing w:val="0"/>
          <w:w w:val="100"/>
          <w:position w:val="0"/>
          <w:sz w:val="24"/>
          <w:szCs w:val="24"/>
          <w:highlight w:val="none"/>
          <w:lang w:val="zh-CN" w:eastAsia="zh-CN" w:bidi="zh-CN"/>
        </w:rPr>
        <w:t>“处</w:t>
      </w:r>
      <w:r>
        <w:rPr>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6B7C9746">
      <w:pPr>
        <w:pStyle w:val="27"/>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z w:val="24"/>
          <w:szCs w:val="24"/>
          <w:highlight w:val="none"/>
          <w:u w:val="single"/>
          <w:lang w:val="en-US" w:eastAsia="zh-CN"/>
        </w:rPr>
      </w:pPr>
      <w:r>
        <w:rPr>
          <w:color w:val="auto"/>
          <w:spacing w:val="0"/>
          <w:w w:val="100"/>
          <w:position w:val="0"/>
          <w:sz w:val="24"/>
          <w:szCs w:val="24"/>
          <w:highlight w:val="none"/>
        </w:rPr>
        <w:t>供应商名称（单位公章）：</w:t>
      </w:r>
      <w:r>
        <w:rPr>
          <w:rFonts w:hint="eastAsia"/>
          <w:color w:val="auto"/>
          <w:spacing w:val="0"/>
          <w:w w:val="100"/>
          <w:position w:val="0"/>
          <w:sz w:val="24"/>
          <w:szCs w:val="24"/>
          <w:highlight w:val="none"/>
          <w:u w:val="single"/>
          <w:lang w:val="en-US" w:eastAsia="zh-CN"/>
        </w:rPr>
        <w:t xml:space="preserve">                       </w:t>
      </w:r>
    </w:p>
    <w:p w14:paraId="6C894009">
      <w:pPr>
        <w:pStyle w:val="27"/>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z w:val="24"/>
          <w:szCs w:val="24"/>
          <w:highlight w:val="none"/>
          <w:u w:val="single"/>
          <w:lang w:val="en-US" w:eastAsia="zh-CN"/>
        </w:rPr>
      </w:pPr>
      <w:r>
        <w:rPr>
          <w:color w:val="auto"/>
          <w:spacing w:val="0"/>
          <w:w w:val="100"/>
          <w:position w:val="0"/>
          <w:sz w:val="24"/>
          <w:szCs w:val="24"/>
          <w:highlight w:val="none"/>
        </w:rPr>
        <w:t>或自然人（签字）：</w:t>
      </w:r>
      <w:r>
        <w:rPr>
          <w:rFonts w:hint="eastAsia"/>
          <w:color w:val="auto"/>
          <w:spacing w:val="0"/>
          <w:w w:val="100"/>
          <w:position w:val="0"/>
          <w:sz w:val="24"/>
          <w:szCs w:val="24"/>
          <w:highlight w:val="none"/>
          <w:u w:val="single"/>
          <w:lang w:val="en-US" w:eastAsia="zh-CN"/>
        </w:rPr>
        <w:t xml:space="preserve">                          </w:t>
      </w:r>
    </w:p>
    <w:p w14:paraId="381D2B1A">
      <w:pPr>
        <w:pStyle w:val="27"/>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color w:val="auto"/>
          <w:spacing w:val="0"/>
          <w:w w:val="100"/>
          <w:position w:val="0"/>
          <w:sz w:val="24"/>
          <w:szCs w:val="24"/>
          <w:highlight w:val="none"/>
          <w:lang w:val="en-US" w:eastAsia="zh-CN"/>
        </w:rPr>
      </w:pPr>
    </w:p>
    <w:p w14:paraId="4F353E1F">
      <w:pPr>
        <w:pStyle w:val="27"/>
        <w:keepNext w:val="0"/>
        <w:keepLines w:val="0"/>
        <w:pageBreakBefore w:val="0"/>
        <w:widowControl w:val="0"/>
        <w:shd w:val="clear" w:color="auto" w:fill="auto"/>
        <w:wordWrap/>
        <w:overflowPunct/>
        <w:topLinePunct w:val="0"/>
        <w:bidi w:val="0"/>
        <w:spacing w:before="0" w:after="520" w:line="605" w:lineRule="exact"/>
        <w:ind w:left="0" w:right="0" w:firstLine="0"/>
        <w:jc w:val="center"/>
        <w:rPr>
          <w:color w:val="auto"/>
          <w:sz w:val="24"/>
          <w:szCs w:val="24"/>
          <w:highlight w:val="none"/>
        </w:rPr>
      </w:pPr>
      <w:r>
        <w:rPr>
          <w:rFonts w:hint="eastAsia"/>
          <w:color w:val="auto"/>
          <w:spacing w:val="0"/>
          <w:w w:val="100"/>
          <w:position w:val="0"/>
          <w:sz w:val="24"/>
          <w:szCs w:val="24"/>
          <w:highlight w:val="none"/>
          <w:u w:val="none"/>
          <w:lang w:val="en-US" w:eastAsia="zh-CN"/>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年</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u w:val="single"/>
        </w:rPr>
        <w:t xml:space="preserve"> </w:t>
      </w:r>
      <w:r>
        <w:rPr>
          <w:color w:val="auto"/>
          <w:spacing w:val="0"/>
          <w:w w:val="100"/>
          <w:position w:val="0"/>
          <w:sz w:val="24"/>
          <w:szCs w:val="24"/>
          <w:highlight w:val="none"/>
        </w:rPr>
        <w:t>月</w:t>
      </w:r>
      <w:r>
        <w:rPr>
          <w:color w:val="auto"/>
          <w:spacing w:val="0"/>
          <w:w w:val="100"/>
          <w:position w:val="0"/>
          <w:sz w:val="24"/>
          <w:szCs w:val="24"/>
          <w:highlight w:val="none"/>
          <w:u w:val="single"/>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日</w:t>
      </w:r>
    </w:p>
    <w:p w14:paraId="337AE987">
      <w:pPr>
        <w:pStyle w:val="28"/>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ascii="宋体" w:hAnsi="宋体" w:eastAsia="宋体" w:cs="宋体"/>
          <w:b w:val="0"/>
          <w:bCs w:val="0"/>
          <w:color w:val="auto"/>
          <w:spacing w:val="0"/>
          <w:w w:val="100"/>
          <w:position w:val="0"/>
          <w:sz w:val="24"/>
          <w:szCs w:val="24"/>
          <w:highlight w:val="none"/>
        </w:rPr>
        <w:t>注:</w:t>
      </w:r>
    </w:p>
    <w:p w14:paraId="518DE3EA">
      <w:pPr>
        <w:pStyle w:val="28"/>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hint="eastAsia" w:cs="宋体"/>
          <w:b w:val="0"/>
          <w:bCs w:val="0"/>
          <w:color w:val="auto"/>
          <w:spacing w:val="0"/>
          <w:w w:val="100"/>
          <w:position w:val="0"/>
          <w:sz w:val="24"/>
          <w:szCs w:val="24"/>
          <w:highlight w:val="none"/>
          <w:lang w:val="en-US" w:eastAsia="zh-CN"/>
        </w:rPr>
        <w:t>1、</w:t>
      </w:r>
      <w:r>
        <w:rPr>
          <w:rFonts w:ascii="宋体" w:hAnsi="宋体" w:eastAsia="宋体" w:cs="宋体"/>
          <w:b w:val="0"/>
          <w:bCs w:val="0"/>
          <w:color w:val="auto"/>
          <w:spacing w:val="0"/>
          <w:w w:val="100"/>
          <w:position w:val="0"/>
          <w:sz w:val="24"/>
          <w:szCs w:val="24"/>
          <w:highlight w:val="none"/>
        </w:rPr>
        <w:t>我单位（本人）专指参加政府采购活动的供应商（含自然人）</w:t>
      </w:r>
    </w:p>
    <w:p w14:paraId="784C20E4">
      <w:pPr>
        <w:pageBreakBefore w:val="0"/>
        <w:widowControl w:val="0"/>
        <w:wordWrap/>
        <w:overflowPunct/>
        <w:topLinePunct w:val="0"/>
        <w:bidi w:val="0"/>
        <w:spacing w:line="420" w:lineRule="exact"/>
        <w:ind w:left="13" w:hanging="12" w:hangingChars="5"/>
        <w:jc w:val="both"/>
        <w:rPr>
          <w:rFonts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ascii="宋体" w:hAnsi="宋体" w:eastAsia="宋体" w:cs="宋体"/>
          <w:b w:val="0"/>
          <w:bCs w:val="0"/>
          <w:color w:val="auto"/>
          <w:spacing w:val="0"/>
          <w:w w:val="100"/>
          <w:position w:val="0"/>
          <w:sz w:val="24"/>
          <w:szCs w:val="24"/>
          <w:highlight w:val="none"/>
        </w:rPr>
        <w:t>供应商须在</w:t>
      </w:r>
      <w:r>
        <w:rPr>
          <w:rFonts w:hint="eastAsia" w:ascii="宋体" w:hAnsi="宋体" w:eastAsia="宋体" w:cs="宋体"/>
          <w:b w:val="0"/>
          <w:bCs w:val="0"/>
          <w:color w:val="auto"/>
          <w:spacing w:val="0"/>
          <w:w w:val="100"/>
          <w:position w:val="0"/>
          <w:sz w:val="24"/>
          <w:szCs w:val="24"/>
          <w:highlight w:val="none"/>
          <w:lang w:eastAsia="zh-CN"/>
        </w:rPr>
        <w:t>响应文件</w:t>
      </w:r>
      <w:r>
        <w:rPr>
          <w:rFonts w:ascii="宋体" w:hAnsi="宋体" w:eastAsia="宋体" w:cs="宋体"/>
          <w:b w:val="0"/>
          <w:bCs w:val="0"/>
          <w:color w:val="auto"/>
          <w:spacing w:val="0"/>
          <w:w w:val="100"/>
          <w:position w:val="0"/>
          <w:sz w:val="24"/>
          <w:szCs w:val="24"/>
          <w:highlight w:val="none"/>
        </w:rPr>
        <w:t>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ascii="宋体" w:hAnsi="宋体" w:eastAsia="宋体" w:cs="宋体"/>
          <w:b w:val="0"/>
          <w:bCs w:val="0"/>
          <w:color w:val="auto"/>
          <w:spacing w:val="0"/>
          <w:w w:val="100"/>
          <w:position w:val="0"/>
          <w:sz w:val="24"/>
          <w:szCs w:val="24"/>
          <w:highlight w:val="none"/>
        </w:rPr>
        <w:t>述承诺函又未提供对应事项证明材料的，视为未实质响应</w:t>
      </w:r>
      <w:r>
        <w:rPr>
          <w:rFonts w:hint="eastAsia" w:ascii="宋体" w:hAnsi="宋体" w:eastAsia="宋体" w:cs="宋体"/>
          <w:b w:val="0"/>
          <w:bCs w:val="0"/>
          <w:color w:val="auto"/>
          <w:spacing w:val="0"/>
          <w:w w:val="100"/>
          <w:position w:val="0"/>
          <w:sz w:val="24"/>
          <w:szCs w:val="24"/>
          <w:highlight w:val="none"/>
          <w:lang w:val="en-US" w:eastAsia="zh-CN"/>
        </w:rPr>
        <w:t>磋商</w:t>
      </w:r>
      <w:r>
        <w:rPr>
          <w:rFonts w:ascii="宋体" w:hAnsi="宋体" w:eastAsia="宋体" w:cs="宋体"/>
          <w:b w:val="0"/>
          <w:bCs w:val="0"/>
          <w:color w:val="auto"/>
          <w:spacing w:val="0"/>
          <w:w w:val="100"/>
          <w:position w:val="0"/>
          <w:sz w:val="24"/>
          <w:szCs w:val="24"/>
          <w:highlight w:val="none"/>
        </w:rPr>
        <w:t>文件要求，</w:t>
      </w:r>
      <w:r>
        <w:rPr>
          <w:rFonts w:ascii="宋体" w:hAnsi="宋体" w:eastAsia="宋体" w:cs="宋体"/>
          <w:b/>
          <w:bCs/>
          <w:color w:val="auto"/>
          <w:spacing w:val="0"/>
          <w:w w:val="100"/>
          <w:position w:val="0"/>
          <w:sz w:val="24"/>
          <w:szCs w:val="24"/>
          <w:highlight w:val="none"/>
        </w:rPr>
        <w:t>按无效</w:t>
      </w:r>
      <w:r>
        <w:rPr>
          <w:rFonts w:hint="eastAsia" w:ascii="宋体" w:hAnsi="宋体" w:eastAsia="宋体" w:cs="宋体"/>
          <w:b/>
          <w:bCs/>
          <w:color w:val="auto"/>
          <w:spacing w:val="0"/>
          <w:w w:val="100"/>
          <w:position w:val="0"/>
          <w:sz w:val="24"/>
          <w:szCs w:val="24"/>
          <w:highlight w:val="none"/>
          <w:lang w:val="en-US" w:eastAsia="zh-CN"/>
        </w:rPr>
        <w:t>响应</w:t>
      </w:r>
      <w:r>
        <w:rPr>
          <w:rFonts w:ascii="宋体" w:hAnsi="宋体" w:eastAsia="宋体" w:cs="宋体"/>
          <w:b/>
          <w:bCs/>
          <w:color w:val="auto"/>
          <w:spacing w:val="0"/>
          <w:w w:val="100"/>
          <w:position w:val="0"/>
          <w:sz w:val="24"/>
          <w:szCs w:val="24"/>
          <w:highlight w:val="none"/>
        </w:rPr>
        <w:t>处理</w:t>
      </w:r>
      <w:r>
        <w:rPr>
          <w:rFonts w:hint="eastAsia" w:ascii="宋体" w:hAnsi="宋体" w:eastAsia="宋体" w:cs="宋体"/>
          <w:b w:val="0"/>
          <w:bCs w:val="0"/>
          <w:color w:val="auto"/>
          <w:spacing w:val="0"/>
          <w:w w:val="100"/>
          <w:position w:val="0"/>
          <w:sz w:val="24"/>
          <w:szCs w:val="24"/>
          <w:highlight w:val="none"/>
          <w:lang w:eastAsia="zh-CN"/>
        </w:rPr>
        <w:t>。</w:t>
      </w:r>
    </w:p>
    <w:p w14:paraId="46595529">
      <w:pPr>
        <w:pageBreakBefore w:val="0"/>
        <w:widowControl w:val="0"/>
        <w:wordWrap/>
        <w:overflowPunct/>
        <w:topLinePunct w:val="0"/>
        <w:bidi w:val="0"/>
        <w:spacing w:line="420" w:lineRule="exact"/>
        <w:ind w:left="13" w:hanging="12" w:hangingChars="5"/>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w:t>
      </w:r>
      <w:r>
        <w:rPr>
          <w:rFonts w:hint="eastAsia" w:ascii="宋体" w:hAnsi="宋体" w:eastAsia="宋体" w:cs="宋体"/>
          <w:b w:val="0"/>
          <w:bCs w:val="0"/>
          <w:color w:val="auto"/>
          <w:spacing w:val="0"/>
          <w:w w:val="100"/>
          <w:position w:val="0"/>
          <w:sz w:val="24"/>
          <w:szCs w:val="24"/>
          <w:highlight w:val="none"/>
          <w:lang w:val="en-US" w:eastAsia="zh-CN"/>
        </w:rPr>
        <w:t>成交</w:t>
      </w:r>
      <w:r>
        <w:rPr>
          <w:rFonts w:hint="eastAsia" w:ascii="宋体" w:hAnsi="宋体" w:eastAsia="宋体" w:cs="宋体"/>
          <w:b w:val="0"/>
          <w:bCs w:val="0"/>
          <w:color w:val="auto"/>
          <w:spacing w:val="0"/>
          <w:w w:val="100"/>
          <w:position w:val="0"/>
          <w:sz w:val="24"/>
          <w:szCs w:val="24"/>
          <w:highlight w:val="none"/>
        </w:rPr>
        <w:t>结果后、签订政府采购合同前, 核实</w:t>
      </w:r>
      <w:r>
        <w:rPr>
          <w:rFonts w:hint="eastAsia" w:ascii="宋体" w:hAnsi="宋体" w:eastAsia="宋体" w:cs="宋体"/>
          <w:b w:val="0"/>
          <w:bCs w:val="0"/>
          <w:color w:val="auto"/>
          <w:spacing w:val="0"/>
          <w:w w:val="100"/>
          <w:position w:val="0"/>
          <w:sz w:val="24"/>
          <w:szCs w:val="24"/>
          <w:highlight w:val="none"/>
          <w:lang w:val="en-US" w:eastAsia="zh-CN"/>
        </w:rPr>
        <w:t>成交</w:t>
      </w:r>
      <w:r>
        <w:rPr>
          <w:rFonts w:hint="eastAsia" w:ascii="宋体" w:hAnsi="宋体" w:eastAsia="宋体" w:cs="宋体"/>
          <w:b w:val="0"/>
          <w:bCs w:val="0"/>
          <w:color w:val="auto"/>
          <w:spacing w:val="0"/>
          <w:w w:val="100"/>
          <w:position w:val="0"/>
          <w:sz w:val="24"/>
          <w:szCs w:val="24"/>
          <w:highlight w:val="none"/>
        </w:rPr>
        <w:t>供应商所作信用承诺事项的真实性。</w:t>
      </w:r>
    </w:p>
    <w:p w14:paraId="7542D1E6">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8" w:type="default"/>
          <w:pgSz w:w="11906" w:h="16839"/>
          <w:pgMar w:top="1440" w:right="1800" w:bottom="1440" w:left="1800" w:header="0" w:footer="994" w:gutter="0"/>
          <w:pgNumType w:fmt="decimal"/>
          <w:cols w:space="720" w:num="1"/>
        </w:sectPr>
      </w:pPr>
    </w:p>
    <w:p w14:paraId="6B754CCE">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sz w:val="24"/>
          <w:szCs w:val="24"/>
          <w:highlight w:val="none"/>
          <w:lang w:val="en-US" w:eastAsia="zh-CN"/>
        </w:rPr>
      </w:pPr>
      <w:bookmarkStart w:id="5" w:name="bookmark61"/>
      <w:bookmarkEnd w:id="5"/>
      <w:bookmarkStart w:id="6" w:name="bookmark60"/>
      <w:bookmarkEnd w:id="6"/>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供应商</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r>
        <w:rPr>
          <w:rFonts w:hint="eastAsia" w:ascii="宋体" w:hAnsi="宋体" w:eastAsia="宋体" w:cs="宋体"/>
          <w:b/>
          <w:bCs/>
          <w:color w:val="auto"/>
          <w:spacing w:val="0"/>
          <w:sz w:val="24"/>
          <w:szCs w:val="24"/>
          <w:highlight w:val="none"/>
          <w:lang w:val="en-US" w:eastAsia="zh-CN"/>
        </w:rPr>
        <w:t>如为联合体投标的，联合体各方均应提供</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eastAsia="zh-CN"/>
        </w:rPr>
        <w:t>。</w:t>
      </w:r>
    </w:p>
    <w:p w14:paraId="7ABCC84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0"/>
        <w:textAlignment w:val="baseline"/>
        <w:outlineLvl w:val="1"/>
        <w:rPr>
          <w:rFonts w:ascii="宋体" w:hAnsi="宋体" w:eastAsia="宋体" w:cs="宋体"/>
          <w:color w:val="auto"/>
          <w:spacing w:val="0"/>
          <w:sz w:val="24"/>
          <w:szCs w:val="24"/>
          <w:highlight w:val="none"/>
          <w:lang w:eastAsia="zh-CN"/>
        </w:rPr>
      </w:pPr>
      <w:r>
        <w:rPr>
          <w:rFonts w:hint="eastAsia" w:ascii="宋体" w:hAnsi="宋体" w:eastAsia="宋体" w:cs="宋体"/>
          <w:b/>
          <w:bCs/>
          <w:color w:val="auto"/>
          <w:spacing w:val="0"/>
          <w:sz w:val="24"/>
          <w:szCs w:val="24"/>
          <w:highlight w:val="none"/>
          <w:lang w:val="en-US" w:eastAsia="zh-CN"/>
        </w:rPr>
        <w:t>1、</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具有独立承担民事责任的能力的资格证明文件</w:t>
      </w:r>
    </w:p>
    <w:p w14:paraId="1BD4334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01" w:leftChars="0" w:right="99" w:firstLine="0" w:firstLineChars="0"/>
        <w:jc w:val="both"/>
        <w:textAlignment w:val="baseline"/>
        <w:rPr>
          <w:rFonts w:hint="default"/>
          <w:color w:val="auto"/>
          <w:spacing w:val="0"/>
          <w:highlight w:val="none"/>
          <w:lang w:val="en-US" w:eastAsia="zh-CN"/>
        </w:rPr>
      </w:pPr>
      <w:r>
        <w:rPr>
          <w:rFonts w:ascii="宋体" w:hAnsi="宋体" w:eastAsia="宋体" w:cs="宋体"/>
          <w:color w:val="auto"/>
          <w:spacing w:val="0"/>
          <w:sz w:val="24"/>
          <w:szCs w:val="24"/>
          <w:highlight w:val="none"/>
          <w:lang w:eastAsia="zh-CN"/>
        </w:rPr>
        <w:t>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是企业的（包括合伙企业）应提供有效的“企业法人营业执照 ”或“营业执照 ”；如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是事业单位的应提供“事业单位法人证书 ”；如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是非企业专业服务机构的应提供执业许可证等证明文件；</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是个体工商户的应提供有效的“个体工商户营业执照 ”、组织机构代码证证明文件（实行“统一社会信用代码 ”的不需单独提供组织机构代码证）；如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是自然人的，应提供有效的自然人的身份证明(中国公民)。</w:t>
      </w:r>
    </w:p>
    <w:p w14:paraId="1A173F6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textAlignment w:val="baseline"/>
        <w:outlineLvl w:val="1"/>
        <w:rPr>
          <w:rFonts w:ascii="宋体" w:hAnsi="宋体" w:eastAsia="宋体" w:cs="宋体"/>
          <w:color w:val="auto"/>
          <w:spacing w:val="0"/>
          <w:sz w:val="24"/>
          <w:szCs w:val="24"/>
          <w:highlight w:val="none"/>
          <w:lang w:eastAsia="zh-CN"/>
        </w:rPr>
      </w:pPr>
      <w:bookmarkStart w:id="7" w:name="bookmark62"/>
      <w:bookmarkEnd w:id="7"/>
      <w:r>
        <w:rPr>
          <w:rFonts w:hint="eastAsia" w:ascii="宋体" w:hAnsi="宋体" w:eastAsia="宋体" w:cs="宋体"/>
          <w:b/>
          <w:bCs/>
          <w:color w:val="auto"/>
          <w:spacing w:val="0"/>
          <w:sz w:val="24"/>
          <w:szCs w:val="24"/>
          <w:highlight w:val="none"/>
          <w:lang w:val="en-US" w:eastAsia="zh-CN"/>
        </w:rPr>
        <w:t>2、</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具有良好的商业信誉和健全的财务会计制度的证明文件</w:t>
      </w:r>
    </w:p>
    <w:p w14:paraId="2B8171C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99" w:leftChars="0" w:right="99" w:firstLine="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是法人的，提供</w:t>
      </w: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前二个年度内任一年度经审计的财务状况报告，或在</w:t>
      </w: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前三个月内其基本开户银行出具的资信证明；其他组织和自然人，没有经审计的财务报告，可以提供在</w:t>
      </w: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前三个月内银行出具的资信证明；个体工商户提供</w:t>
      </w: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前三个月中国人民银行征信中心开具个人信用报告。</w:t>
      </w:r>
    </w:p>
    <w:p w14:paraId="2FA37CD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4" w:leftChars="21" w:firstLine="0" w:firstLineChars="0"/>
        <w:jc w:val="both"/>
        <w:textAlignment w:val="baseline"/>
        <w:outlineLvl w:val="1"/>
        <w:rPr>
          <w:rFonts w:ascii="宋体" w:hAnsi="宋体" w:eastAsia="宋体" w:cs="宋体"/>
          <w:color w:val="auto"/>
          <w:spacing w:val="0"/>
          <w:sz w:val="24"/>
          <w:szCs w:val="24"/>
          <w:lang w:eastAsia="zh-CN"/>
        </w:rPr>
      </w:pPr>
      <w:bookmarkStart w:id="8" w:name="bookmark63"/>
      <w:bookmarkEnd w:id="8"/>
      <w:bookmarkStart w:id="9" w:name="_Toc17535"/>
      <w:r>
        <w:rPr>
          <w:rFonts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具有履行合同所必需的设备和专业技术能力的证明文件</w:t>
      </w:r>
      <w:bookmarkEnd w:id="9"/>
    </w:p>
    <w:p w14:paraId="430CFF9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0" w:leftChars="0" w:firstLine="42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lang w:eastAsia="zh-CN"/>
        </w:rPr>
        <w:t>供应商</w:t>
      </w:r>
      <w:r>
        <w:rPr>
          <w:rFonts w:ascii="宋体" w:hAnsi="宋体" w:eastAsia="宋体" w:cs="宋体"/>
          <w:color w:val="auto"/>
          <w:spacing w:val="0"/>
          <w:sz w:val="24"/>
          <w:szCs w:val="24"/>
          <w:lang w:eastAsia="zh-CN"/>
        </w:rPr>
        <w:t>提供具有履</w:t>
      </w:r>
      <w:r>
        <w:rPr>
          <w:rFonts w:ascii="宋体" w:hAnsi="宋体" w:eastAsia="宋体" w:cs="宋体"/>
          <w:color w:val="auto"/>
          <w:spacing w:val="0"/>
          <w:sz w:val="24"/>
          <w:szCs w:val="24"/>
          <w:highlight w:val="none"/>
          <w:lang w:eastAsia="zh-CN"/>
        </w:rPr>
        <w:t>行合同所必</w:t>
      </w:r>
      <w:r>
        <w:rPr>
          <w:rFonts w:hint="eastAsia" w:ascii="宋体" w:hAnsi="宋体" w:eastAsia="宋体" w:cs="宋体"/>
          <w:color w:val="auto"/>
          <w:spacing w:val="0"/>
          <w:sz w:val="24"/>
          <w:szCs w:val="24"/>
          <w:highlight w:val="none"/>
          <w:lang w:val="en-US" w:eastAsia="zh-CN"/>
        </w:rPr>
        <w:t>需</w:t>
      </w:r>
      <w:r>
        <w:rPr>
          <w:rFonts w:ascii="宋体" w:hAnsi="宋体" w:eastAsia="宋体" w:cs="宋体"/>
          <w:color w:val="auto"/>
          <w:spacing w:val="0"/>
          <w:sz w:val="24"/>
          <w:szCs w:val="24"/>
          <w:highlight w:val="none"/>
          <w:lang w:eastAsia="zh-CN"/>
        </w:rPr>
        <w:t>的设备和专业技术能力的承诺函；</w:t>
      </w:r>
    </w:p>
    <w:p w14:paraId="5BA897D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rPr>
      </w:pPr>
      <w:bookmarkStart w:id="10" w:name="bookmark64"/>
      <w:bookmarkEnd w:id="10"/>
      <w:bookmarkStart w:id="11" w:name="_Toc6925"/>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有依法缴纳税收和社会保障资金的良好记录的证明文件</w:t>
      </w:r>
      <w:bookmarkEnd w:id="11"/>
    </w:p>
    <w:p w14:paraId="2B2B5D0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55" w:firstLineChars="0"/>
        <w:jc w:val="both"/>
        <w:textAlignment w:val="baseline"/>
        <w:rPr>
          <w:rFonts w:ascii="宋体" w:hAnsi="宋体" w:eastAsia="宋体" w:cs="宋体"/>
          <w:color w:val="auto"/>
          <w:spacing w:val="0"/>
          <w:sz w:val="24"/>
          <w:szCs w:val="24"/>
          <w:highlight w:val="none"/>
          <w:lang w:eastAsia="zh-CN"/>
        </w:rPr>
      </w:pPr>
      <w:r>
        <w:rPr>
          <w:rFonts w:ascii="宋体" w:hAnsi="宋体" w:eastAsia="宋体" w:cs="宋体"/>
          <w:color w:val="auto"/>
          <w:spacing w:val="0"/>
          <w:sz w:val="24"/>
          <w:szCs w:val="24"/>
          <w:highlight w:val="none"/>
          <w:lang w:eastAsia="zh-CN"/>
        </w:rPr>
        <w:t>税务登记证（实行“统一社会信用代码 ”的不需单独提供）和</w:t>
      </w: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前六个月内任 意一个月的企业缴税凭证或证明；</w:t>
      </w:r>
    </w:p>
    <w:p w14:paraId="2D55BEB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前六个月内任意一个月的缴纳社会保障资金的凭证或当地社会保障局出具的缴纳明细。依法免税或不需要缴纳社会保障资金的</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，应当提供相关文件证明其依法免税或不需要缴纳社会保障资金。</w:t>
      </w:r>
    </w:p>
    <w:p w14:paraId="0EA110D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rPr>
      </w:pPr>
      <w:bookmarkStart w:id="12" w:name="bookmark65"/>
      <w:bookmarkEnd w:id="12"/>
      <w:bookmarkStart w:id="13" w:name="_Toc24004"/>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活动</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前三年内，在经营活动中没有重大违法记录的证明文件</w:t>
      </w:r>
      <w:bookmarkEnd w:id="13"/>
    </w:p>
    <w:p w14:paraId="0CF60E6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ascii="宋体" w:hAnsi="宋体" w:eastAsia="宋体" w:cs="宋体"/>
          <w:color w:val="auto"/>
          <w:spacing w:val="0"/>
          <w:sz w:val="24"/>
          <w:szCs w:val="24"/>
          <w:highlight w:val="none"/>
          <w:lang w:eastAsia="zh-CN"/>
        </w:rPr>
      </w:pPr>
      <w:r>
        <w:rPr>
          <w:rFonts w:ascii="宋体" w:hAnsi="宋体" w:eastAsia="宋体" w:cs="宋体"/>
          <w:color w:val="auto"/>
          <w:spacing w:val="0"/>
          <w:sz w:val="24"/>
          <w:szCs w:val="24"/>
          <w:highlight w:val="none"/>
          <w:lang w:eastAsia="zh-CN"/>
        </w:rPr>
        <w:t>参加政府采购</w:t>
      </w:r>
      <w:r>
        <w:rPr>
          <w:rFonts w:hint="eastAsia" w:ascii="宋体" w:hAnsi="宋体" w:eastAsia="宋体" w:cs="宋体"/>
          <w:color w:val="auto"/>
          <w:spacing w:val="0"/>
          <w:sz w:val="24"/>
          <w:szCs w:val="24"/>
          <w:highlight w:val="none"/>
          <w:lang w:eastAsia="zh-CN"/>
        </w:rPr>
        <w:t>活动</w:t>
      </w:r>
      <w:r>
        <w:rPr>
          <w:rFonts w:ascii="宋体" w:hAnsi="宋体" w:eastAsia="宋体" w:cs="宋体"/>
          <w:color w:val="auto"/>
          <w:spacing w:val="0"/>
          <w:sz w:val="24"/>
          <w:szCs w:val="24"/>
          <w:highlight w:val="none"/>
          <w:lang w:eastAsia="zh-CN"/>
        </w:rPr>
        <w:t>前三年内,在经营活动中没有重大违法记录承诺函；重大违法记录，是指</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因违法经营受到刑事处罚或者责令停产停业、吊</w:t>
      </w:r>
      <w:r>
        <w:rPr>
          <w:rFonts w:ascii="宋体" w:hAnsi="宋体" w:eastAsia="宋体" w:cs="宋体"/>
          <w:color w:val="auto"/>
          <w:spacing w:val="0"/>
          <w:sz w:val="24"/>
          <w:szCs w:val="24"/>
          <w:lang w:eastAsia="zh-CN"/>
        </w:rPr>
        <w:t>销许可证或者执照、较大罚款等行政处罚。</w:t>
      </w:r>
    </w:p>
    <w:p w14:paraId="15E23C8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p>
    <w:p w14:paraId="54D64425">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p>
    <w:p w14:paraId="093B6AA9">
      <w:pPr>
        <w:spacing w:line="400" w:lineRule="exact"/>
        <w:rPr>
          <w:rFonts w:hint="eastAsia" w:ascii="宋体" w:hAnsi="宋体" w:cs="仿宋"/>
          <w:b/>
          <w:bCs/>
          <w:color w:val="auto"/>
          <w:sz w:val="24"/>
          <w:szCs w:val="24"/>
          <w:highlight w:val="none"/>
        </w:rPr>
      </w:pPr>
      <w:r>
        <w:rPr>
          <w:rFonts w:hint="eastAsia" w:ascii="宋体" w:hAnsi="宋体" w:cs="仿宋"/>
          <w:b/>
          <w:bCs/>
          <w:color w:val="auto"/>
          <w:sz w:val="24"/>
          <w:szCs w:val="24"/>
          <w:highlight w:val="none"/>
        </w:rPr>
        <w:t>注：以上1-</w:t>
      </w:r>
      <w:r>
        <w:rPr>
          <w:rFonts w:hint="eastAsia" w:ascii="宋体" w:hAnsi="宋体" w:eastAsia="宋体" w:cs="仿宋"/>
          <w:b/>
          <w:bCs/>
          <w:color w:val="auto"/>
          <w:sz w:val="24"/>
          <w:szCs w:val="24"/>
          <w:highlight w:val="none"/>
          <w:lang w:val="en-US" w:eastAsia="zh-CN"/>
        </w:rPr>
        <w:t>6</w:t>
      </w:r>
      <w:r>
        <w:rPr>
          <w:rFonts w:hint="eastAsia" w:ascii="宋体" w:hAnsi="宋体" w:cs="仿宋"/>
          <w:b/>
          <w:bCs/>
          <w:color w:val="auto"/>
          <w:sz w:val="24"/>
          <w:szCs w:val="24"/>
          <w:highlight w:val="none"/>
        </w:rPr>
        <w:t>资格条件可不用提供证明文件，统一提供《江西省政府采购供应商资格信用承诺函》替代。</w:t>
      </w:r>
    </w:p>
    <w:p w14:paraId="3AB101BF">
      <w:pPr>
        <w:pStyle w:val="23"/>
        <w:pageBreakBefore w:val="0"/>
        <w:widowControl w:val="0"/>
        <w:wordWrap/>
        <w:overflowPunct/>
        <w:topLinePunct w:val="0"/>
        <w:bidi w:val="0"/>
        <w:rPr>
          <w:rFonts w:hint="default"/>
          <w:color w:val="auto"/>
          <w:highlight w:val="none"/>
          <w:lang w:val="en-US" w:eastAsia="zh-CN"/>
        </w:rPr>
        <w:sectPr>
          <w:footerReference r:id="rId9" w:type="default"/>
          <w:pgSz w:w="11906" w:h="16839"/>
          <w:pgMar w:top="1440" w:right="1800" w:bottom="1440" w:left="1800" w:header="0" w:footer="994" w:gutter="0"/>
          <w:pgNumType w:fmt="decimal"/>
          <w:cols w:space="720" w:num="1"/>
        </w:sectPr>
      </w:pPr>
    </w:p>
    <w:p w14:paraId="6CAF921A">
      <w:pPr>
        <w:pageBreakBefore w:val="0"/>
        <w:widowControl w:val="0"/>
        <w:wordWrap/>
        <w:overflowPunct/>
        <w:topLinePunct w:val="0"/>
        <w:bidi w:val="0"/>
        <w:spacing w:before="100" w:line="219" w:lineRule="auto"/>
        <w:ind w:left="3013"/>
        <w:outlineLvl w:val="1"/>
        <w:rPr>
          <w:rFonts w:ascii="宋体" w:hAnsi="宋体" w:eastAsia="宋体" w:cs="宋体"/>
          <w:color w:val="auto"/>
          <w:sz w:val="24"/>
          <w:szCs w:val="24"/>
          <w:highlight w:val="none"/>
          <w:lang w:eastAsia="zh-CN"/>
        </w:rPr>
      </w:pPr>
      <w:bookmarkStart w:id="14" w:name="bookmark66"/>
      <w:bookmarkEnd w:id="14"/>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法定代表人授权书</w:t>
      </w:r>
    </w:p>
    <w:p w14:paraId="480B360C">
      <w:pPr>
        <w:pageBreakBefore w:val="0"/>
        <w:widowControl w:val="0"/>
        <w:wordWrap/>
        <w:overflowPunct/>
        <w:topLinePunct w:val="0"/>
        <w:bidi w:val="0"/>
        <w:spacing w:line="276" w:lineRule="auto"/>
        <w:rPr>
          <w:color w:val="auto"/>
          <w:highlight w:val="none"/>
          <w:lang w:eastAsia="zh-CN"/>
        </w:rPr>
      </w:pPr>
    </w:p>
    <w:p w14:paraId="1A3F33E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37"/>
        <w:textAlignment w:val="baseline"/>
        <w:rPr>
          <w:rFonts w:ascii="宋体" w:hAnsi="宋体" w:eastAsia="宋体" w:cs="宋体"/>
          <w:color w:val="auto"/>
          <w:spacing w:val="0"/>
          <w:position w:val="0"/>
          <w:sz w:val="24"/>
          <w:szCs w:val="24"/>
          <w:lang w:eastAsia="zh-CN"/>
        </w:rPr>
      </w:pPr>
    </w:p>
    <w:p w14:paraId="4B109F7F">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color w:val="auto"/>
          <w:spacing w:val="0"/>
          <w:position w:val="0"/>
          <w:sz w:val="24"/>
          <w:szCs w:val="24"/>
          <w:lang w:eastAsia="zh-CN"/>
        </w:rPr>
      </w:pPr>
      <w:r>
        <w:rPr>
          <w:rFonts w:ascii="宋体" w:hAnsi="宋体" w:eastAsia="宋体" w:cs="宋体"/>
          <w:color w:val="auto"/>
          <w:spacing w:val="0"/>
          <w:position w:val="0"/>
          <w:sz w:val="24"/>
          <w:szCs w:val="24"/>
          <w:lang w:eastAsia="zh-CN"/>
        </w:rPr>
        <w:t>致：</w:t>
      </w:r>
      <w:r>
        <w:rPr>
          <w:rFonts w:ascii="宋体" w:hAnsi="宋体" w:eastAsia="宋体" w:cs="宋体"/>
          <w:color w:val="auto"/>
          <w:spacing w:val="0"/>
          <w:position w:val="0"/>
          <w:sz w:val="24"/>
          <w:szCs w:val="24"/>
          <w:u w:val="single"/>
          <w:lang w:eastAsia="zh-CN"/>
        </w:rPr>
        <w:t>采购代理机构名称</w:t>
      </w:r>
      <w:r>
        <w:rPr>
          <w:rFonts w:hint="eastAsia" w:ascii="宋体" w:hAnsi="宋体" w:eastAsia="宋体" w:cs="宋体"/>
          <w:color w:val="auto"/>
          <w:spacing w:val="0"/>
          <w:position w:val="0"/>
          <w:sz w:val="24"/>
          <w:szCs w:val="24"/>
          <w:u w:val="single"/>
          <w:lang w:val="en-US" w:eastAsia="zh-CN"/>
        </w:rPr>
        <w:t xml:space="preserve">       </w:t>
      </w:r>
    </w:p>
    <w:p w14:paraId="22ED78A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本人_______（姓名）系________________（供应商名称）的法定代表人（单位负责人），现委托_______（姓名）为我方代理人。代理人根据授权，以我方名义签署、澄清确认、提交、撤回、修改________________（项目名称）响应文件和处理有关事宜，其法律后果由我方承担。 </w:t>
      </w:r>
    </w:p>
    <w:p w14:paraId="7A2BEBD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委托期限：自本授权委托书签署之日起至投标有效期届满之日止。 </w:t>
      </w:r>
    </w:p>
    <w:p w14:paraId="59C27AD9">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代理人无转委托权。 </w:t>
      </w:r>
    </w:p>
    <w:p w14:paraId="227DCDC1">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供应商名称（加盖公章）：________________ </w:t>
      </w:r>
    </w:p>
    <w:p w14:paraId="5D820AE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法定代表人（单位负责人）（签字或签章）：________________ </w:t>
      </w:r>
    </w:p>
    <w:p w14:paraId="600C046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委托代理人（签字或签章）：________________ </w:t>
      </w:r>
    </w:p>
    <w:p w14:paraId="0B6BDE91">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日期：_____年______月______日 </w:t>
      </w:r>
    </w:p>
    <w:p w14:paraId="1EA49E7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附：法定代表人（单位负责人）及委托代理人的身份证扫描件（正、反面）</w:t>
      </w:r>
    </w:p>
    <w:p w14:paraId="16E689F1">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lang w:eastAsia="zh-CN"/>
        </w:rPr>
      </w:pPr>
    </w:p>
    <w:p w14:paraId="2E83087A">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lang w:eastAsia="zh-CN"/>
        </w:rPr>
      </w:pPr>
    </w:p>
    <w:p w14:paraId="540AC450">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lang w:eastAsia="zh-CN"/>
        </w:rPr>
      </w:pPr>
    </w:p>
    <w:p w14:paraId="792EA6D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说明：</w:t>
      </w:r>
    </w:p>
    <w:p w14:paraId="62EBF97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lang w:eastAsia="zh-CN"/>
        </w:rPr>
        <w:t>.若响应文件中签字处为授权委托人签署，提供《</w:t>
      </w:r>
      <w:r>
        <w:rPr>
          <w:rFonts w:hint="eastAsia" w:asciiTheme="minorEastAsia" w:hAnsiTheme="minorEastAsia" w:eastAsiaTheme="minorEastAsia" w:cstheme="minorEastAsia"/>
          <w:sz w:val="24"/>
          <w:szCs w:val="24"/>
          <w:lang w:val="en-US" w:eastAsia="zh-CN"/>
        </w:rPr>
        <w:t>法定代表人</w:t>
      </w:r>
      <w:r>
        <w:rPr>
          <w:rFonts w:hint="eastAsia" w:asciiTheme="minorEastAsia" w:hAnsiTheme="minorEastAsia" w:eastAsiaTheme="minorEastAsia" w:cstheme="minorEastAsia"/>
          <w:sz w:val="24"/>
          <w:szCs w:val="24"/>
          <w:lang w:eastAsia="zh-CN"/>
        </w:rPr>
        <w:t>授权书》，若响应文件中签字之处均为法定代表人（单位负责人）本人签署，则提供《法定代表人（单位负责人）资格声明》。</w:t>
      </w:r>
    </w:p>
    <w:p w14:paraId="54CDC40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lang w:eastAsia="zh-CN"/>
        </w:rPr>
        <w:t>.若供应商为事业单位或其他组织或分支机构，则法定代表人（单位负责人）处的签署人为单位负责人。</w:t>
      </w:r>
    </w:p>
    <w:p w14:paraId="39F70ED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3.供应商为自然人的情形，无需提供本《</w:t>
      </w:r>
      <w:r>
        <w:rPr>
          <w:rFonts w:hint="eastAsia" w:asciiTheme="minorEastAsia" w:hAnsiTheme="minorEastAsia" w:eastAsiaTheme="minorEastAsia" w:cstheme="minorEastAsia"/>
          <w:sz w:val="24"/>
          <w:szCs w:val="24"/>
          <w:lang w:val="en-US" w:eastAsia="zh-CN"/>
        </w:rPr>
        <w:t>法定代表人</w:t>
      </w:r>
      <w:r>
        <w:rPr>
          <w:rFonts w:hint="eastAsia" w:asciiTheme="minorEastAsia" w:hAnsiTheme="minorEastAsia" w:eastAsiaTheme="minorEastAsia" w:cstheme="minorEastAsia"/>
          <w:sz w:val="24"/>
          <w:szCs w:val="24"/>
          <w:lang w:eastAsia="zh-CN"/>
        </w:rPr>
        <w:t>授权书》。</w:t>
      </w:r>
    </w:p>
    <w:p w14:paraId="033DBEE8">
      <w:pPr>
        <w:rPr>
          <w:lang w:eastAsia="zh-CN"/>
        </w:rPr>
      </w:pPr>
      <w:r>
        <w:rPr>
          <w:lang w:eastAsia="zh-CN"/>
        </w:rPr>
        <w:br w:type="page"/>
      </w:r>
    </w:p>
    <w:p w14:paraId="590BA584">
      <w:pPr>
        <w:pageBreakBefore w:val="0"/>
        <w:widowControl w:val="0"/>
        <w:wordWrap/>
        <w:overflowPunct/>
        <w:topLinePunct w:val="0"/>
        <w:bidi w:val="0"/>
        <w:spacing w:before="100" w:line="219" w:lineRule="auto"/>
        <w:ind w:left="12" w:leftChars="0" w:hanging="12" w:hangingChars="5"/>
        <w:jc w:val="center"/>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法定代表人（单位负责人）</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资格声明</w:t>
      </w:r>
    </w:p>
    <w:p w14:paraId="400C5CDF">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lang w:val="en-US" w:eastAsia="zh-CN" w:bidi="ar"/>
        </w:rPr>
      </w:pPr>
    </w:p>
    <w:p w14:paraId="5FE92F4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致：</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（采购代理机构名称） </w:t>
      </w:r>
    </w:p>
    <w:p w14:paraId="460B61F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兹证明： </w:t>
      </w:r>
    </w:p>
    <w:p w14:paraId="4A733E0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default" w:asciiTheme="minorEastAsia" w:hAnsiTheme="minorEastAsia" w:eastAsiaTheme="minorEastAsia" w:cstheme="minorEastAsia"/>
          <w:sz w:val="24"/>
          <w:szCs w:val="24"/>
          <w:u w:val="single"/>
          <w:lang w:val="en-US"/>
        </w:rPr>
      </w:pPr>
      <w:r>
        <w:rPr>
          <w:rFonts w:hint="eastAsia" w:asciiTheme="minorEastAsia" w:hAnsiTheme="minorEastAsia" w:eastAsiaTheme="minorEastAsia" w:cstheme="minorEastAsia"/>
          <w:snapToGrid w:val="0"/>
          <w:color w:val="000000"/>
          <w:kern w:val="0"/>
          <w:sz w:val="24"/>
          <w:szCs w:val="24"/>
          <w:lang w:val="en-US" w:eastAsia="zh-CN" w:bidi="ar"/>
        </w:rPr>
        <w:t>姓名：</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性别：</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年龄：</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职务：</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p>
    <w:p w14:paraId="740A7397">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系</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（供应商名称）</w:t>
      </w:r>
      <w:r>
        <w:rPr>
          <w:rFonts w:hint="eastAsia" w:asciiTheme="minorEastAsia" w:hAnsiTheme="minorEastAsia" w:eastAsiaTheme="minorEastAsia" w:cstheme="minorEastAsia"/>
          <w:snapToGrid w:val="0"/>
          <w:color w:val="000000"/>
          <w:kern w:val="0"/>
          <w:sz w:val="24"/>
          <w:szCs w:val="24"/>
          <w:lang w:val="en-US" w:eastAsia="zh-CN" w:bidi="ar"/>
        </w:rPr>
        <w:t xml:space="preserve">的法定代表人（单位负责人）。 </w:t>
      </w:r>
    </w:p>
    <w:p w14:paraId="291D065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lang w:val="en-US" w:eastAsia="zh-CN" w:bidi="ar"/>
        </w:rPr>
      </w:pPr>
    </w:p>
    <w:p w14:paraId="0CA6E50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供应商名称（加盖公章）：________________ </w:t>
      </w:r>
    </w:p>
    <w:p w14:paraId="235F521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法定代表人（单位负责人）（签字或签章）：_______ </w:t>
      </w:r>
    </w:p>
    <w:p w14:paraId="6F4D098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pPr>
      <w:r>
        <w:rPr>
          <w:rFonts w:hint="eastAsia" w:asciiTheme="minorEastAsia" w:hAnsiTheme="minorEastAsia" w:eastAsiaTheme="minorEastAsia" w:cstheme="minorEastAsia"/>
          <w:snapToGrid w:val="0"/>
          <w:color w:val="000000"/>
          <w:kern w:val="0"/>
          <w:sz w:val="24"/>
          <w:szCs w:val="24"/>
          <w:lang w:val="en-US" w:eastAsia="zh-CN" w:bidi="ar"/>
        </w:rPr>
        <w:t>日期：_____年______月______日</w:t>
      </w:r>
    </w:p>
    <w:p w14:paraId="525B1144">
      <w:pPr>
        <w:pStyle w:val="7"/>
        <w:ind w:left="0" w:leftChars="0" w:firstLine="0" w:firstLineChars="0"/>
        <w:jc w:val="left"/>
        <w:rPr>
          <w:lang w:eastAsia="zh-CN"/>
        </w:rPr>
      </w:pPr>
    </w:p>
    <w:p w14:paraId="700D9E3C">
      <w:pPr>
        <w:pStyle w:val="7"/>
        <w:ind w:left="0" w:leftChars="0" w:firstLine="0" w:firstLineChars="0"/>
        <w:jc w:val="left"/>
        <w:rPr>
          <w:lang w:eastAsia="zh-CN"/>
        </w:rPr>
      </w:pPr>
    </w:p>
    <w:p w14:paraId="33A92AC7">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snapToGrid w:val="0"/>
          <w:color w:val="000000"/>
          <w:kern w:val="0"/>
          <w:sz w:val="24"/>
          <w:szCs w:val="24"/>
          <w:lang w:val="en-US" w:eastAsia="zh-CN" w:bidi="ar"/>
        </w:rPr>
        <w:t>附：法定代表人（单位负责人）身份证扫描件（正、反面）；</w:t>
      </w:r>
    </w:p>
    <w:p w14:paraId="5C80F18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z w:val="24"/>
          <w:szCs w:val="24"/>
          <w:highlight w:val="none"/>
          <w:lang w:eastAsia="zh-CN"/>
        </w:rPr>
        <w:sectPr>
          <w:footerReference r:id="rId10" w:type="default"/>
          <w:pgSz w:w="11906" w:h="16839"/>
          <w:pgMar w:top="1431" w:right="1587" w:bottom="1429" w:left="1582" w:header="0" w:footer="994" w:gutter="0"/>
          <w:pgNumType w:fmt="decimal"/>
          <w:cols w:space="720" w:num="1"/>
        </w:sectPr>
      </w:pPr>
    </w:p>
    <w:p w14:paraId="690214EC">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color w:val="auto"/>
          <w:highlight w:val="none"/>
          <w:lang w:eastAsia="zh-CN"/>
        </w:rPr>
      </w:pPr>
      <w:bookmarkStart w:id="15" w:name="bookmark67"/>
      <w:bookmarkEnd w:id="15"/>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5"/>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47"/>
          <w:sz w:val="24"/>
          <w:szCs w:val="24"/>
          <w:highlight w:val="none"/>
          <w:lang w:eastAsia="zh-CN"/>
        </w:rPr>
        <w:t xml:space="preserve">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的资格声明</w:t>
      </w:r>
    </w:p>
    <w:p w14:paraId="5DB258CC">
      <w:pPr>
        <w:keepNext w:val="0"/>
        <w:keepLines w:val="0"/>
        <w:pageBreakBefore w:val="0"/>
        <w:widowControl w:val="0"/>
        <w:kinsoku w:val="0"/>
        <w:wordWrap/>
        <w:overflowPunct/>
        <w:topLinePunct w:val="0"/>
        <w:autoSpaceDE w:val="0"/>
        <w:autoSpaceDN w:val="0"/>
        <w:bidi w:val="0"/>
        <w:adjustRightInd w:val="0"/>
        <w:snapToGrid w:val="0"/>
        <w:spacing w:before="78" w:after="0" w:afterLines="121" w:afterAutospacing="0" w:line="360" w:lineRule="auto"/>
        <w:ind w:left="90" w:leftChars="43" w:firstLine="0" w:firstLineChars="0"/>
        <w:jc w:val="center"/>
        <w:textAlignment w:val="baseline"/>
        <w:rPr>
          <w:rFonts w:ascii="宋体" w:hAnsi="宋体" w:eastAsia="宋体" w:cs="宋体"/>
          <w:color w:val="auto"/>
          <w:spacing w:val="-4"/>
          <w:sz w:val="24"/>
          <w:szCs w:val="24"/>
          <w:highlight w:val="none"/>
          <w:lang w:eastAsia="zh-CN"/>
        </w:rPr>
      </w:pPr>
      <w:r>
        <w:rPr>
          <w:rFonts w:ascii="宋体" w:hAnsi="宋体" w:eastAsia="宋体" w:cs="宋体"/>
          <w:color w:val="auto"/>
          <w:spacing w:val="-4"/>
          <w:sz w:val="24"/>
          <w:szCs w:val="24"/>
          <w:highlight w:val="none"/>
          <w:lang w:eastAsia="zh-CN"/>
        </w:rPr>
        <w:t>（参考格式）</w:t>
      </w:r>
    </w:p>
    <w:p w14:paraId="7242452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37"/>
        <w:textAlignment w:val="baseline"/>
        <w:rPr>
          <w:rFonts w:hint="default"/>
          <w:color w:val="auto"/>
          <w:highlight w:val="none"/>
          <w:u w:val="single"/>
          <w:lang w:val="en-US" w:eastAsia="zh-CN"/>
        </w:rPr>
      </w:pPr>
      <w:r>
        <w:rPr>
          <w:rFonts w:ascii="宋体" w:hAnsi="宋体" w:eastAsia="宋体" w:cs="宋体"/>
          <w:color w:val="auto"/>
          <w:spacing w:val="-1"/>
          <w:sz w:val="24"/>
          <w:szCs w:val="24"/>
          <w:highlight w:val="none"/>
          <w:lang w:eastAsia="zh-CN"/>
        </w:rPr>
        <w:t>致：</w:t>
      </w:r>
      <w:r>
        <w:rPr>
          <w:rFonts w:ascii="宋体" w:hAnsi="宋体" w:eastAsia="宋体" w:cs="宋体"/>
          <w:color w:val="auto"/>
          <w:spacing w:val="-1"/>
          <w:sz w:val="24"/>
          <w:szCs w:val="24"/>
          <w:highlight w:val="none"/>
          <w:u w:val="single"/>
          <w:lang w:eastAsia="zh-CN"/>
        </w:rPr>
        <w:t>采购代理机构名称</w:t>
      </w:r>
      <w:r>
        <w:rPr>
          <w:rFonts w:hint="eastAsia" w:ascii="宋体" w:hAnsi="宋体" w:eastAsia="宋体" w:cs="宋体"/>
          <w:color w:val="auto"/>
          <w:spacing w:val="-1"/>
          <w:sz w:val="24"/>
          <w:szCs w:val="24"/>
          <w:highlight w:val="none"/>
          <w:u w:val="single"/>
          <w:lang w:val="en-US" w:eastAsia="zh-CN"/>
        </w:rPr>
        <w:t xml:space="preserve">   </w:t>
      </w:r>
    </w:p>
    <w:p w14:paraId="19CEBB5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08790BFD">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为响应贵方</w:t>
      </w:r>
      <w:r>
        <w:rPr>
          <w:rFonts w:ascii="宋体" w:hAnsi="宋体" w:eastAsia="宋体" w:cs="宋体"/>
          <w:color w:val="auto"/>
          <w:spacing w:val="-1"/>
          <w:sz w:val="24"/>
          <w:szCs w:val="24"/>
          <w:highlight w:val="none"/>
          <w:u w:val="single"/>
          <w:lang w:eastAsia="zh-CN"/>
        </w:rPr>
        <w:t>（项目名称、项目编号）</w:t>
      </w:r>
      <w:r>
        <w:rPr>
          <w:rFonts w:hint="eastAsia" w:ascii="宋体" w:hAnsi="宋体" w:eastAsia="宋体" w:cs="宋体"/>
          <w:color w:val="auto"/>
          <w:spacing w:val="-1"/>
          <w:sz w:val="24"/>
          <w:szCs w:val="24"/>
          <w:highlight w:val="none"/>
          <w:lang w:val="en-US" w:eastAsia="zh-CN"/>
        </w:rPr>
        <w:t>磋商</w:t>
      </w:r>
      <w:r>
        <w:rPr>
          <w:rFonts w:ascii="宋体" w:hAnsi="宋体" w:eastAsia="宋体" w:cs="宋体"/>
          <w:color w:val="auto"/>
          <w:spacing w:val="-1"/>
          <w:sz w:val="24"/>
          <w:szCs w:val="24"/>
          <w:highlight w:val="none"/>
          <w:lang w:eastAsia="zh-CN"/>
        </w:rPr>
        <w:t>邀请，下述签字人愿</w:t>
      </w:r>
      <w:r>
        <w:rPr>
          <w:rFonts w:ascii="宋体" w:hAnsi="宋体" w:eastAsia="宋体" w:cs="宋体"/>
          <w:color w:val="auto"/>
          <w:spacing w:val="-2"/>
          <w:sz w:val="24"/>
          <w:szCs w:val="24"/>
          <w:highlight w:val="none"/>
          <w:lang w:eastAsia="zh-CN"/>
        </w:rPr>
        <w:t>参与</w:t>
      </w:r>
      <w:r>
        <w:rPr>
          <w:rFonts w:hint="eastAsia" w:ascii="宋体" w:hAnsi="宋体" w:eastAsia="宋体" w:cs="宋体"/>
          <w:color w:val="auto"/>
          <w:spacing w:val="-2"/>
          <w:sz w:val="24"/>
          <w:szCs w:val="24"/>
          <w:highlight w:val="none"/>
          <w:lang w:val="en-US" w:eastAsia="zh-CN"/>
        </w:rPr>
        <w:t>磋商</w:t>
      </w:r>
      <w:r>
        <w:rPr>
          <w:rFonts w:ascii="宋体" w:hAnsi="宋体" w:eastAsia="宋体" w:cs="宋体"/>
          <w:color w:val="auto"/>
          <w:spacing w:val="-2"/>
          <w:sz w:val="24"/>
          <w:szCs w:val="24"/>
          <w:highlight w:val="none"/>
          <w:lang w:eastAsia="zh-CN"/>
        </w:rPr>
        <w:t>，提供</w:t>
      </w:r>
      <w:r>
        <w:rPr>
          <w:rFonts w:hint="eastAsia" w:ascii="宋体" w:hAnsi="宋体" w:eastAsia="宋体" w:cs="宋体"/>
          <w:color w:val="auto"/>
          <w:spacing w:val="-2"/>
          <w:sz w:val="24"/>
          <w:szCs w:val="24"/>
          <w:lang w:val="en-US" w:eastAsia="zh-CN"/>
        </w:rPr>
        <w:t>本项目磋商文件</w:t>
      </w:r>
      <w:r>
        <w:rPr>
          <w:rFonts w:hint="eastAsia" w:ascii="宋体" w:hAnsi="宋体" w:eastAsia="宋体" w:cs="宋体"/>
          <w:color w:val="auto"/>
          <w:spacing w:val="-2"/>
          <w:sz w:val="24"/>
          <w:szCs w:val="24"/>
          <w:highlight w:val="none"/>
          <w:lang w:val="en-US" w:eastAsia="zh-CN"/>
        </w:rPr>
        <w:t>第五章</w:t>
      </w:r>
      <w:r>
        <w:rPr>
          <w:rFonts w:ascii="宋体" w:hAnsi="宋体" w:eastAsia="宋体" w:cs="宋体"/>
          <w:color w:val="auto"/>
          <w:spacing w:val="-2"/>
          <w:sz w:val="24"/>
          <w:szCs w:val="24"/>
          <w:highlight w:val="none"/>
          <w:lang w:eastAsia="zh-CN"/>
        </w:rPr>
        <w:t>采</w:t>
      </w:r>
      <w:r>
        <w:rPr>
          <w:rFonts w:ascii="宋体" w:hAnsi="宋体" w:eastAsia="宋体" w:cs="宋体"/>
          <w:color w:val="auto"/>
          <w:spacing w:val="-1"/>
          <w:sz w:val="24"/>
          <w:szCs w:val="24"/>
          <w:highlight w:val="none"/>
          <w:lang w:eastAsia="zh-CN"/>
        </w:rPr>
        <w:t>购需求规定的服务，提交下述文</w:t>
      </w:r>
      <w:r>
        <w:rPr>
          <w:rFonts w:ascii="宋体" w:hAnsi="宋体" w:eastAsia="宋体" w:cs="宋体"/>
          <w:color w:val="auto"/>
          <w:spacing w:val="-2"/>
          <w:sz w:val="24"/>
          <w:szCs w:val="24"/>
          <w:highlight w:val="none"/>
          <w:lang w:eastAsia="zh-CN"/>
        </w:rPr>
        <w:t>件并声明全部说明是真</w:t>
      </w:r>
      <w:r>
        <w:rPr>
          <w:rFonts w:ascii="宋体" w:hAnsi="宋体" w:eastAsia="宋体" w:cs="宋体"/>
          <w:color w:val="auto"/>
          <w:spacing w:val="-3"/>
          <w:sz w:val="24"/>
          <w:szCs w:val="24"/>
          <w:highlight w:val="none"/>
          <w:lang w:eastAsia="zh-CN"/>
        </w:rPr>
        <w:t>实的和正确的。</w:t>
      </w:r>
    </w:p>
    <w:p w14:paraId="522FF2CB">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firstLine="476" w:firstLineChars="200"/>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val="en-US" w:eastAsia="zh-CN"/>
        </w:rPr>
        <w:t>1</w:t>
      </w:r>
      <w:r>
        <w:rPr>
          <w:rFonts w:ascii="宋体" w:hAnsi="宋体" w:eastAsia="宋体" w:cs="宋体"/>
          <w:color w:val="auto"/>
          <w:spacing w:val="-1"/>
          <w:sz w:val="24"/>
          <w:szCs w:val="24"/>
          <w:highlight w:val="none"/>
          <w:lang w:eastAsia="zh-CN"/>
        </w:rPr>
        <w:t>.下述签字人在证书中证明本资格文件中的内容是真实的和正确的；</w:t>
      </w:r>
    </w:p>
    <w:p w14:paraId="23BF01C5">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firstLine="476" w:firstLineChars="200"/>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2</w:t>
      </w:r>
      <w:r>
        <w:rPr>
          <w:rFonts w:ascii="宋体" w:hAnsi="宋体" w:eastAsia="宋体" w:cs="宋体"/>
          <w:color w:val="auto"/>
          <w:spacing w:val="-1"/>
          <w:position w:val="17"/>
          <w:sz w:val="24"/>
          <w:szCs w:val="24"/>
          <w:highlight w:val="none"/>
          <w:lang w:eastAsia="zh-CN"/>
        </w:rPr>
        <w:t>.我方没有单位负责人为同一人或者存在直接控股、管理</w:t>
      </w:r>
      <w:r>
        <w:rPr>
          <w:rFonts w:ascii="宋体" w:hAnsi="宋体" w:eastAsia="宋体" w:cs="宋体"/>
          <w:color w:val="auto"/>
          <w:spacing w:val="-2"/>
          <w:position w:val="17"/>
          <w:sz w:val="24"/>
          <w:szCs w:val="24"/>
          <w:highlight w:val="none"/>
          <w:lang w:eastAsia="zh-CN"/>
        </w:rPr>
        <w:t>关系的不同供应商，参</w:t>
      </w:r>
      <w:r>
        <w:rPr>
          <w:rFonts w:hint="eastAsia" w:ascii="宋体" w:hAnsi="宋体" w:eastAsia="宋体" w:cs="宋体"/>
          <w:color w:val="auto"/>
          <w:spacing w:val="-2"/>
          <w:position w:val="17"/>
          <w:sz w:val="24"/>
          <w:szCs w:val="24"/>
          <w:highlight w:val="none"/>
          <w:lang w:val="en-US" w:eastAsia="zh-CN"/>
        </w:rPr>
        <w:t>加本项目采购活动的情形；</w:t>
      </w:r>
    </w:p>
    <w:p w14:paraId="4F5A476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right="0" w:rightChars="0" w:firstLine="476" w:firstLineChars="200"/>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3</w:t>
      </w:r>
      <w:r>
        <w:rPr>
          <w:rFonts w:ascii="宋体" w:hAnsi="宋体" w:eastAsia="宋体" w:cs="宋体"/>
          <w:color w:val="auto"/>
          <w:spacing w:val="-1"/>
          <w:position w:val="17"/>
          <w:sz w:val="24"/>
          <w:szCs w:val="24"/>
          <w:highlight w:val="none"/>
          <w:lang w:eastAsia="zh-CN"/>
        </w:rPr>
        <w:t>.我方没有为本项目提供整体设计、规范编</w:t>
      </w:r>
      <w:r>
        <w:rPr>
          <w:rFonts w:ascii="宋体" w:hAnsi="宋体" w:eastAsia="宋体" w:cs="宋体"/>
          <w:color w:val="auto"/>
          <w:spacing w:val="-2"/>
          <w:position w:val="17"/>
          <w:sz w:val="24"/>
          <w:szCs w:val="24"/>
          <w:highlight w:val="none"/>
          <w:lang w:eastAsia="zh-CN"/>
        </w:rPr>
        <w:t>制或者项目管理、监理、检测等服务</w:t>
      </w:r>
      <w:r>
        <w:rPr>
          <w:rFonts w:hint="eastAsia" w:ascii="宋体" w:hAnsi="宋体" w:eastAsia="宋体" w:cs="宋体"/>
          <w:color w:val="auto"/>
          <w:spacing w:val="-2"/>
          <w:position w:val="17"/>
          <w:sz w:val="24"/>
          <w:szCs w:val="24"/>
          <w:highlight w:val="none"/>
          <w:lang w:eastAsia="zh-CN"/>
        </w:rPr>
        <w:t>的</w:t>
      </w:r>
      <w:r>
        <w:rPr>
          <w:rFonts w:hint="eastAsia" w:ascii="宋体" w:hAnsi="宋体" w:eastAsia="宋体" w:cs="宋体"/>
          <w:color w:val="auto"/>
          <w:spacing w:val="-2"/>
          <w:position w:val="17"/>
          <w:sz w:val="24"/>
          <w:szCs w:val="24"/>
          <w:highlight w:val="none"/>
          <w:lang w:val="en-US" w:eastAsia="zh-CN"/>
        </w:rPr>
        <w:t>情形。</w:t>
      </w:r>
    </w:p>
    <w:p w14:paraId="18ABB0B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2EBB007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4B39CCD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2824DB8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041155A5">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代表签字或签章</w:t>
      </w:r>
      <w:r>
        <w:rPr>
          <w:rFonts w:hint="eastAsia" w:ascii="宋体" w:hAnsi="宋体" w:eastAsia="宋体" w:cs="宋体"/>
          <w:color w:val="auto"/>
          <w:spacing w:val="-2"/>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2AD07DC5">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r>
        <w:rPr>
          <w:rFonts w:hint="eastAsia" w:ascii="宋体" w:hAnsi="宋体" w:eastAsia="宋体" w:cs="宋体"/>
          <w:color w:val="auto"/>
          <w:spacing w:val="-3"/>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5DE18AA5">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6"/>
          <w:sz w:val="24"/>
          <w:szCs w:val="24"/>
          <w:highlight w:val="none"/>
          <w:lang w:eastAsia="zh-CN"/>
        </w:rPr>
        <w:t>日</w:t>
      </w:r>
      <w:r>
        <w:rPr>
          <w:rFonts w:hint="eastAsia" w:ascii="宋体" w:hAnsi="宋体" w:eastAsia="宋体" w:cs="宋体"/>
          <w:color w:val="auto"/>
          <w:spacing w:val="-26"/>
          <w:sz w:val="24"/>
          <w:szCs w:val="24"/>
          <w:highlight w:val="none"/>
          <w:lang w:val="en-US" w:eastAsia="zh-CN"/>
        </w:rPr>
        <w:t xml:space="preserve">     </w:t>
      </w:r>
      <w:r>
        <w:rPr>
          <w:rFonts w:ascii="宋体" w:hAnsi="宋体" w:eastAsia="宋体" w:cs="宋体"/>
          <w:color w:val="auto"/>
          <w:spacing w:val="-26"/>
          <w:sz w:val="24"/>
          <w:szCs w:val="24"/>
          <w:highlight w:val="none"/>
          <w:lang w:eastAsia="zh-CN"/>
        </w:rPr>
        <w:t>期</w:t>
      </w:r>
      <w:r>
        <w:rPr>
          <w:rFonts w:hint="eastAsia" w:ascii="宋体" w:hAnsi="宋体" w:eastAsia="宋体" w:cs="宋体"/>
          <w:color w:val="auto"/>
          <w:spacing w:val="-26"/>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18CCA3A2">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ascii="宋体" w:hAnsi="宋体" w:eastAsia="宋体" w:cs="宋体"/>
          <w:color w:val="auto"/>
          <w:sz w:val="24"/>
          <w:szCs w:val="24"/>
          <w:highlight w:val="none"/>
          <w:lang w:eastAsia="zh-CN"/>
        </w:rPr>
        <w:sectPr>
          <w:footerReference r:id="rId11" w:type="default"/>
          <w:pgSz w:w="11906" w:h="16839"/>
          <w:pgMar w:top="1431" w:right="1582" w:bottom="1429" w:left="1582" w:header="0" w:footer="994" w:gutter="0"/>
          <w:pgNumType w:fmt="decimal"/>
          <w:cols w:space="720" w:num="1"/>
        </w:sectPr>
      </w:pPr>
    </w:p>
    <w:p w14:paraId="31ED931A">
      <w:pPr>
        <w:pageBreakBefore w:val="0"/>
        <w:widowControl w:val="0"/>
        <w:wordWrap/>
        <w:overflowPunct/>
        <w:topLinePunct w:val="0"/>
        <w:bidi w:val="0"/>
        <w:spacing w:before="101" w:after="0" w:afterLines="100" w:afterAutospacing="0" w:line="219" w:lineRule="auto"/>
        <w:ind w:left="0" w:leftChars="0" w:firstLine="0" w:firstLineChars="0"/>
        <w:jc w:val="center"/>
        <w:outlineLvl w:val="1"/>
        <w:rPr>
          <w:rFonts w:ascii="宋体" w:hAnsi="宋体" w:eastAsia="宋体" w:cs="宋体"/>
          <w:color w:val="auto"/>
          <w:sz w:val="24"/>
          <w:szCs w:val="24"/>
          <w:highlight w:val="none"/>
          <w:lang w:eastAsia="zh-CN"/>
        </w:rPr>
      </w:pPr>
      <w:bookmarkStart w:id="16" w:name="bookmark73"/>
      <w:bookmarkEnd w:id="16"/>
      <w:bookmarkStart w:id="17" w:name="bookmark68"/>
      <w:bookmarkEnd w:id="17"/>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 xml:space="preserve">4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磋商保证金</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凭证</w:t>
      </w:r>
    </w:p>
    <w:p w14:paraId="5286A2EC">
      <w:pPr>
        <w:keepNext w:val="0"/>
        <w:keepLines w:val="0"/>
        <w:pageBreakBefore w:val="0"/>
        <w:widowControl w:val="0"/>
        <w:kinsoku/>
        <w:wordWrap/>
        <w:overflowPunct/>
        <w:topLinePunct w:val="0"/>
        <w:autoSpaceDE/>
        <w:autoSpaceDN/>
        <w:bidi w:val="0"/>
        <w:adjustRightInd/>
        <w:snapToGrid/>
        <w:spacing w:beforeAutospacing="0" w:line="360" w:lineRule="auto"/>
        <w:jc w:val="both"/>
        <w:textAlignment w:val="auto"/>
        <w:rPr>
          <w:rFonts w:hint="eastAsia" w:ascii="宋体" w:hAnsi="宋体" w:eastAsia="宋体" w:cs="仿宋"/>
          <w:color w:val="auto"/>
          <w:sz w:val="24"/>
          <w:szCs w:val="24"/>
          <w:highlight w:val="none"/>
        </w:rPr>
      </w:pPr>
      <w:bookmarkStart w:id="18" w:name="bookmark74"/>
      <w:bookmarkEnd w:id="18"/>
      <w:bookmarkStart w:id="19" w:name="bookmark69"/>
      <w:bookmarkEnd w:id="19"/>
    </w:p>
    <w:p w14:paraId="392E7E4C">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cs="宋体"/>
          <w:color w:val="auto"/>
          <w:sz w:val="24"/>
          <w:szCs w:val="24"/>
          <w:highlight w:val="none"/>
          <w:lang w:val="en-US" w:eastAsia="zh-CN"/>
        </w:rPr>
      </w:pPr>
      <w:r>
        <w:rPr>
          <w:rFonts w:hint="eastAsia" w:ascii="宋体" w:hAnsi="宋体" w:eastAsia="宋体" w:cs="仿宋"/>
          <w:color w:val="auto"/>
          <w:sz w:val="24"/>
          <w:szCs w:val="24"/>
          <w:highlight w:val="none"/>
        </w:rPr>
        <w:t>附：</w:t>
      </w:r>
      <w:r>
        <w:rPr>
          <w:rFonts w:hint="eastAsia" w:ascii="宋体" w:hAnsi="宋体" w:eastAsia="宋体" w:cs="仿宋"/>
          <w:color w:val="auto"/>
          <w:sz w:val="24"/>
          <w:szCs w:val="24"/>
          <w:highlight w:val="none"/>
          <w:lang w:eastAsia="zh-CN"/>
        </w:rPr>
        <w:t>供应商</w:t>
      </w:r>
      <w:r>
        <w:rPr>
          <w:rFonts w:hint="eastAsia" w:ascii="宋体" w:hAnsi="宋体" w:eastAsia="宋体" w:cs="仿宋"/>
          <w:color w:val="auto"/>
          <w:sz w:val="24"/>
          <w:szCs w:val="24"/>
          <w:highlight w:val="none"/>
        </w:rPr>
        <w:t>盖章的保证金凭证</w:t>
      </w:r>
      <w:r>
        <w:rPr>
          <w:rFonts w:hint="eastAsia" w:ascii="宋体" w:hAnsi="宋体" w:eastAsia="宋体" w:cs="仿宋"/>
          <w:color w:val="auto"/>
          <w:sz w:val="24"/>
          <w:szCs w:val="24"/>
          <w:highlight w:val="none"/>
          <w:lang w:val="en-US" w:eastAsia="zh-CN"/>
        </w:rPr>
        <w:t>扫描件</w:t>
      </w:r>
      <w:r>
        <w:rPr>
          <w:rFonts w:hint="eastAsia" w:ascii="宋体" w:hAnsi="宋体" w:eastAsia="宋体" w:cs="仿宋"/>
          <w:color w:val="auto"/>
          <w:sz w:val="24"/>
          <w:szCs w:val="24"/>
          <w:highlight w:val="none"/>
        </w:rPr>
        <w:t>或截图</w:t>
      </w:r>
      <w:r>
        <w:rPr>
          <w:rFonts w:hint="eastAsia" w:ascii="宋体" w:hAnsi="宋体" w:eastAsia="宋体" w:cs="仿宋"/>
          <w:color w:val="auto"/>
          <w:sz w:val="24"/>
          <w:szCs w:val="24"/>
          <w:highlight w:val="none"/>
          <w:lang w:val="en-US" w:eastAsia="zh-CN"/>
        </w:rPr>
        <w:t xml:space="preserve"> </w:t>
      </w:r>
    </w:p>
    <w:p w14:paraId="7A63A66A">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rPr>
        <w:t>本项目保证金应当采用支票、汇票、本票、网上银行支付或者金融机构、担保机构出具的保函、保险公司出具的保证保险等非现金形式交纳。</w:t>
      </w:r>
    </w:p>
    <w:p w14:paraId="314DDCB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1</w:t>
      </w:r>
      <w:r>
        <w:rPr>
          <w:rFonts w:hint="eastAsia" w:ascii="宋体" w:hAnsi="宋体" w:eastAsia="宋体" w:cs="仿宋"/>
          <w:color w:val="auto"/>
          <w:sz w:val="24"/>
          <w:szCs w:val="24"/>
          <w:highlight w:val="none"/>
          <w:lang w:eastAsia="zh-CN"/>
        </w:rPr>
        <w:t>、</w:t>
      </w:r>
      <w:r>
        <w:rPr>
          <w:rFonts w:hint="eastAsia" w:ascii="宋体" w:hAnsi="宋体" w:eastAsia="宋体" w:cs="仿宋"/>
          <w:color w:val="auto"/>
          <w:sz w:val="24"/>
          <w:szCs w:val="24"/>
          <w:highlight w:val="none"/>
        </w:rPr>
        <w:t>采用银行电汇、转账、网上银行形式：</w:t>
      </w:r>
    </w:p>
    <w:p w14:paraId="5DA78368">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保证金交至</w:t>
      </w:r>
      <w:r>
        <w:rPr>
          <w:rFonts w:hint="eastAsia" w:ascii="宋体" w:hAnsi="宋体" w:eastAsia="宋体" w:cs="仿宋"/>
          <w:color w:val="auto"/>
          <w:sz w:val="24"/>
          <w:szCs w:val="24"/>
          <w:highlight w:val="none"/>
          <w:lang w:val="en-US" w:eastAsia="zh-CN"/>
        </w:rPr>
        <w:t>磋商文件规定的</w:t>
      </w:r>
      <w:r>
        <w:rPr>
          <w:rFonts w:hint="eastAsia" w:ascii="宋体" w:hAnsi="宋体" w:eastAsia="宋体" w:cs="仿宋"/>
          <w:color w:val="auto"/>
          <w:sz w:val="24"/>
          <w:szCs w:val="24"/>
          <w:highlight w:val="none"/>
        </w:rPr>
        <w:t>账户，并在</w:t>
      </w:r>
      <w:r>
        <w:rPr>
          <w:rFonts w:hint="eastAsia" w:ascii="宋体" w:hAnsi="宋体" w:eastAsia="宋体" w:cs="仿宋"/>
          <w:color w:val="auto"/>
          <w:sz w:val="24"/>
          <w:szCs w:val="24"/>
          <w:highlight w:val="none"/>
          <w:lang w:eastAsia="zh-CN"/>
        </w:rPr>
        <w:t>响应文件</w:t>
      </w:r>
      <w:r>
        <w:rPr>
          <w:rFonts w:hint="eastAsia" w:ascii="宋体" w:hAnsi="宋体" w:eastAsia="宋体" w:cs="仿宋"/>
          <w:color w:val="auto"/>
          <w:sz w:val="24"/>
          <w:szCs w:val="24"/>
          <w:highlight w:val="none"/>
        </w:rPr>
        <w:t>中提供交纳保证金凭证</w:t>
      </w:r>
      <w:r>
        <w:rPr>
          <w:rFonts w:hint="eastAsia" w:ascii="宋体" w:hAnsi="宋体" w:eastAsia="宋体" w:cs="仿宋"/>
          <w:color w:val="auto"/>
          <w:sz w:val="24"/>
          <w:szCs w:val="24"/>
          <w:highlight w:val="none"/>
          <w:lang w:val="en-US" w:eastAsia="zh-CN"/>
        </w:rPr>
        <w:t>扫描件</w:t>
      </w:r>
      <w:r>
        <w:rPr>
          <w:rFonts w:hint="eastAsia" w:ascii="宋体" w:hAnsi="宋体" w:eastAsia="宋体" w:cs="仿宋"/>
          <w:color w:val="auto"/>
          <w:sz w:val="24"/>
          <w:szCs w:val="24"/>
          <w:highlight w:val="none"/>
        </w:rPr>
        <w:t>或截图</w:t>
      </w:r>
      <w:r>
        <w:rPr>
          <w:rFonts w:hint="eastAsia" w:ascii="宋体" w:hAnsi="宋体" w:eastAsia="宋体" w:cs="仿宋"/>
          <w:color w:val="auto"/>
          <w:sz w:val="24"/>
          <w:szCs w:val="24"/>
          <w:highlight w:val="none"/>
          <w:lang w:eastAsia="zh-CN"/>
        </w:rPr>
        <w:t>：</w:t>
      </w:r>
    </w:p>
    <w:p w14:paraId="4F706785">
      <w:pPr>
        <w:keepNext w:val="0"/>
        <w:keepLines w:val="0"/>
        <w:pageBreakBefore w:val="0"/>
        <w:widowControl w:val="0"/>
        <w:kinsoku/>
        <w:wordWrap/>
        <w:overflowPunct/>
        <w:topLinePunct w:val="0"/>
        <w:autoSpaceDE/>
        <w:autoSpaceDN/>
        <w:bidi w:val="0"/>
        <w:adjustRightInd/>
        <w:snapToGrid/>
        <w:spacing w:line="360" w:lineRule="auto"/>
        <w:ind w:left="0" w:leftChars="0" w:firstLine="9" w:firstLineChars="4"/>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2、采用保函形式：</w:t>
      </w:r>
    </w:p>
    <w:p w14:paraId="337AC44D">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ascii="宋体" w:hAnsi="宋体" w:eastAsia="宋体" w:cs="仿宋"/>
          <w:color w:val="auto"/>
          <w:sz w:val="24"/>
          <w:szCs w:val="24"/>
          <w:highlight w:val="none"/>
        </w:rPr>
      </w:pPr>
      <w:r>
        <w:rPr>
          <w:rFonts w:hint="eastAsia" w:ascii="宋体" w:hAnsi="宋体" w:eastAsia="宋体" w:cs="仿宋"/>
          <w:color w:val="auto"/>
          <w:sz w:val="24"/>
          <w:szCs w:val="24"/>
          <w:highlight w:val="none"/>
        </w:rPr>
        <w:t>2.1采用银行保函的，须为供应商基本账户（</w:t>
      </w:r>
      <w:r>
        <w:rPr>
          <w:rFonts w:hint="eastAsia" w:ascii="宋体" w:hAnsi="宋体" w:eastAsia="宋体" w:cs="仿宋"/>
          <w:color w:val="auto"/>
          <w:sz w:val="24"/>
          <w:szCs w:val="24"/>
          <w:highlight w:val="none"/>
          <w:lang w:val="en-US" w:eastAsia="zh-CN"/>
        </w:rPr>
        <w:t>响应文件</w:t>
      </w:r>
      <w:r>
        <w:rPr>
          <w:rFonts w:hint="eastAsia" w:ascii="宋体" w:hAnsi="宋体" w:eastAsia="宋体" w:cs="仿宋"/>
          <w:color w:val="auto"/>
          <w:sz w:val="24"/>
          <w:szCs w:val="24"/>
          <w:highlight w:val="none"/>
        </w:rPr>
        <w:t>中提供开户许可复印件）或江西省辖区内商业银行营业网点出具的不可撤销、见索即付的独立保函；采用专业担保机构出具保函的，须为担保机构出具的不可撤销、见索即付的独立保函；</w:t>
      </w:r>
    </w:p>
    <w:p w14:paraId="5164D7F7">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仿宋"/>
          <w:color w:val="auto"/>
          <w:sz w:val="24"/>
          <w:szCs w:val="24"/>
          <w:highlight w:val="none"/>
          <w:lang w:val="en-US" w:eastAsia="zh-CN"/>
        </w:rPr>
        <w:t>官方</w:t>
      </w:r>
      <w:r>
        <w:rPr>
          <w:rFonts w:hint="eastAsia" w:ascii="宋体" w:hAnsi="宋体" w:eastAsia="宋体" w:cs="仿宋"/>
          <w:color w:val="auto"/>
          <w:sz w:val="24"/>
          <w:szCs w:val="24"/>
          <w:highlight w:val="none"/>
        </w:rPr>
        <w:t>网站验证查询，如以上渠道未能验证查询到的，</w:t>
      </w:r>
      <w:r>
        <w:rPr>
          <w:rFonts w:hint="eastAsia" w:ascii="宋体" w:hAnsi="宋体" w:eastAsia="宋体" w:cs="仿宋"/>
          <w:b/>
          <w:bCs/>
          <w:color w:val="auto"/>
          <w:sz w:val="24"/>
          <w:szCs w:val="24"/>
          <w:highlight w:val="none"/>
        </w:rPr>
        <w:t>视为无效保函</w:t>
      </w:r>
      <w:r>
        <w:rPr>
          <w:rFonts w:hint="eastAsia" w:ascii="宋体" w:hAnsi="宋体" w:eastAsia="宋体" w:cs="仿宋"/>
          <w:color w:val="auto"/>
          <w:sz w:val="24"/>
          <w:szCs w:val="24"/>
          <w:highlight w:val="none"/>
          <w:lang w:eastAsia="zh-CN"/>
        </w:rPr>
        <w:t>；</w:t>
      </w:r>
    </w:p>
    <w:p w14:paraId="4D7AC4F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2.</w:t>
      </w:r>
      <w:r>
        <w:rPr>
          <w:rFonts w:hint="eastAsia" w:ascii="宋体" w:hAnsi="宋体" w:eastAsia="宋体" w:cs="仿宋"/>
          <w:color w:val="auto"/>
          <w:sz w:val="24"/>
          <w:szCs w:val="24"/>
          <w:highlight w:val="none"/>
          <w:lang w:val="en-US" w:eastAsia="zh-CN"/>
        </w:rPr>
        <w:t>3</w:t>
      </w:r>
      <w:r>
        <w:rPr>
          <w:rFonts w:hint="eastAsia" w:ascii="宋体" w:hAnsi="宋体" w:eastAsia="宋体" w:cs="仿宋"/>
          <w:color w:val="auto"/>
          <w:sz w:val="24"/>
          <w:szCs w:val="24"/>
          <w:highlight w:val="none"/>
        </w:rPr>
        <w:t>保函有效期须不少于</w:t>
      </w:r>
      <w:r>
        <w:rPr>
          <w:rFonts w:hint="eastAsia" w:ascii="宋体" w:hAnsi="宋体" w:eastAsia="宋体" w:cs="仿宋"/>
          <w:color w:val="auto"/>
          <w:sz w:val="24"/>
          <w:szCs w:val="24"/>
          <w:highlight w:val="none"/>
          <w:lang w:eastAsia="zh-CN"/>
        </w:rPr>
        <w:t>磋商有效期</w:t>
      </w:r>
      <w:r>
        <w:rPr>
          <w:rFonts w:hint="eastAsia" w:ascii="宋体" w:hAnsi="宋体" w:eastAsia="宋体" w:cs="仿宋"/>
          <w:color w:val="auto"/>
          <w:sz w:val="24"/>
          <w:szCs w:val="24"/>
          <w:highlight w:val="none"/>
        </w:rPr>
        <w:t>，否则视为不满足要求</w:t>
      </w:r>
      <w:r>
        <w:rPr>
          <w:rFonts w:hint="eastAsia" w:ascii="宋体" w:hAnsi="宋体" w:eastAsia="宋体" w:cs="仿宋"/>
          <w:color w:val="auto"/>
          <w:sz w:val="24"/>
          <w:szCs w:val="24"/>
          <w:highlight w:val="none"/>
          <w:lang w:eastAsia="zh-CN"/>
        </w:rPr>
        <w:t>；</w:t>
      </w:r>
    </w:p>
    <w:p w14:paraId="1C1831AF">
      <w:pPr>
        <w:keepNext w:val="0"/>
        <w:keepLines w:val="0"/>
        <w:pageBreakBefore w:val="0"/>
        <w:widowControl w:val="0"/>
        <w:kinsoku/>
        <w:wordWrap/>
        <w:overflowPunct/>
        <w:topLinePunct w:val="0"/>
        <w:autoSpaceDE/>
        <w:autoSpaceDN/>
        <w:bidi w:val="0"/>
        <w:adjustRightInd/>
        <w:snapToGrid/>
        <w:spacing w:line="360" w:lineRule="auto"/>
        <w:ind w:left="434" w:leftChars="0" w:hanging="434" w:hangingChars="181"/>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2.</w:t>
      </w:r>
      <w:r>
        <w:rPr>
          <w:rFonts w:hint="eastAsia" w:ascii="宋体" w:hAnsi="宋体" w:eastAsia="宋体" w:cs="仿宋"/>
          <w:color w:val="auto"/>
          <w:sz w:val="24"/>
          <w:szCs w:val="24"/>
          <w:highlight w:val="none"/>
          <w:lang w:val="en-US" w:eastAsia="zh-CN"/>
        </w:rPr>
        <w:t>4保函保证担保范围须包含采购文件约定的不予退还磋商保证金的情形，</w:t>
      </w:r>
      <w:r>
        <w:rPr>
          <w:rFonts w:hint="eastAsia" w:ascii="宋体" w:hAnsi="宋体" w:eastAsia="宋体" w:cs="仿宋"/>
          <w:color w:val="auto"/>
          <w:sz w:val="24"/>
          <w:szCs w:val="24"/>
          <w:highlight w:val="none"/>
        </w:rPr>
        <w:t>否则视为不满足要求。</w:t>
      </w:r>
    </w:p>
    <w:p w14:paraId="48BF0E7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3、采用其他形式缴纳保证金的，需提供符合国家规定的相应凭证。</w:t>
      </w:r>
    </w:p>
    <w:p w14:paraId="40F82C4C">
      <w:pPr>
        <w:keepNext w:val="0"/>
        <w:keepLines w:val="0"/>
        <w:pageBreakBefore w:val="0"/>
        <w:widowControl w:val="0"/>
        <w:kinsoku/>
        <w:wordWrap/>
        <w:overflowPunct/>
        <w:topLinePunct w:val="0"/>
        <w:autoSpaceDE/>
        <w:autoSpaceDN/>
        <w:bidi w:val="0"/>
        <w:adjustRightInd/>
        <w:snapToGrid/>
        <w:spacing w:line="360" w:lineRule="auto"/>
        <w:ind w:left="359" w:leftChars="171" w:firstLine="0" w:firstLineChars="0"/>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未提供保证金凭证、或提供的保证金凭证及资料不满足上述要求的，视为未缴纳保证金。</w:t>
      </w:r>
    </w:p>
    <w:p w14:paraId="66C24F53">
      <w:pPr>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br w:type="page"/>
      </w:r>
    </w:p>
    <w:p w14:paraId="59BD947D">
      <w:pPr>
        <w:pageBreakBefore w:val="0"/>
        <w:widowControl w:val="0"/>
        <w:wordWrap/>
        <w:overflowPunct/>
        <w:topLinePunct w:val="0"/>
        <w:bidi w:val="0"/>
        <w:spacing w:before="101" w:line="219" w:lineRule="auto"/>
        <w:jc w:val="center"/>
        <w:outlineLvl w:val="1"/>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制造商出具的授权函（适用于</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服务项目含有</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进口产品参加</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p>
    <w:p w14:paraId="79179463">
      <w:pPr>
        <w:pageBreakBefore w:val="0"/>
        <w:widowControl w:val="0"/>
        <w:wordWrap/>
        <w:overflowPunct/>
        <w:topLinePunct w:val="0"/>
        <w:bidi w:val="0"/>
        <w:spacing w:line="362" w:lineRule="auto"/>
        <w:rPr>
          <w:color w:val="auto"/>
          <w:highlight w:val="none"/>
          <w:lang w:eastAsia="zh-CN"/>
        </w:rPr>
      </w:pPr>
    </w:p>
    <w:p w14:paraId="0F61599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注：</w:t>
      </w:r>
      <w:r>
        <w:rPr>
          <w:rFonts w:hint="eastAsia" w:ascii="宋体" w:hAnsi="宋体" w:eastAsia="宋体" w:cs="宋体"/>
          <w:color w:val="auto"/>
          <w:sz w:val="24"/>
          <w:szCs w:val="24"/>
          <w:highlight w:val="none"/>
          <w:lang w:val="en-US" w:eastAsia="zh-CN"/>
        </w:rPr>
        <w:t>本格式仅作为“制造商出具的授权函”格式，如</w:t>
      </w:r>
      <w:r>
        <w:rPr>
          <w:rFonts w:hint="eastAsia" w:ascii="宋体" w:hAnsi="宋体" w:eastAsia="宋体" w:cs="宋体"/>
          <w:color w:val="auto"/>
          <w:sz w:val="24"/>
          <w:szCs w:val="24"/>
          <w:highlight w:val="none"/>
          <w:lang w:eastAsia="zh-CN"/>
        </w:rPr>
        <w:t>是“制造商的授权代理商出具的授权函”请参照本格式另行制定，磋商文件另有规定的从其规定）</w:t>
      </w:r>
    </w:p>
    <w:p w14:paraId="5237EDF7">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highlight w:val="none"/>
          <w:lang w:eastAsia="zh-CN"/>
        </w:rPr>
      </w:pPr>
    </w:p>
    <w:p w14:paraId="4F50935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color w:val="auto"/>
          <w:highlight w:val="none"/>
          <w:lang w:eastAsia="zh-CN"/>
        </w:rPr>
      </w:pPr>
      <w:r>
        <w:rPr>
          <w:rFonts w:ascii="宋体" w:hAnsi="宋体" w:eastAsia="宋体" w:cs="宋体"/>
          <w:color w:val="auto"/>
          <w:spacing w:val="-2"/>
          <w:sz w:val="24"/>
          <w:szCs w:val="24"/>
          <w:highlight w:val="none"/>
          <w:lang w:eastAsia="zh-CN"/>
        </w:rPr>
        <w:t>致：采购代理机构</w:t>
      </w:r>
    </w:p>
    <w:p w14:paraId="223CEE6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76" w:firstLineChars="200"/>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我们</w:t>
      </w:r>
      <w:r>
        <w:rPr>
          <w:rFonts w:ascii="宋体" w:hAnsi="宋体" w:eastAsia="宋体" w:cs="宋体"/>
          <w:color w:val="auto"/>
          <w:spacing w:val="-1"/>
          <w:sz w:val="24"/>
          <w:szCs w:val="24"/>
          <w:highlight w:val="none"/>
          <w:u w:val="single"/>
          <w:lang w:eastAsia="zh-CN"/>
        </w:rPr>
        <w:t>(制造商名称)</w:t>
      </w:r>
      <w:r>
        <w:rPr>
          <w:rFonts w:ascii="宋体" w:hAnsi="宋体" w:eastAsia="宋体" w:cs="宋体"/>
          <w:color w:val="auto"/>
          <w:spacing w:val="-1"/>
          <w:sz w:val="24"/>
          <w:szCs w:val="24"/>
          <w:highlight w:val="none"/>
          <w:lang w:eastAsia="zh-CN"/>
        </w:rPr>
        <w:t>，主要营业地点设在(</w:t>
      </w:r>
      <w:r>
        <w:rPr>
          <w:rFonts w:ascii="宋体" w:hAnsi="宋体" w:eastAsia="宋体" w:cs="宋体"/>
          <w:color w:val="auto"/>
          <w:spacing w:val="-1"/>
          <w:sz w:val="24"/>
          <w:szCs w:val="24"/>
          <w:highlight w:val="none"/>
          <w:u w:val="single"/>
          <w:lang w:eastAsia="zh-CN"/>
        </w:rPr>
        <w:t>制造商地址)</w:t>
      </w:r>
      <w:r>
        <w:rPr>
          <w:rFonts w:ascii="宋体" w:hAnsi="宋体" w:eastAsia="宋体" w:cs="宋体"/>
          <w:color w:val="auto"/>
          <w:spacing w:val="-2"/>
          <w:sz w:val="24"/>
          <w:szCs w:val="24"/>
          <w:highlight w:val="none"/>
          <w:lang w:eastAsia="zh-CN"/>
        </w:rPr>
        <w:t>。我们获悉按中华人民共和</w:t>
      </w:r>
      <w:r>
        <w:rPr>
          <w:rFonts w:ascii="宋体" w:hAnsi="宋体" w:eastAsia="宋体" w:cs="宋体"/>
          <w:color w:val="auto"/>
          <w:sz w:val="24"/>
          <w:szCs w:val="24"/>
          <w:highlight w:val="none"/>
          <w:lang w:eastAsia="zh-CN"/>
        </w:rPr>
        <w:t>国法律成立的,主要营业地点设在</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地址)</w:t>
      </w:r>
      <w:r>
        <w:rPr>
          <w:rFonts w:ascii="宋体" w:hAnsi="宋体" w:eastAsia="宋体" w:cs="宋体"/>
          <w:color w:val="auto"/>
          <w:sz w:val="24"/>
          <w:szCs w:val="24"/>
          <w:highlight w:val="none"/>
          <w:lang w:eastAsia="zh-CN"/>
        </w:rPr>
        <w:t>的</w:t>
      </w:r>
      <w:r>
        <w:rPr>
          <w:rFonts w:ascii="宋体" w:hAnsi="宋体" w:eastAsia="宋体" w:cs="宋体"/>
          <w:color w:val="auto"/>
          <w:spacing w:val="-66"/>
          <w:sz w:val="24"/>
          <w:szCs w:val="24"/>
          <w:highlight w:val="none"/>
          <w:u w:val="single"/>
          <w:lang w:eastAsia="zh-CN"/>
        </w:rPr>
        <w:t xml:space="preserve"> </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将以我</w:t>
      </w:r>
      <w:r>
        <w:rPr>
          <w:rFonts w:ascii="宋体" w:hAnsi="宋体" w:eastAsia="宋体" w:cs="宋体"/>
          <w:color w:val="auto"/>
          <w:spacing w:val="-1"/>
          <w:sz w:val="24"/>
          <w:szCs w:val="24"/>
          <w:highlight w:val="none"/>
          <w:lang w:eastAsia="zh-CN"/>
        </w:rPr>
        <w:t>方的产品</w:t>
      </w:r>
    </w:p>
    <w:p w14:paraId="1A5A4333">
      <w:pPr>
        <w:keepNext w:val="0"/>
        <w:keepLines w:val="0"/>
        <w:pageBreakBefore w:val="0"/>
        <w:widowControl w:val="0"/>
        <w:kinsoku w:val="0"/>
        <w:wordWrap/>
        <w:overflowPunct/>
        <w:topLinePunct w:val="0"/>
        <w:autoSpaceDE w:val="0"/>
        <w:autoSpaceDN w:val="0"/>
        <w:bidi w:val="0"/>
        <w:adjustRightInd w:val="0"/>
        <w:snapToGrid w:val="0"/>
        <w:spacing w:line="500" w:lineRule="atLeast"/>
        <w:ind w:left="36"/>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对贵公司的</w:t>
      </w:r>
      <w:r>
        <w:rPr>
          <w:rFonts w:hint="eastAsia" w:ascii="宋体" w:hAnsi="宋体" w:eastAsia="宋体" w:cs="宋体"/>
          <w:color w:val="auto"/>
          <w:spacing w:val="-1"/>
          <w:sz w:val="24"/>
          <w:szCs w:val="24"/>
          <w:highlight w:val="none"/>
          <w:lang w:val="en-US" w:eastAsia="zh-CN"/>
        </w:rPr>
        <w:t>磋商</w:t>
      </w:r>
      <w:r>
        <w:rPr>
          <w:rFonts w:ascii="宋体" w:hAnsi="宋体" w:eastAsia="宋体" w:cs="宋体"/>
          <w:color w:val="auto"/>
          <w:spacing w:val="-1"/>
          <w:sz w:val="24"/>
          <w:szCs w:val="24"/>
          <w:highlight w:val="none"/>
          <w:lang w:eastAsia="zh-CN"/>
        </w:rPr>
        <w:t>项目进行</w:t>
      </w:r>
      <w:r>
        <w:rPr>
          <w:rFonts w:hint="eastAsia" w:ascii="宋体" w:hAnsi="宋体" w:eastAsia="宋体" w:cs="宋体"/>
          <w:color w:val="auto"/>
          <w:spacing w:val="-1"/>
          <w:sz w:val="24"/>
          <w:szCs w:val="24"/>
          <w:highlight w:val="none"/>
          <w:lang w:val="en-US" w:eastAsia="zh-CN"/>
        </w:rPr>
        <w:t>响应</w:t>
      </w:r>
      <w:r>
        <w:rPr>
          <w:rFonts w:ascii="宋体" w:hAnsi="宋体" w:eastAsia="宋体" w:cs="宋体"/>
          <w:color w:val="auto"/>
          <w:spacing w:val="-1"/>
          <w:sz w:val="24"/>
          <w:szCs w:val="24"/>
          <w:highlight w:val="none"/>
          <w:lang w:eastAsia="zh-CN"/>
        </w:rPr>
        <w:t>，我们特作如下说明：</w:t>
      </w:r>
    </w:p>
    <w:p w14:paraId="56A7C050">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（1）同意</w:t>
      </w:r>
      <w:r>
        <w:rPr>
          <w:rFonts w:ascii="宋体" w:hAnsi="宋体" w:eastAsia="宋体" w:cs="宋体"/>
          <w:color w:val="auto"/>
          <w:spacing w:val="-3"/>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3"/>
          <w:sz w:val="24"/>
          <w:szCs w:val="24"/>
          <w:highlight w:val="none"/>
          <w:u w:val="single"/>
          <w:lang w:eastAsia="zh-CN"/>
        </w:rPr>
        <w:t>名称)</w:t>
      </w:r>
      <w:r>
        <w:rPr>
          <w:rFonts w:ascii="宋体" w:hAnsi="宋体" w:eastAsia="宋体" w:cs="宋体"/>
          <w:color w:val="auto"/>
          <w:spacing w:val="-3"/>
          <w:sz w:val="24"/>
          <w:szCs w:val="24"/>
          <w:highlight w:val="none"/>
          <w:lang w:eastAsia="zh-CN"/>
        </w:rPr>
        <w:t>在中华人民共和国境内以</w:t>
      </w:r>
      <w:r>
        <w:rPr>
          <w:rFonts w:ascii="宋体" w:hAnsi="宋体" w:eastAsia="宋体" w:cs="宋体"/>
          <w:color w:val="auto"/>
          <w:spacing w:val="-3"/>
          <w:sz w:val="24"/>
          <w:szCs w:val="24"/>
          <w:highlight w:val="none"/>
          <w:u w:val="single"/>
          <w:lang w:eastAsia="zh-CN"/>
        </w:rPr>
        <w:t>(制造商名称)</w:t>
      </w:r>
      <w:r>
        <w:rPr>
          <w:rFonts w:ascii="宋体" w:hAnsi="宋体" w:eastAsia="宋体" w:cs="宋体"/>
          <w:color w:val="auto"/>
          <w:spacing w:val="-3"/>
          <w:sz w:val="24"/>
          <w:szCs w:val="24"/>
          <w:highlight w:val="none"/>
          <w:lang w:eastAsia="zh-CN"/>
        </w:rPr>
        <w:t>的（</w:t>
      </w:r>
      <w:r>
        <w:rPr>
          <w:rFonts w:ascii="宋体" w:hAnsi="宋体" w:eastAsia="宋体" w:cs="宋体"/>
          <w:color w:val="auto"/>
          <w:spacing w:val="-3"/>
          <w:sz w:val="24"/>
          <w:szCs w:val="24"/>
          <w:highlight w:val="none"/>
          <w:u w:val="single"/>
          <w:lang w:eastAsia="zh-CN"/>
        </w:rPr>
        <w:t>产品名称、</w:t>
      </w:r>
      <w:r>
        <w:rPr>
          <w:rFonts w:ascii="宋体" w:hAnsi="宋体" w:eastAsia="宋体" w:cs="宋体"/>
          <w:color w:val="auto"/>
          <w:spacing w:val="16"/>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型号）</w:t>
      </w:r>
      <w:r>
        <w:rPr>
          <w:rFonts w:ascii="宋体" w:hAnsi="宋体" w:eastAsia="宋体" w:cs="宋体"/>
          <w:color w:val="auto"/>
          <w:spacing w:val="-1"/>
          <w:sz w:val="24"/>
          <w:szCs w:val="24"/>
          <w:highlight w:val="none"/>
          <w:lang w:eastAsia="zh-CN"/>
        </w:rPr>
        <w:t>参加贵公司有关</w:t>
      </w:r>
      <w:r>
        <w:rPr>
          <w:rFonts w:ascii="宋体" w:hAnsi="宋体" w:eastAsia="宋体" w:cs="宋体"/>
          <w:color w:val="auto"/>
          <w:spacing w:val="-1"/>
          <w:sz w:val="24"/>
          <w:szCs w:val="24"/>
          <w:highlight w:val="none"/>
          <w:u w:val="single"/>
          <w:lang w:eastAsia="zh-CN"/>
        </w:rPr>
        <w:t>（项目名称、项目编号</w:t>
      </w:r>
      <w:r>
        <w:rPr>
          <w:rFonts w:ascii="宋体" w:hAnsi="宋体" w:eastAsia="宋体" w:cs="宋体"/>
          <w:color w:val="auto"/>
          <w:spacing w:val="-2"/>
          <w:sz w:val="24"/>
          <w:szCs w:val="24"/>
          <w:highlight w:val="none"/>
          <w:u w:val="single"/>
          <w:lang w:eastAsia="zh-CN"/>
        </w:rPr>
        <w:t>）</w:t>
      </w:r>
      <w:r>
        <w:rPr>
          <w:rFonts w:hint="eastAsia" w:ascii="宋体" w:hAnsi="宋体" w:eastAsia="宋体" w:cs="宋体"/>
          <w:color w:val="auto"/>
          <w:spacing w:val="-2"/>
          <w:sz w:val="24"/>
          <w:szCs w:val="24"/>
          <w:highlight w:val="none"/>
          <w:lang w:val="en-US" w:eastAsia="zh-CN"/>
        </w:rPr>
        <w:t>磋商</w:t>
      </w:r>
      <w:r>
        <w:rPr>
          <w:rFonts w:ascii="宋体" w:hAnsi="宋体" w:eastAsia="宋体" w:cs="宋体"/>
          <w:color w:val="auto"/>
          <w:spacing w:val="-2"/>
          <w:sz w:val="24"/>
          <w:szCs w:val="24"/>
          <w:highlight w:val="none"/>
          <w:lang w:eastAsia="zh-CN"/>
        </w:rPr>
        <w:t>，并在</w:t>
      </w:r>
      <w:r>
        <w:rPr>
          <w:rFonts w:hint="eastAsia" w:ascii="宋体" w:hAnsi="宋体" w:eastAsia="宋体" w:cs="宋体"/>
          <w:color w:val="auto"/>
          <w:spacing w:val="-2"/>
          <w:sz w:val="24"/>
          <w:szCs w:val="24"/>
          <w:highlight w:val="none"/>
          <w:lang w:val="en-US" w:eastAsia="zh-CN"/>
        </w:rPr>
        <w:t>成交</w:t>
      </w:r>
      <w:r>
        <w:rPr>
          <w:rFonts w:ascii="宋体" w:hAnsi="宋体" w:eastAsia="宋体" w:cs="宋体"/>
          <w:color w:val="auto"/>
          <w:spacing w:val="-2"/>
          <w:sz w:val="24"/>
          <w:szCs w:val="24"/>
          <w:highlight w:val="none"/>
          <w:lang w:eastAsia="zh-CN"/>
        </w:rPr>
        <w:t>后向我方购买相关产</w:t>
      </w:r>
      <w:r>
        <w:rPr>
          <w:rFonts w:ascii="宋体" w:hAnsi="宋体" w:eastAsia="宋体" w:cs="宋体"/>
          <w:color w:val="auto"/>
          <w:spacing w:val="-15"/>
          <w:sz w:val="24"/>
          <w:szCs w:val="24"/>
          <w:highlight w:val="none"/>
          <w:lang w:eastAsia="zh-CN"/>
        </w:rPr>
        <w:t>品。</w:t>
      </w:r>
    </w:p>
    <w:p w14:paraId="09F605DA">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w:t>
      </w:r>
      <w:r>
        <w:rPr>
          <w:rFonts w:ascii="宋体" w:hAnsi="宋体" w:eastAsia="宋体" w:cs="宋体"/>
          <w:color w:val="auto"/>
          <w:spacing w:val="-11"/>
          <w:sz w:val="24"/>
          <w:szCs w:val="24"/>
          <w:highlight w:val="none"/>
          <w:lang w:eastAsia="zh-CN"/>
        </w:rPr>
        <w:t>）</w:t>
      </w:r>
      <w:r>
        <w:rPr>
          <w:rFonts w:ascii="宋体" w:hAnsi="宋体" w:eastAsia="宋体" w:cs="宋体"/>
          <w:color w:val="auto"/>
          <w:spacing w:val="-11"/>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在</w:t>
      </w:r>
      <w:r>
        <w:rPr>
          <w:rFonts w:hint="eastAsia" w:ascii="宋体" w:hAnsi="宋体" w:eastAsia="宋体" w:cs="宋体"/>
          <w:color w:val="auto"/>
          <w:sz w:val="24"/>
          <w:szCs w:val="24"/>
          <w:highlight w:val="none"/>
          <w:lang w:val="en-US" w:eastAsia="zh-CN"/>
        </w:rPr>
        <w:t>成交</w:t>
      </w:r>
      <w:r>
        <w:rPr>
          <w:rFonts w:ascii="宋体" w:hAnsi="宋体" w:eastAsia="宋体" w:cs="宋体"/>
          <w:color w:val="auto"/>
          <w:sz w:val="24"/>
          <w:szCs w:val="24"/>
          <w:highlight w:val="none"/>
          <w:lang w:eastAsia="zh-CN"/>
        </w:rPr>
        <w:t>后，将按照与采购人签订的合同承担责任。</w:t>
      </w:r>
    </w:p>
    <w:p w14:paraId="39ED015F">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（3）我们将依法承担制造商的责任。</w:t>
      </w:r>
    </w:p>
    <w:p w14:paraId="04A70959">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highlight w:val="none"/>
          <w:lang w:eastAsia="zh-CN"/>
        </w:rPr>
      </w:pPr>
    </w:p>
    <w:p w14:paraId="55250A14">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6" w:leftChars="22" w:firstLine="472" w:firstLineChars="200"/>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我方于</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日签署本文件，</w:t>
      </w:r>
      <w:r>
        <w:rPr>
          <w:rFonts w:ascii="宋体" w:hAnsi="宋体" w:eastAsia="宋体" w:cs="宋体"/>
          <w:color w:val="auto"/>
          <w:spacing w:val="-63"/>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2"/>
          <w:sz w:val="24"/>
          <w:szCs w:val="24"/>
          <w:highlight w:val="none"/>
          <w:u w:val="single"/>
          <w:lang w:eastAsia="zh-CN"/>
        </w:rPr>
        <w:t>名称</w:t>
      </w:r>
      <w:r>
        <w:rPr>
          <w:rFonts w:ascii="宋体" w:hAnsi="宋体" w:eastAsia="宋体" w:cs="宋体"/>
          <w:color w:val="auto"/>
          <w:spacing w:val="-2"/>
          <w:sz w:val="24"/>
          <w:szCs w:val="24"/>
          <w:highlight w:val="none"/>
          <w:lang w:eastAsia="zh-CN"/>
        </w:rPr>
        <w:t>于</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日接受此件，以此为证。</w:t>
      </w:r>
    </w:p>
    <w:p w14:paraId="6D39038E">
      <w:pPr>
        <w:keepNext w:val="0"/>
        <w:keepLines w:val="0"/>
        <w:pageBreakBefore w:val="0"/>
        <w:widowControl w:val="0"/>
        <w:kinsoku w:val="0"/>
        <w:wordWrap/>
        <w:overflowPunct/>
        <w:topLinePunct w:val="0"/>
        <w:autoSpaceDE w:val="0"/>
        <w:autoSpaceDN w:val="0"/>
        <w:bidi w:val="0"/>
        <w:adjustRightInd w:val="0"/>
        <w:snapToGrid w:val="0"/>
        <w:spacing w:before="16" w:line="500" w:lineRule="atLeast"/>
        <w:jc w:val="both"/>
        <w:textAlignment w:val="baseline"/>
        <w:rPr>
          <w:color w:val="auto"/>
          <w:highlight w:val="none"/>
          <w:lang w:eastAsia="zh-CN"/>
        </w:rPr>
      </w:pPr>
    </w:p>
    <w:p w14:paraId="7984DB0E">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5F1810BB">
      <w:pPr>
        <w:pStyle w:val="6"/>
        <w:rPr>
          <w:color w:val="auto"/>
          <w:highlight w:val="none"/>
          <w:lang w:eastAsia="zh-CN"/>
        </w:rPr>
        <w:sectPr>
          <w:footerReference r:id="rId12" w:type="default"/>
          <w:pgSz w:w="11906" w:h="16839"/>
          <w:pgMar w:top="1431" w:right="1587" w:bottom="1429" w:left="1587" w:header="0" w:footer="994" w:gutter="0"/>
          <w:pgNumType w:fmt="decimal"/>
          <w:cols w:equalWidth="0" w:num="1">
            <w:col w:w="8953"/>
          </w:cols>
        </w:sectPr>
      </w:pPr>
    </w:p>
    <w:p w14:paraId="56AA35F8">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ascii="宋体" w:hAnsi="宋体" w:eastAsia="宋体" w:cs="宋体"/>
          <w:color w:val="auto"/>
          <w:spacing w:val="0"/>
          <w:sz w:val="24"/>
          <w:szCs w:val="24"/>
          <w:highlight w:val="none"/>
          <w:u w:val="none"/>
          <w:lang w:eastAsia="zh-CN"/>
        </w:rPr>
      </w:pPr>
      <w:r>
        <w:rPr>
          <w:rFonts w:hint="eastAsia" w:ascii="宋体" w:hAnsi="宋体" w:eastAsia="宋体" w:cs="宋体"/>
          <w:color w:val="auto"/>
          <w:sz w:val="24"/>
          <w:szCs w:val="24"/>
          <w:highlight w:val="none"/>
          <w:u w:val="none"/>
          <w:lang w:eastAsia="zh-CN"/>
        </w:rPr>
        <w:t>供应商名称</w:t>
      </w:r>
      <w:r>
        <w:rPr>
          <w:rFonts w:ascii="宋体" w:hAnsi="宋体" w:eastAsia="宋体" w:cs="宋体"/>
          <w:color w:val="auto"/>
          <w:spacing w:val="0"/>
          <w:sz w:val="24"/>
          <w:szCs w:val="24"/>
          <w:highlight w:val="none"/>
          <w:u w:val="none"/>
          <w:lang w:eastAsia="zh-CN"/>
        </w:rPr>
        <w:t>：</w:t>
      </w:r>
    </w:p>
    <w:p w14:paraId="7F4D56EE">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2"/>
          <w:sz w:val="24"/>
          <w:szCs w:val="24"/>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职务：</w:t>
      </w:r>
    </w:p>
    <w:p w14:paraId="01554BC7">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color w:val="auto"/>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姓名：</w:t>
      </w:r>
    </w:p>
    <w:p w14:paraId="2290BEE2">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签字人签名或签章：</w:t>
      </w:r>
    </w:p>
    <w:p w14:paraId="40EEFF2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ascii="宋体" w:hAnsi="宋体" w:eastAsia="宋体" w:cs="宋体"/>
          <w:color w:val="auto"/>
          <w:spacing w:val="-2"/>
          <w:sz w:val="24"/>
          <w:szCs w:val="24"/>
          <w:highlight w:val="none"/>
          <w:lang w:eastAsia="zh-CN"/>
        </w:rPr>
      </w:pPr>
      <w:r>
        <w:rPr>
          <w:color w:val="auto"/>
          <w:sz w:val="2"/>
          <w:szCs w:val="2"/>
          <w:highlight w:val="none"/>
          <w:lang w:eastAsia="zh-CN"/>
        </w:rPr>
        <w:br w:type="column"/>
      </w:r>
      <w:r>
        <w:rPr>
          <w:rFonts w:ascii="宋体" w:hAnsi="宋体" w:eastAsia="宋体" w:cs="宋体"/>
          <w:color w:val="auto"/>
          <w:spacing w:val="-2"/>
          <w:sz w:val="24"/>
          <w:szCs w:val="24"/>
          <w:highlight w:val="none"/>
          <w:lang w:eastAsia="zh-CN"/>
        </w:rPr>
        <w:t>制造商</w:t>
      </w:r>
      <w:r>
        <w:rPr>
          <w:rFonts w:hint="eastAsia" w:ascii="宋体" w:hAnsi="宋体" w:eastAsia="宋体" w:cs="宋体"/>
          <w:color w:val="auto"/>
          <w:spacing w:val="-2"/>
          <w:sz w:val="24"/>
          <w:szCs w:val="24"/>
          <w:highlight w:val="none"/>
          <w:lang w:eastAsia="zh-CN"/>
        </w:rPr>
        <w:t>名称</w:t>
      </w:r>
      <w:r>
        <w:rPr>
          <w:rFonts w:ascii="宋体" w:hAnsi="宋体" w:eastAsia="宋体" w:cs="宋体"/>
          <w:color w:val="auto"/>
          <w:spacing w:val="-2"/>
          <w:sz w:val="24"/>
          <w:szCs w:val="24"/>
          <w:highlight w:val="none"/>
          <w:lang w:eastAsia="zh-CN"/>
        </w:rPr>
        <w:t>：</w:t>
      </w:r>
    </w:p>
    <w:p w14:paraId="75A7B23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color w:val="auto"/>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职务：</w:t>
      </w:r>
    </w:p>
    <w:p w14:paraId="0C5DA0E5">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32" w:afterAutospacing="0" w:line="500" w:lineRule="atLeast"/>
        <w:ind w:left="0" w:leftChars="0" w:firstLine="0" w:firstLineChars="0"/>
        <w:textAlignment w:val="baseline"/>
        <w:rPr>
          <w:rFonts w:ascii="宋体" w:hAnsi="宋体" w:eastAsia="宋体" w:cs="宋体"/>
          <w:color w:val="auto"/>
          <w:spacing w:val="-2"/>
          <w:sz w:val="24"/>
          <w:szCs w:val="24"/>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姓名：</w:t>
      </w:r>
    </w:p>
    <w:p w14:paraId="40387110">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50" w:afterAutospacing="0" w:line="500" w:lineRule="atLeast"/>
        <w:ind w:left="0" w:leftChars="0" w:firstLine="0" w:firstLineChars="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签字人签名或签章：</w:t>
      </w:r>
    </w:p>
    <w:p w14:paraId="7630921D">
      <w:pPr>
        <w:pStyle w:val="6"/>
        <w:spacing w:beforeAutospacing="0"/>
        <w:rPr>
          <w:color w:val="auto"/>
          <w:highlight w:val="none"/>
          <w:lang w:eastAsia="zh-CN"/>
        </w:rPr>
      </w:pPr>
    </w:p>
    <w:p w14:paraId="61CEF4F5">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z w:val="24"/>
          <w:szCs w:val="24"/>
          <w:highlight w:val="none"/>
          <w:lang w:eastAsia="zh-CN"/>
        </w:rPr>
        <w:sectPr>
          <w:type w:val="continuous"/>
          <w:pgSz w:w="11906" w:h="16839"/>
          <w:pgMar w:top="1431" w:right="1167" w:bottom="1156" w:left="1785" w:header="0" w:footer="994" w:gutter="0"/>
          <w:pgNumType w:fmt="decimal"/>
          <w:cols w:equalWidth="0" w:num="2">
            <w:col w:w="5063" w:space="100"/>
            <w:col w:w="3790"/>
          </w:cols>
        </w:sectPr>
      </w:pPr>
    </w:p>
    <w:p w14:paraId="0E57FD9A">
      <w:pPr>
        <w:pageBreakBefore w:val="0"/>
        <w:widowControl w:val="0"/>
        <w:wordWrap/>
        <w:overflowPunct/>
        <w:topLinePunct w:val="0"/>
        <w:bidi w:val="0"/>
        <w:spacing w:before="101" w:line="219" w:lineRule="auto"/>
        <w:ind w:left="2109"/>
        <w:outlineLvl w:val="1"/>
        <w:rPr>
          <w:rFonts w:ascii="宋体" w:hAnsi="宋体" w:eastAsia="宋体" w:cs="宋体"/>
          <w:color w:val="auto"/>
          <w:sz w:val="24"/>
          <w:szCs w:val="24"/>
          <w:highlight w:val="none"/>
          <w:lang w:eastAsia="zh-CN"/>
        </w:rPr>
      </w:pPr>
      <w:bookmarkStart w:id="20" w:name="bookmark70"/>
      <w:bookmarkEnd w:id="20"/>
      <w:bookmarkStart w:id="21" w:name="bookmark75"/>
      <w:bookmarkEnd w:id="21"/>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联合体协议（适用于联合体</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p>
    <w:p w14:paraId="6941480B">
      <w:pPr>
        <w:pageBreakBefore w:val="0"/>
        <w:widowControl w:val="0"/>
        <w:wordWrap/>
        <w:overflowPunct/>
        <w:topLinePunct w:val="0"/>
        <w:bidi w:val="0"/>
        <w:spacing w:line="361" w:lineRule="auto"/>
        <w:rPr>
          <w:color w:val="auto"/>
          <w:highlight w:val="none"/>
          <w:lang w:eastAsia="zh-CN"/>
        </w:rPr>
      </w:pPr>
    </w:p>
    <w:p w14:paraId="1402D658">
      <w:pPr>
        <w:pageBreakBefore w:val="0"/>
        <w:widowControl w:val="0"/>
        <w:wordWrap/>
        <w:overflowPunct/>
        <w:topLinePunct w:val="0"/>
        <w:bidi w:val="0"/>
        <w:spacing w:before="78" w:line="219" w:lineRule="auto"/>
        <w:jc w:val="right"/>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联合协议应当载明联合体各方承担的工作和义务，联合体协议各方均应当签章。</w:t>
      </w:r>
    </w:p>
    <w:p w14:paraId="160056E2">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3" w:type="default"/>
          <w:pgSz w:w="11906" w:h="16839"/>
          <w:pgMar w:top="1431" w:right="1731" w:bottom="1156" w:left="1785" w:header="0" w:footer="994" w:gutter="0"/>
          <w:pgNumType w:fmt="decimal"/>
          <w:cols w:space="720" w:num="1"/>
        </w:sectPr>
      </w:pPr>
    </w:p>
    <w:p w14:paraId="754AFA86">
      <w:pPr>
        <w:pageBreakBefore w:val="0"/>
        <w:widowControl w:val="0"/>
        <w:wordWrap/>
        <w:overflowPunct/>
        <w:topLinePunct w:val="0"/>
        <w:bidi w:val="0"/>
        <w:jc w:val="center"/>
        <w:rPr>
          <w:rFonts w:hint="eastAsia" w:ascii="宋体" w:hAnsi="宋体" w:eastAsia="宋体" w:cs="宋体"/>
          <w:b/>
          <w:color w:val="auto"/>
          <w:sz w:val="24"/>
          <w:szCs w:val="24"/>
          <w:highlight w:val="none"/>
        </w:rPr>
      </w:pPr>
      <w:bookmarkStart w:id="22" w:name="bookmark76"/>
      <w:bookmarkEnd w:id="22"/>
      <w:bookmarkStart w:id="23" w:name="bookmark71"/>
      <w:bookmarkEnd w:id="23"/>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7 本项目的其它特定资格证明材料</w:t>
      </w:r>
    </w:p>
    <w:p w14:paraId="70662E0B">
      <w:pPr>
        <w:pageBreakBefore w:val="0"/>
        <w:widowControl w:val="0"/>
        <w:wordWrap/>
        <w:overflowPunct/>
        <w:topLinePunct w:val="0"/>
        <w:bidi w:val="0"/>
        <w:jc w:val="both"/>
        <w:rPr>
          <w:rFonts w:hint="eastAsia" w:ascii="宋体" w:hAnsi="宋体" w:eastAsia="宋体" w:cs="仿宋"/>
          <w:color w:val="auto"/>
          <w:kern w:val="0"/>
          <w:highlight w:val="none"/>
          <w:shd w:val="clear" w:color="auto" w:fill="FFFFFF"/>
        </w:rPr>
      </w:pPr>
    </w:p>
    <w:p w14:paraId="07C3341C">
      <w:pPr>
        <w:pageBreakBefore w:val="0"/>
        <w:widowControl w:val="0"/>
        <w:wordWrap/>
        <w:overflowPunct/>
        <w:topLinePunct w:val="0"/>
        <w:bidi w:val="0"/>
        <w:jc w:val="center"/>
        <w:rPr>
          <w:rFonts w:ascii="宋体" w:hAnsi="宋体" w:eastAsia="宋体" w:cs="仿宋"/>
          <w:color w:val="auto"/>
          <w:kern w:val="0"/>
          <w:sz w:val="24"/>
          <w:szCs w:val="24"/>
          <w:highlight w:val="none"/>
          <w:shd w:val="clear" w:color="auto" w:fill="FFFFFF"/>
        </w:rPr>
      </w:pPr>
      <w:r>
        <w:rPr>
          <w:rFonts w:hint="eastAsia" w:ascii="宋体" w:hAnsi="宋体" w:eastAsia="宋体" w:cs="仿宋"/>
          <w:color w:val="auto"/>
          <w:kern w:val="0"/>
          <w:sz w:val="24"/>
          <w:szCs w:val="24"/>
          <w:highlight w:val="none"/>
          <w:shd w:val="clear" w:color="auto" w:fill="FFFFFF"/>
        </w:rPr>
        <w:t>（如属于特定行业项目,供应商应当具备特定行业法定准入要求。)</w:t>
      </w:r>
    </w:p>
    <w:p w14:paraId="0A37317B">
      <w:pPr>
        <w:pageBreakBefore w:val="0"/>
        <w:widowControl w:val="0"/>
        <w:wordWrap/>
        <w:overflowPunct/>
        <w:topLinePunct w:val="0"/>
        <w:autoSpaceDE w:val="0"/>
        <w:autoSpaceDN w:val="0"/>
        <w:bidi w:val="0"/>
        <w:adjustRightInd w:val="0"/>
        <w:jc w:val="center"/>
        <w:textAlignment w:val="baseline"/>
        <w:rPr>
          <w:rFonts w:ascii="宋体" w:hAnsi="宋体" w:eastAsia="宋体" w:cs="宋体"/>
          <w:b/>
          <w:color w:val="auto"/>
          <w:kern w:val="0"/>
          <w:highlight w:val="none"/>
        </w:rPr>
      </w:pPr>
    </w:p>
    <w:p w14:paraId="4E300E80">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0C93A4F8">
      <w:pPr>
        <w:pStyle w:val="3"/>
        <w:pageBreakBefore w:val="0"/>
        <w:widowControl w:val="0"/>
        <w:wordWrap/>
        <w:overflowPunct/>
        <w:topLinePunct w:val="0"/>
        <w:bidi w:val="0"/>
        <w:rPr>
          <w:rFonts w:ascii="宋体" w:hAnsi="宋体" w:eastAsia="宋体" w:cs="宋体"/>
          <w:color w:val="auto"/>
          <w:spacing w:val="20"/>
          <w:kern w:val="30"/>
          <w:sz w:val="24"/>
          <w:szCs w:val="24"/>
          <w:highlight w:val="none"/>
          <w:lang w:eastAsia="zh-CN"/>
        </w:rPr>
      </w:pPr>
    </w:p>
    <w:p w14:paraId="49BD6C76">
      <w:pPr>
        <w:pageBreakBefore w:val="0"/>
        <w:widowControl w:val="0"/>
        <w:wordWrap/>
        <w:overflowPunct/>
        <w:topLinePunct w:val="0"/>
        <w:bidi w:val="0"/>
        <w:rPr>
          <w:rFonts w:ascii="宋体" w:hAnsi="宋体" w:eastAsia="宋体" w:cs="宋体"/>
          <w:color w:val="auto"/>
          <w:spacing w:val="20"/>
          <w:kern w:val="30"/>
          <w:sz w:val="24"/>
          <w:szCs w:val="24"/>
          <w:highlight w:val="none"/>
          <w:lang w:eastAsia="zh-CN"/>
        </w:rPr>
      </w:pPr>
    </w:p>
    <w:p w14:paraId="62A81738">
      <w:pPr>
        <w:pStyle w:val="3"/>
        <w:pageBreakBefore w:val="0"/>
        <w:widowControl w:val="0"/>
        <w:wordWrap/>
        <w:overflowPunct/>
        <w:topLinePunct w:val="0"/>
        <w:bidi w:val="0"/>
        <w:rPr>
          <w:color w:val="auto"/>
          <w:highlight w:val="none"/>
          <w:lang w:eastAsia="zh-CN"/>
        </w:rPr>
      </w:pPr>
    </w:p>
    <w:p w14:paraId="051FF265">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28791F9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说明：</w:t>
      </w:r>
    </w:p>
    <w:p w14:paraId="1B9FD604">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应当提交的资格证明文件均为扫描件,未提交或不满足要求均视为无效</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。文件另有具体要求的从其规定。</w:t>
      </w:r>
    </w:p>
    <w:p w14:paraId="3FF7CDCE">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default"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pPr>
    </w:p>
    <w:p w14:paraId="14423481">
      <w:pPr>
        <w:pStyle w:val="23"/>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0A8661AF">
      <w:pPr>
        <w:pStyle w:val="23"/>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5949786D">
      <w:pPr>
        <w:pStyle w:val="23"/>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026D6D58">
      <w:pPr>
        <w:pStyle w:val="23"/>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227E81CA">
      <w:pPr>
        <w:pStyle w:val="23"/>
        <w:pageBreakBefore w:val="0"/>
        <w:widowControl w:val="0"/>
        <w:wordWrap/>
        <w:overflowPunct/>
        <w:topLinePunct w:val="0"/>
        <w:bidi w:val="0"/>
        <w:rPr>
          <w:rFonts w:hint="eastAsia" w:ascii="宋体" w:hAnsi="宋体" w:eastAsia="宋体" w:cs="仿宋"/>
          <w:b/>
          <w:color w:val="auto"/>
          <w:kern w:val="2"/>
          <w:sz w:val="24"/>
          <w:szCs w:val="24"/>
          <w:highlight w:val="none"/>
          <w:lang w:val="en-US" w:eastAsia="zh-CN" w:bidi="ar-SA"/>
        </w:rPr>
      </w:pPr>
    </w:p>
    <w:p w14:paraId="50D099FC">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26E294C2">
      <w:pPr>
        <w:pageBreakBefore w:val="0"/>
        <w:widowControl w:val="0"/>
        <w:wordWrap/>
        <w:overflowPunct/>
        <w:topLinePunct w:val="0"/>
        <w:bidi w:val="0"/>
        <w:spacing w:before="100" w:line="219" w:lineRule="auto"/>
        <w:outlineLvl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4" w:name="bookmark72"/>
      <w:bookmarkEnd w:id="24"/>
    </w:p>
    <w:p w14:paraId="4CB199A1">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13E44A7">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8401DE3">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BA505F1">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0F711A4">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BF7F0C1">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A76D693">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90F8782">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1F2076C0">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18C0CCB5">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D3FF1B3">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5E89867">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FD91E1B">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4F200F7">
      <w:pPr>
        <w:pStyle w:val="23"/>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4C0B9E62">
      <w:pP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br w:type="page"/>
      </w:r>
    </w:p>
    <w:p w14:paraId="0D192875">
      <w:pPr>
        <w:pageBreakBefore w:val="0"/>
        <w:widowControl w:val="0"/>
        <w:wordWrap/>
        <w:overflowPunct/>
        <w:topLinePunct w:val="0"/>
        <w:bidi w:val="0"/>
        <w:spacing w:before="100" w:line="219" w:lineRule="auto"/>
        <w:ind w:left="1930"/>
        <w:outlineLvl w:val="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8.为落实政府采购政策</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须提供的证明材料</w:t>
      </w:r>
    </w:p>
    <w:p w14:paraId="7FC7C3BE">
      <w:pPr>
        <w:pageBreakBefore w:val="0"/>
        <w:widowControl w:val="0"/>
        <w:wordWrap/>
        <w:overflowPunct/>
        <w:topLinePunct w:val="0"/>
        <w:bidi w:val="0"/>
        <w:spacing w:line="363" w:lineRule="auto"/>
        <w:rPr>
          <w:color w:val="auto"/>
          <w:highlight w:val="none"/>
          <w:lang w:eastAsia="zh-CN"/>
        </w:rPr>
      </w:pPr>
    </w:p>
    <w:p w14:paraId="4E51423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28"/>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中小企业声明函（工程、服务</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w:t>
      </w:r>
    </w:p>
    <w:p w14:paraId="67B8067A">
      <w:pPr>
        <w:pStyle w:val="6"/>
        <w:rPr>
          <w:rFonts w:hint="eastAsia"/>
          <w:lang w:eastAsia="zh-CN"/>
        </w:rPr>
      </w:pPr>
    </w:p>
    <w:p w14:paraId="01D45DB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ascii="宋体" w:hAnsi="宋体" w:eastAsia="宋体" w:cs="宋体"/>
          <w:sz w:val="24"/>
          <w:szCs w:val="24"/>
        </w:rPr>
      </w:pPr>
      <w:r>
        <w:rPr>
          <w:rFonts w:ascii="宋体" w:hAnsi="宋体" w:eastAsia="宋体" w:cs="宋体"/>
          <w:sz w:val="24"/>
          <w:szCs w:val="24"/>
        </w:rPr>
        <w:t>本公司（联合体）郑重声明，根据《政府采购促进中小企业发展管理办法》（财库﹝2020﹞46 号）的规定，本公司（联合体）参加</w:t>
      </w:r>
      <w:r>
        <w:rPr>
          <w:rFonts w:ascii="宋体" w:hAnsi="宋体" w:eastAsia="宋体" w:cs="宋体"/>
          <w:sz w:val="24"/>
          <w:szCs w:val="24"/>
          <w:u w:val="single"/>
        </w:rPr>
        <w:t>（单位名称）</w:t>
      </w:r>
      <w:r>
        <w:rPr>
          <w:rFonts w:ascii="宋体" w:hAnsi="宋体" w:eastAsia="宋体" w:cs="宋体"/>
          <w:sz w:val="24"/>
          <w:szCs w:val="24"/>
        </w:rPr>
        <w:t>的</w:t>
      </w:r>
      <w:r>
        <w:rPr>
          <w:rFonts w:ascii="宋体" w:hAnsi="宋体" w:eastAsia="宋体" w:cs="宋体"/>
          <w:sz w:val="24"/>
          <w:szCs w:val="24"/>
          <w:u w:val="single"/>
        </w:rPr>
        <w:t>（项目名称）</w:t>
      </w:r>
      <w:r>
        <w:rPr>
          <w:rFonts w:ascii="宋体" w:hAnsi="宋体" w:eastAsia="宋体" w:cs="宋体"/>
          <w:sz w:val="24"/>
          <w:szCs w:val="24"/>
        </w:rPr>
        <w:t>采购活动，工程的施工单位全部为符合政策要求的中小企业（或者：服务全部由符合政策要求的中小企业承接）。相关企业（含联合体中的中小企业、签订分包意向协议的中小企业）的具体情况如下：</w:t>
      </w:r>
    </w:p>
    <w:p w14:paraId="4293D63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ascii="宋体" w:hAnsi="宋体" w:eastAsia="宋体" w:cs="宋体"/>
          <w:sz w:val="24"/>
          <w:szCs w:val="24"/>
        </w:rPr>
      </w:pPr>
      <w:r>
        <w:rPr>
          <w:rFonts w:ascii="宋体" w:hAnsi="宋体" w:eastAsia="宋体" w:cs="宋体"/>
          <w:sz w:val="24"/>
          <w:szCs w:val="24"/>
        </w:rPr>
        <w:t xml:space="preserve"> 1.</w:t>
      </w:r>
      <w:r>
        <w:rPr>
          <w:rFonts w:ascii="宋体" w:hAnsi="宋体" w:eastAsia="宋体" w:cs="宋体"/>
          <w:sz w:val="24"/>
          <w:szCs w:val="24"/>
          <w:u w:val="single"/>
        </w:rPr>
        <w:t>（标的名称）</w:t>
      </w:r>
      <w:r>
        <w:rPr>
          <w:rFonts w:ascii="宋体" w:hAnsi="宋体" w:eastAsia="宋体" w:cs="宋体"/>
          <w:sz w:val="24"/>
          <w:szCs w:val="24"/>
        </w:rPr>
        <w:t>，属于</w:t>
      </w:r>
      <w:r>
        <w:rPr>
          <w:rFonts w:ascii="宋体" w:hAnsi="宋体" w:eastAsia="宋体" w:cs="宋体"/>
          <w:sz w:val="24"/>
          <w:szCs w:val="24"/>
          <w:u w:val="single"/>
        </w:rPr>
        <w:t>（采购文件中明确的所属行业）</w:t>
      </w:r>
      <w:r>
        <w:rPr>
          <w:rFonts w:ascii="宋体" w:hAnsi="宋体" w:eastAsia="宋体" w:cs="宋体"/>
          <w:sz w:val="24"/>
          <w:szCs w:val="24"/>
        </w:rPr>
        <w:t>； 承建（承接）企业为</w:t>
      </w:r>
      <w:r>
        <w:rPr>
          <w:rFonts w:ascii="宋体" w:hAnsi="宋体" w:eastAsia="宋体" w:cs="宋体"/>
          <w:sz w:val="24"/>
          <w:szCs w:val="24"/>
          <w:u w:val="single"/>
        </w:rPr>
        <w:t>（企业名称）</w:t>
      </w:r>
      <w:r>
        <w:rPr>
          <w:rFonts w:ascii="宋体" w:hAnsi="宋体" w:eastAsia="宋体" w:cs="宋体"/>
          <w:sz w:val="24"/>
          <w:szCs w:val="24"/>
        </w:rPr>
        <w:t>，从业人员</w:t>
      </w:r>
      <w:r>
        <w:rPr>
          <w:rFonts w:hint="eastAsia" w:ascii="宋体" w:hAnsi="宋体" w:eastAsia="宋体" w:cs="宋体"/>
          <w:sz w:val="24"/>
          <w:szCs w:val="24"/>
          <w:u w:val="single"/>
          <w:lang w:val="en-US" w:eastAsia="zh-CN"/>
        </w:rPr>
        <w:t xml:space="preserve">       </w:t>
      </w:r>
      <w:r>
        <w:rPr>
          <w:rFonts w:ascii="宋体" w:hAnsi="宋体" w:eastAsia="宋体" w:cs="宋体"/>
          <w:sz w:val="24"/>
          <w:szCs w:val="24"/>
          <w:u w:val="single"/>
        </w:rPr>
        <w:t xml:space="preserve"> </w:t>
      </w:r>
      <w:r>
        <w:rPr>
          <w:rFonts w:ascii="宋体" w:hAnsi="宋体" w:eastAsia="宋体" w:cs="宋体"/>
          <w:sz w:val="24"/>
          <w:szCs w:val="24"/>
        </w:rPr>
        <w:t>人，营业收入为</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万元，资产总额为</w:t>
      </w:r>
      <w:r>
        <w:rPr>
          <w:rFonts w:hint="eastAsia" w:ascii="宋体" w:hAnsi="宋体" w:eastAsia="宋体" w:cs="宋体"/>
          <w:sz w:val="24"/>
          <w:szCs w:val="24"/>
          <w:lang w:val="en-US" w:eastAsia="zh-CN"/>
        </w:rPr>
        <w:t xml:space="preserve"> </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万元 ，属于</w:t>
      </w:r>
      <w:r>
        <w:rPr>
          <w:rFonts w:ascii="宋体" w:hAnsi="宋体" w:eastAsia="宋体" w:cs="宋体"/>
          <w:sz w:val="24"/>
          <w:szCs w:val="24"/>
          <w:u w:val="single"/>
        </w:rPr>
        <w:t>（中型企业、 小型企业、微型企业）</w:t>
      </w:r>
      <w:r>
        <w:rPr>
          <w:rFonts w:ascii="宋体" w:hAnsi="宋体" w:eastAsia="宋体" w:cs="宋体"/>
          <w:sz w:val="24"/>
          <w:szCs w:val="24"/>
        </w:rPr>
        <w:t>；</w:t>
      </w:r>
    </w:p>
    <w:p w14:paraId="3B97B13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ascii="宋体" w:hAnsi="宋体" w:eastAsia="宋体" w:cs="宋体"/>
          <w:sz w:val="24"/>
          <w:szCs w:val="24"/>
        </w:rPr>
      </w:pPr>
      <w:r>
        <w:rPr>
          <w:rFonts w:hint="eastAsia" w:ascii="宋体" w:hAnsi="宋体" w:eastAsia="宋体" w:cs="宋体"/>
          <w:sz w:val="24"/>
          <w:szCs w:val="24"/>
          <w:u w:val="none"/>
          <w:lang w:val="en-US" w:eastAsia="zh-CN"/>
        </w:rPr>
        <w:t>2.</w:t>
      </w:r>
      <w:r>
        <w:rPr>
          <w:rFonts w:ascii="宋体" w:hAnsi="宋体" w:eastAsia="宋体" w:cs="宋体"/>
          <w:sz w:val="24"/>
          <w:szCs w:val="24"/>
          <w:u w:val="single"/>
        </w:rPr>
        <w:t>（标的名称）</w:t>
      </w:r>
      <w:r>
        <w:rPr>
          <w:rFonts w:ascii="宋体" w:hAnsi="宋体" w:eastAsia="宋体" w:cs="宋体"/>
          <w:sz w:val="24"/>
          <w:szCs w:val="24"/>
        </w:rPr>
        <w:t xml:space="preserve"> ，属于</w:t>
      </w:r>
      <w:r>
        <w:rPr>
          <w:rFonts w:ascii="宋体" w:hAnsi="宋体" w:eastAsia="宋体" w:cs="宋体"/>
          <w:sz w:val="24"/>
          <w:szCs w:val="24"/>
          <w:u w:val="single"/>
        </w:rPr>
        <w:t>（采购文件中明确的所属行业）</w:t>
      </w:r>
      <w:r>
        <w:rPr>
          <w:rFonts w:ascii="宋体" w:hAnsi="宋体" w:eastAsia="宋体" w:cs="宋体"/>
          <w:sz w:val="24"/>
          <w:szCs w:val="24"/>
        </w:rPr>
        <w:t>； 承建（承接）企业为</w:t>
      </w:r>
      <w:r>
        <w:rPr>
          <w:rFonts w:ascii="宋体" w:hAnsi="宋体" w:eastAsia="宋体" w:cs="宋体"/>
          <w:sz w:val="24"/>
          <w:szCs w:val="24"/>
          <w:u w:val="single"/>
        </w:rPr>
        <w:t>（企业名称）</w:t>
      </w:r>
      <w:r>
        <w:rPr>
          <w:rFonts w:ascii="宋体" w:hAnsi="宋体" w:eastAsia="宋体" w:cs="宋体"/>
          <w:sz w:val="24"/>
          <w:szCs w:val="24"/>
        </w:rPr>
        <w:t>，从业人员</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人，营业收入为</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万元，资产总额为</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万元，属于</w:t>
      </w:r>
      <w:r>
        <w:rPr>
          <w:rFonts w:ascii="宋体" w:hAnsi="宋体" w:eastAsia="宋体" w:cs="宋体"/>
          <w:sz w:val="24"/>
          <w:szCs w:val="24"/>
          <w:u w:val="single"/>
        </w:rPr>
        <w:t>（中型企业、 小型企业、微型企业）</w:t>
      </w:r>
      <w:r>
        <w:rPr>
          <w:rFonts w:ascii="宋体" w:hAnsi="宋体" w:eastAsia="宋体" w:cs="宋体"/>
          <w:sz w:val="24"/>
          <w:szCs w:val="24"/>
        </w:rPr>
        <w:t xml:space="preserve">； </w:t>
      </w:r>
    </w:p>
    <w:p w14:paraId="65DACF1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120" w:leftChars="0" w:firstLine="480" w:firstLineChars="200"/>
        <w:jc w:val="both"/>
        <w:textAlignment w:val="baseline"/>
        <w:rPr>
          <w:rFonts w:ascii="宋体" w:hAnsi="宋体" w:eastAsia="宋体" w:cs="宋体"/>
          <w:sz w:val="24"/>
          <w:szCs w:val="24"/>
        </w:rPr>
      </w:pPr>
      <w:r>
        <w:rPr>
          <w:rFonts w:ascii="宋体" w:hAnsi="宋体" w:eastAsia="宋体" w:cs="宋体"/>
          <w:sz w:val="24"/>
          <w:szCs w:val="24"/>
        </w:rPr>
        <w:t xml:space="preserve">…… </w:t>
      </w:r>
    </w:p>
    <w:p w14:paraId="110A643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120" w:leftChars="0" w:firstLine="480" w:firstLineChars="200"/>
        <w:jc w:val="both"/>
        <w:textAlignment w:val="baseline"/>
        <w:rPr>
          <w:rFonts w:ascii="宋体" w:hAnsi="宋体" w:eastAsia="宋体" w:cs="宋体"/>
          <w:sz w:val="24"/>
          <w:szCs w:val="24"/>
        </w:rPr>
      </w:pPr>
      <w:r>
        <w:rPr>
          <w:rFonts w:ascii="宋体" w:hAnsi="宋体" w:eastAsia="宋体" w:cs="宋体"/>
          <w:sz w:val="24"/>
          <w:szCs w:val="24"/>
        </w:rPr>
        <w:t>以上企业，不属于大企业的分支机构，不存在控股股东为大企业的情形，也不存在与大企业的负责人为同一人的情形。</w:t>
      </w:r>
    </w:p>
    <w:p w14:paraId="3DBB19D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120" w:leftChars="0" w:firstLine="480" w:firstLineChars="200"/>
        <w:jc w:val="both"/>
        <w:textAlignment w:val="baseline"/>
        <w:rPr>
          <w:rFonts w:hint="eastAsia" w:ascii="宋体" w:hAnsi="宋体" w:eastAsia="宋体" w:cs="宋体"/>
          <w:sz w:val="24"/>
          <w:szCs w:val="24"/>
          <w:lang w:val="en-US" w:eastAsia="zh-CN"/>
        </w:rPr>
      </w:pPr>
      <w:r>
        <w:rPr>
          <w:rFonts w:ascii="宋体" w:hAnsi="宋体" w:eastAsia="宋体" w:cs="宋体"/>
          <w:sz w:val="24"/>
          <w:szCs w:val="24"/>
        </w:rPr>
        <w:t xml:space="preserve"> 本企业对上述声明内容的真实性负责。如有虚假，将依法承担相应责任</w:t>
      </w:r>
      <w:r>
        <w:rPr>
          <w:rFonts w:hint="eastAsia" w:ascii="宋体" w:hAnsi="宋体" w:eastAsia="宋体" w:cs="宋体"/>
          <w:sz w:val="24"/>
          <w:szCs w:val="24"/>
          <w:lang w:eastAsia="zh-CN"/>
        </w:rPr>
        <w:t>。</w:t>
      </w:r>
    </w:p>
    <w:p w14:paraId="67C1242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ascii="宋体" w:hAnsi="宋体" w:eastAsia="宋体" w:cs="宋体"/>
          <w:sz w:val="24"/>
          <w:szCs w:val="24"/>
        </w:rPr>
      </w:pPr>
    </w:p>
    <w:p w14:paraId="061E9A5B">
      <w:pPr>
        <w:pStyle w:val="6"/>
        <w:rPr>
          <w:rFonts w:ascii="宋体" w:hAnsi="宋体" w:eastAsia="宋体" w:cs="宋体"/>
          <w:sz w:val="24"/>
          <w:szCs w:val="24"/>
        </w:rPr>
      </w:pPr>
    </w:p>
    <w:p w14:paraId="7EC4E5B3">
      <w:pPr>
        <w:pStyle w:val="7"/>
      </w:pPr>
    </w:p>
    <w:p w14:paraId="1729012A">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ascii="宋体" w:hAnsi="宋体" w:eastAsia="宋体" w:cs="宋体"/>
          <w:sz w:val="24"/>
          <w:szCs w:val="24"/>
        </w:rPr>
      </w:pPr>
    </w:p>
    <w:p w14:paraId="6A44FD2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520" w:firstLineChars="2300"/>
        <w:jc w:val="both"/>
        <w:textAlignment w:val="baseline"/>
        <w:rPr>
          <w:rFonts w:ascii="宋体" w:hAnsi="宋体" w:eastAsia="宋体" w:cs="宋体"/>
          <w:sz w:val="24"/>
          <w:szCs w:val="24"/>
        </w:rPr>
      </w:pPr>
      <w:r>
        <w:rPr>
          <w:rFonts w:ascii="宋体" w:hAnsi="宋体" w:eastAsia="宋体" w:cs="宋体"/>
          <w:sz w:val="24"/>
          <w:szCs w:val="24"/>
        </w:rPr>
        <w:t xml:space="preserve">企业名称（盖章）： </w:t>
      </w:r>
    </w:p>
    <w:p w14:paraId="423164B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520" w:firstLineChars="2300"/>
        <w:jc w:val="both"/>
        <w:textAlignment w:val="baseline"/>
        <w:rPr>
          <w:color w:val="auto"/>
          <w:highlight w:val="none"/>
          <w:lang w:eastAsia="zh-CN"/>
        </w:rPr>
      </w:pPr>
      <w:r>
        <w:rPr>
          <w:rFonts w:ascii="宋体" w:hAnsi="宋体" w:eastAsia="宋体" w:cs="宋体"/>
          <w:sz w:val="24"/>
          <w:szCs w:val="24"/>
        </w:rPr>
        <w:t>日 期：</w:t>
      </w:r>
    </w:p>
    <w:p w14:paraId="1870F8E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520F60E9">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rPr>
        <w:t>注：1、从业人员、营业收入、资产总额填报上一年度数据</w:t>
      </w:r>
      <w:r>
        <w:rPr>
          <w:rFonts w:ascii="宋体" w:hAnsi="宋体" w:eastAsia="宋体" w:cs="宋体"/>
          <w:color w:val="auto"/>
          <w:spacing w:val="-1"/>
          <w:position w:val="17"/>
          <w:sz w:val="24"/>
          <w:szCs w:val="24"/>
          <w:highlight w:val="none"/>
          <w:lang w:eastAsia="zh-CN"/>
        </w:rPr>
        <w:t>，无上一年度数据的新成</w:t>
      </w:r>
      <w:r>
        <w:rPr>
          <w:rFonts w:hint="eastAsia" w:ascii="宋体" w:hAnsi="宋体" w:eastAsia="宋体" w:cs="宋体"/>
          <w:color w:val="auto"/>
          <w:spacing w:val="-1"/>
          <w:position w:val="17"/>
          <w:sz w:val="24"/>
          <w:szCs w:val="24"/>
          <w:highlight w:val="none"/>
          <w:lang w:val="en-US" w:eastAsia="zh-CN"/>
        </w:rPr>
        <w:t>立企业可不填报。</w:t>
      </w:r>
    </w:p>
    <w:p w14:paraId="565F7D40">
      <w:pPr>
        <w:rPr>
          <w:rFonts w:hint="eastAsia" w:ascii="宋体" w:hAnsi="宋体" w:eastAsia="宋体" w:cs="宋体"/>
          <w:b/>
          <w:bCs/>
          <w:color w:val="auto"/>
          <w:kern w:val="0"/>
          <w:sz w:val="28"/>
          <w:szCs w:val="28"/>
          <w:highlight w:val="none"/>
        </w:rPr>
      </w:pPr>
      <w:r>
        <w:rPr>
          <w:rFonts w:hint="eastAsia" w:ascii="宋体" w:hAnsi="宋体" w:eastAsia="宋体" w:cs="宋体"/>
          <w:b/>
          <w:bCs/>
          <w:color w:val="auto"/>
          <w:kern w:val="0"/>
          <w:sz w:val="28"/>
          <w:szCs w:val="28"/>
          <w:highlight w:val="none"/>
        </w:rPr>
        <w:br w:type="page"/>
      </w:r>
    </w:p>
    <w:p w14:paraId="7EC621FA">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kern w:val="0"/>
          <w:sz w:val="28"/>
          <w:szCs w:val="28"/>
          <w:highlight w:val="none"/>
          <w:lang w:val="en-US" w:eastAsia="zh-CN"/>
        </w:rPr>
      </w:pPr>
      <w:r>
        <w:rPr>
          <w:rFonts w:hint="eastAsia" w:ascii="宋体" w:hAnsi="宋体" w:eastAsia="宋体" w:cs="宋体"/>
          <w:b/>
          <w:bCs/>
          <w:color w:val="auto"/>
          <w:kern w:val="0"/>
          <w:sz w:val="28"/>
          <w:szCs w:val="28"/>
          <w:highlight w:val="none"/>
          <w:lang w:val="en-US" w:eastAsia="zh-CN"/>
        </w:rPr>
        <w:t>《中小企业声明函》填写指引及风险提示：</w:t>
      </w:r>
    </w:p>
    <w:p w14:paraId="10AC7889">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default" w:ascii="宋体" w:hAnsi="宋体" w:eastAsia="宋体" w:cs="宋体"/>
          <w:b/>
          <w:bCs/>
          <w:color w:val="auto"/>
          <w:kern w:val="0"/>
          <w:sz w:val="28"/>
          <w:szCs w:val="28"/>
          <w:highlight w:val="none"/>
          <w:lang w:val="en-US" w:eastAsia="zh-CN"/>
        </w:rPr>
      </w:pPr>
      <w:r>
        <w:rPr>
          <w:rFonts w:hint="eastAsia" w:ascii="宋体" w:hAnsi="宋体" w:eastAsia="宋体" w:cs="宋体"/>
          <w:b/>
          <w:bCs/>
          <w:color w:val="auto"/>
          <w:kern w:val="0"/>
          <w:sz w:val="28"/>
          <w:szCs w:val="28"/>
          <w:highlight w:val="none"/>
          <w:lang w:val="en-US" w:eastAsia="zh-CN"/>
        </w:rPr>
        <w:t>（一）填写指引：</w:t>
      </w:r>
    </w:p>
    <w:p w14:paraId="4BA04A68">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1、供应商在填写时请依照磋商文件提供的格式和内容填写，</w:t>
      </w:r>
      <w:r>
        <w:rPr>
          <w:rFonts w:hint="eastAsia" w:ascii="宋体" w:hAnsi="宋体" w:eastAsia="宋体" w:cs="宋体"/>
          <w:b/>
          <w:bCs/>
          <w:color w:val="auto"/>
          <w:kern w:val="0"/>
          <w:sz w:val="24"/>
          <w:szCs w:val="24"/>
          <w:highlight w:val="none"/>
          <w:lang w:val="en-US" w:eastAsia="zh-CN"/>
        </w:rPr>
        <w:t>不得随意变更格式</w:t>
      </w:r>
      <w:r>
        <w:rPr>
          <w:rFonts w:hint="eastAsia" w:ascii="宋体" w:hAnsi="宋体" w:eastAsia="宋体" w:cs="宋体"/>
          <w:b w:val="0"/>
          <w:bCs w:val="0"/>
          <w:color w:val="auto"/>
          <w:kern w:val="0"/>
          <w:sz w:val="24"/>
          <w:szCs w:val="24"/>
          <w:highlight w:val="none"/>
          <w:lang w:val="en-US" w:eastAsia="zh-CN"/>
        </w:rPr>
        <w:t>。</w:t>
      </w:r>
    </w:p>
    <w:p w14:paraId="7BC7657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2、《中小企业声明函》由供应商根据承接服务的企业实际情况填写，不符合要求的供应商可以不填写或直接删除本格式。</w:t>
      </w:r>
    </w:p>
    <w:p w14:paraId="50FD696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3、填写需参考的相关文件：（1）《政府采购促进中小企业发展管理办法》（财库【2020】46号）、《关于中小企业划型标准规定的通知》（工信部联企业【2011】300号文，详见下述附表）</w:t>
      </w:r>
    </w:p>
    <w:p w14:paraId="4B4FF11B">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4、具体要求：</w:t>
      </w:r>
    </w:p>
    <w:p w14:paraId="3955A650">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（1）第一处，在“单位名称”“项目名称”下划线处填写本采购项目的采购人名称和项目名称。</w:t>
      </w:r>
    </w:p>
    <w:p w14:paraId="64195A37">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第二处，在“标的名称”下划线处填写本项目采购具体品目的名称，如是单品目，直接填写项目名称或品目名称。在“采购文件中明确的所属行业”中填写本磋商文件第二章“供应商须知前附表”中列明的行业，一定要按照磋商文件明确的内容进行填写。</w:t>
      </w:r>
    </w:p>
    <w:p w14:paraId="19392BA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第三处，在“企业名称”下划线处如实填写承接服务的企业名称，在“从业人员”“营业收入”“资产总额”下划线处如实填写承接服务的企业相关信息，数据务必向承接服务的企业进行核实；如是多品目，须填写每一品目的承接服务的企业信息。如承接服务的企业是供应商，则填写供应商信息。</w:t>
      </w:r>
    </w:p>
    <w:p w14:paraId="2BF0AE0C">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（4）第四处在“中型企业、小型企业、微型企业”下划线处如实依照300号文确定承接服务的企业类型并填写。</w:t>
      </w:r>
    </w:p>
    <w:p w14:paraId="6CA0D3D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（5）填写内容应一一对应，不能漏填或误填。</w:t>
      </w:r>
    </w:p>
    <w:p w14:paraId="667E311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798A84BD">
      <w:pPr>
        <w:keepNext w:val="0"/>
        <w:keepLines/>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8"/>
          <w:szCs w:val="28"/>
          <w:highlight w:val="none"/>
          <w:lang w:val="en-US" w:eastAsia="zh-CN"/>
        </w:rPr>
      </w:pPr>
      <w:r>
        <w:rPr>
          <w:rFonts w:hint="eastAsia" w:ascii="宋体" w:hAnsi="宋体" w:eastAsia="宋体" w:cs="宋体"/>
          <w:b/>
          <w:bCs/>
          <w:color w:val="auto"/>
          <w:kern w:val="0"/>
          <w:sz w:val="28"/>
          <w:szCs w:val="28"/>
          <w:highlight w:val="none"/>
          <w:lang w:val="en-US" w:eastAsia="zh-CN"/>
        </w:rPr>
        <w:t>（二）风险提示：</w:t>
      </w:r>
    </w:p>
    <w:p w14:paraId="492B6C0D">
      <w:pPr>
        <w:pStyle w:val="6"/>
        <w:spacing w:line="360" w:lineRule="auto"/>
        <w:rPr>
          <w:rFonts w:hint="default"/>
          <w:color w:val="auto"/>
          <w:highlight w:val="none"/>
          <w:lang w:val="en-US" w:eastAsia="zh-CN"/>
        </w:rPr>
      </w:pPr>
      <w:r>
        <w:rPr>
          <w:rFonts w:hint="eastAsia" w:ascii="宋体" w:hAnsi="宋体" w:eastAsia="宋体" w:cs="宋体"/>
          <w:color w:val="auto"/>
          <w:sz w:val="24"/>
          <w:szCs w:val="24"/>
          <w:highlight w:val="none"/>
          <w:lang w:val="en-US" w:eastAsia="zh-CN"/>
        </w:rPr>
        <w:t>1、供应商填写</w:t>
      </w:r>
      <w:r>
        <w:rPr>
          <w:rFonts w:hint="eastAsia" w:ascii="宋体" w:hAnsi="宋体" w:eastAsia="宋体" w:cs="宋体"/>
          <w:b w:val="0"/>
          <w:bCs w:val="0"/>
          <w:color w:val="auto"/>
          <w:kern w:val="0"/>
          <w:sz w:val="24"/>
          <w:szCs w:val="24"/>
          <w:highlight w:val="none"/>
          <w:lang w:val="en-US" w:eastAsia="zh-CN"/>
        </w:rPr>
        <w:t>《中小企业声明函》的,必须如实填报，成交供应商享受了磋商文件规定的中小企业扶持政策的,《中小企业声明函》随成交结果公开，接受社会监督。</w:t>
      </w:r>
    </w:p>
    <w:p w14:paraId="620E8396">
      <w:pPr>
        <w:keepNext w:val="0"/>
        <w:keepLines/>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2、承接本项目服务的企业本身为中小企业，但存在属于大企业的分支机构或控股股东为大企业或与大企业的负责人为同一人的情形，也不享受磋商文件规定的中小企业扶持政策。</w:t>
      </w:r>
    </w:p>
    <w:p w14:paraId="15D63CC0">
      <w:pPr>
        <w:keepNext w:val="0"/>
        <w:keepLines/>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val="en-US" w:eastAsia="zh-CN"/>
        </w:rPr>
        <w:t>3、供应商提供声明函内容不实的，属于提供虚假材料谋取成交，依照《中华人民共和国政府采购法》等国家有关规定追究相应责任</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kern w:val="0"/>
          <w:sz w:val="24"/>
          <w:szCs w:val="24"/>
          <w:highlight w:val="none"/>
        </w:rPr>
        <w:t>附表</w:t>
      </w:r>
    </w:p>
    <w:p w14:paraId="21C0D4B9">
      <w:pPr>
        <w:pStyle w:val="14"/>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t>中小企业划型标准规定</w:t>
      </w:r>
    </w:p>
    <w:p w14:paraId="66D88275">
      <w:pPr>
        <w:pStyle w:val="14"/>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color w:val="auto"/>
          <w:sz w:val="24"/>
          <w:szCs w:val="24"/>
          <w:highlight w:val="none"/>
        </w:rPr>
        <w:t>工信部联企业〔2011〕300号</w:t>
      </w:r>
      <w:r>
        <w:rPr>
          <w:rFonts w:hint="eastAsia" w:ascii="宋体" w:hAnsi="宋体" w:eastAsia="宋体" w:cs="宋体"/>
          <w:b/>
          <w:bCs/>
          <w:color w:val="auto"/>
          <w:sz w:val="24"/>
          <w:szCs w:val="24"/>
          <w:highlight w:val="none"/>
        </w:rPr>
        <w:t>）</w:t>
      </w:r>
    </w:p>
    <w:p w14:paraId="1F7DA908">
      <w:pPr>
        <w:pStyle w:val="14"/>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---（摘要）</w:t>
      </w:r>
    </w:p>
    <w:p w14:paraId="5B2F209C">
      <w:pPr>
        <w:pStyle w:val="14"/>
        <w:pageBreakBefore w:val="0"/>
        <w:widowControl w:val="0"/>
        <w:numPr>
          <w:ilvl w:val="0"/>
          <w:numId w:val="1"/>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本规定适用的行业包括：</w:t>
      </w:r>
    </w:p>
    <w:p w14:paraId="1EE86AD0">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272F9FEE">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二、各行业划型标准为：</w:t>
      </w:r>
    </w:p>
    <w:p w14:paraId="0658914A">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（一）农、林、牧、渔业。</w:t>
      </w:r>
      <w:r>
        <w:rPr>
          <w:rFonts w:hint="eastAsia" w:ascii="宋体" w:hAnsi="宋体" w:eastAsia="宋体" w:cs="宋体"/>
          <w:color w:val="auto"/>
          <w:sz w:val="24"/>
          <w:szCs w:val="24"/>
          <w:highlight w:val="none"/>
        </w:rPr>
        <w:t>营业收入20000万元以下的为中小微型企业。其中，营业收入500万元及以上的为中型企业，营业收入50万元及以上的为小型企业，营业收入50万元以下的为微型企业。</w:t>
      </w:r>
    </w:p>
    <w:p w14:paraId="1E03B142">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（二）工业。</w:t>
      </w:r>
      <w:r>
        <w:rPr>
          <w:rFonts w:hint="eastAsia" w:ascii="宋体" w:hAnsi="宋体" w:eastAsia="宋体" w:cs="宋体"/>
          <w:color w:val="auto"/>
          <w:sz w:val="24"/>
          <w:szCs w:val="24"/>
          <w:highlight w:val="none"/>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0198BC26">
      <w:pPr>
        <w:pageBreakBefore w:val="0"/>
        <w:widowControl w:val="0"/>
        <w:kinsoku w:val="0"/>
        <w:wordWrap/>
        <w:overflowPunct/>
        <w:topLinePunct w:val="0"/>
        <w:autoSpaceDE w:val="0"/>
        <w:autoSpaceDN w:val="0"/>
        <w:bidi w:val="0"/>
        <w:adjustRightInd w:val="0"/>
        <w:snapToGrid w:val="0"/>
        <w:spacing w:before="0" w:beforeLines="33"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（三）建筑业。</w:t>
      </w:r>
      <w:r>
        <w:rPr>
          <w:rFonts w:hint="eastAsia" w:ascii="宋体" w:hAnsi="宋体" w:eastAsia="宋体" w:cs="宋体"/>
          <w:color w:val="auto"/>
          <w:sz w:val="24"/>
          <w:szCs w:val="24"/>
          <w:highlight w:val="none"/>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089792EF">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（四）批发业。</w:t>
      </w:r>
      <w:r>
        <w:rPr>
          <w:rFonts w:hint="eastAsia" w:ascii="宋体" w:hAnsi="宋体" w:eastAsia="宋体" w:cs="宋体"/>
          <w:color w:val="auto"/>
          <w:sz w:val="24"/>
          <w:szCs w:val="24"/>
          <w:highlight w:val="none"/>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3E3EF922">
      <w:pPr>
        <w:pageBreakBefore w:val="0"/>
        <w:widowControl w:val="0"/>
        <w:kinsoku w:val="0"/>
        <w:wordWrap/>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（五）零售业。</w:t>
      </w:r>
      <w:r>
        <w:rPr>
          <w:rFonts w:hint="eastAsia" w:ascii="宋体" w:hAnsi="宋体" w:eastAsia="宋体" w:cs="宋体"/>
          <w:color w:val="auto"/>
          <w:sz w:val="24"/>
          <w:szCs w:val="24"/>
          <w:highlight w:val="none"/>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7863A414">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（六）交通运输业。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68490CB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（七）仓储业。</w:t>
      </w:r>
      <w:r>
        <w:rPr>
          <w:rFonts w:hint="eastAsia" w:ascii="宋体" w:hAnsi="宋体" w:eastAsia="宋体" w:cs="宋体"/>
          <w:color w:val="auto"/>
          <w:sz w:val="24"/>
          <w:szCs w:val="24"/>
          <w:highlight w:val="none"/>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24C7D38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（八）邮政业。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09634B4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（九）住宿业。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015140A0">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（十）餐饮业。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0609C1FA">
      <w:pPr>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（十一）信息传输业。</w:t>
      </w:r>
      <w:r>
        <w:rPr>
          <w:rFonts w:hint="eastAsia" w:ascii="宋体" w:hAnsi="宋体" w:eastAsia="宋体" w:cs="宋体"/>
          <w:color w:val="auto"/>
          <w:sz w:val="24"/>
          <w:szCs w:val="24"/>
          <w:highlight w:val="none"/>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21C6081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（十二）软件和信息技术服务业。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10CD79BE">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（十三）房地产开发经营。</w:t>
      </w:r>
      <w:r>
        <w:rPr>
          <w:rFonts w:hint="eastAsia" w:ascii="宋体" w:hAnsi="宋体" w:eastAsia="宋体" w:cs="宋体"/>
          <w:color w:val="auto"/>
          <w:sz w:val="24"/>
          <w:szCs w:val="24"/>
          <w:highlight w:val="none"/>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64B35632">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（十四）物业管理。</w:t>
      </w:r>
      <w:r>
        <w:rPr>
          <w:rFonts w:hint="eastAsia" w:ascii="宋体" w:hAnsi="宋体" w:eastAsia="宋体" w:cs="宋体"/>
          <w:color w:val="auto"/>
          <w:sz w:val="24"/>
          <w:szCs w:val="24"/>
          <w:highlight w:val="none"/>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1A580390">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（十五）租赁和商务服务业。</w:t>
      </w:r>
      <w:r>
        <w:rPr>
          <w:rFonts w:hint="eastAsia" w:ascii="宋体" w:hAnsi="宋体" w:eastAsia="宋体" w:cs="宋体"/>
          <w:color w:val="auto"/>
          <w:sz w:val="24"/>
          <w:szCs w:val="24"/>
          <w:highlight w:val="none"/>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1BBE7B93">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（十六）其他未列明行业。</w:t>
      </w:r>
      <w:r>
        <w:rPr>
          <w:rFonts w:hint="eastAsia" w:ascii="宋体" w:hAnsi="宋体" w:eastAsia="宋体" w:cs="宋体"/>
          <w:color w:val="auto"/>
          <w:sz w:val="24"/>
          <w:szCs w:val="24"/>
          <w:highlight w:val="none"/>
        </w:rPr>
        <w:t>从业人员300人以下的为中小微型企业。其中，从业人员100人及以上的为中型企业；从业人员10人及以上的为小型企业；从业人员10人以下的为微型企业。</w:t>
      </w:r>
    </w:p>
    <w:p w14:paraId="45FBF4B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三、本规定适用于在中华人民共和国境内依法设立的各类所有制和各种组织形式的企业。个体工商户和本规定以外的行业，参照本规定进行划型。</w:t>
      </w:r>
    </w:p>
    <w:p w14:paraId="51C085D6">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四、本规定的中型企业标准上限即为大型企业标准的下限，国家统计部门据此制定大中小微型企业的统计分类。国务院有关部门据此进行相关数据分析，不得制定与本规定不一致的企业划型标准。</w:t>
      </w:r>
    </w:p>
    <w:p w14:paraId="79CE9DF1">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p>
    <w:p w14:paraId="17622767">
      <w:pPr>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highlight w:val="none"/>
          <w:lang w:eastAsia="zh-CN"/>
        </w:rPr>
        <w:sectPr>
          <w:footerReference r:id="rId14" w:type="default"/>
          <w:pgSz w:w="11906" w:h="16839"/>
          <w:pgMar w:top="1440" w:right="1800" w:bottom="1440" w:left="1800" w:header="0" w:footer="994" w:gutter="0"/>
          <w:pgNumType w:fmt="decimal"/>
          <w:cols w:space="720" w:num="1"/>
        </w:sectPr>
      </w:pPr>
    </w:p>
    <w:p w14:paraId="3263DC90">
      <w:pPr>
        <w:pageBreakBefore w:val="0"/>
        <w:widowControl w:val="0"/>
        <w:wordWrap/>
        <w:overflowPunct/>
        <w:topLinePunct w:val="0"/>
        <w:bidi w:val="0"/>
        <w:spacing w:before="101" w:line="219" w:lineRule="auto"/>
        <w:jc w:val="right"/>
        <w:outlineLvl w:val="1"/>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7"/>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46"/>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省级以上监狱管理局、戒毒管理局（含新疆生产建设兵团）出具的属于监狱</w:t>
      </w:r>
    </w:p>
    <w:p w14:paraId="031F338B">
      <w:pPr>
        <w:pageBreakBefore w:val="0"/>
        <w:widowControl w:val="0"/>
        <w:wordWrap/>
        <w:overflowPunct/>
        <w:topLinePunct w:val="0"/>
        <w:bidi w:val="0"/>
        <w:spacing w:before="183" w:line="219" w:lineRule="auto"/>
        <w:ind w:left="3740"/>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企业证明文件</w:t>
      </w:r>
    </w:p>
    <w:p w14:paraId="2EFCAF8C">
      <w:pPr>
        <w:pageBreakBefore w:val="0"/>
        <w:widowControl w:val="0"/>
        <w:wordWrap/>
        <w:overflowPunct/>
        <w:topLinePunct w:val="0"/>
        <w:bidi w:val="0"/>
        <w:spacing w:line="275" w:lineRule="auto"/>
        <w:rPr>
          <w:color w:val="auto"/>
          <w:highlight w:val="none"/>
          <w:lang w:eastAsia="zh-CN"/>
        </w:rPr>
      </w:pPr>
    </w:p>
    <w:p w14:paraId="03C9A2D0">
      <w:pPr>
        <w:pageBreakBefore w:val="0"/>
        <w:widowControl w:val="0"/>
        <w:wordWrap/>
        <w:overflowPunct/>
        <w:topLinePunct w:val="0"/>
        <w:bidi w:val="0"/>
        <w:spacing w:line="276" w:lineRule="auto"/>
        <w:rPr>
          <w:color w:val="auto"/>
          <w:highlight w:val="none"/>
          <w:lang w:eastAsia="zh-CN"/>
        </w:rPr>
      </w:pPr>
    </w:p>
    <w:p w14:paraId="2358D964">
      <w:pPr>
        <w:pStyle w:val="23"/>
        <w:pageBreakBefore w:val="0"/>
        <w:widowControl w:val="0"/>
        <w:wordWrap/>
        <w:overflowPunct/>
        <w:topLinePunct w:val="0"/>
        <w:bidi w:val="0"/>
        <w:rPr>
          <w:color w:val="auto"/>
          <w:highlight w:val="none"/>
          <w:lang w:eastAsia="zh-CN"/>
        </w:rPr>
      </w:pPr>
    </w:p>
    <w:p w14:paraId="5FF4E7FF">
      <w:pPr>
        <w:pStyle w:val="23"/>
        <w:pageBreakBefore w:val="0"/>
        <w:widowControl w:val="0"/>
        <w:wordWrap/>
        <w:overflowPunct/>
        <w:topLinePunct w:val="0"/>
        <w:bidi w:val="0"/>
        <w:rPr>
          <w:color w:val="auto"/>
          <w:highlight w:val="none"/>
          <w:lang w:eastAsia="zh-CN"/>
        </w:rPr>
      </w:pPr>
    </w:p>
    <w:p w14:paraId="0571375A">
      <w:pPr>
        <w:pStyle w:val="23"/>
        <w:pageBreakBefore w:val="0"/>
        <w:widowControl w:val="0"/>
        <w:wordWrap/>
        <w:overflowPunct/>
        <w:topLinePunct w:val="0"/>
        <w:bidi w:val="0"/>
        <w:rPr>
          <w:color w:val="auto"/>
          <w:highlight w:val="none"/>
          <w:lang w:eastAsia="zh-CN"/>
        </w:rPr>
      </w:pPr>
    </w:p>
    <w:p w14:paraId="3A25214B">
      <w:pPr>
        <w:pStyle w:val="23"/>
        <w:pageBreakBefore w:val="0"/>
        <w:widowControl w:val="0"/>
        <w:wordWrap/>
        <w:overflowPunct/>
        <w:topLinePunct w:val="0"/>
        <w:bidi w:val="0"/>
        <w:rPr>
          <w:color w:val="auto"/>
          <w:highlight w:val="none"/>
          <w:lang w:eastAsia="zh-CN"/>
        </w:rPr>
      </w:pPr>
    </w:p>
    <w:p w14:paraId="5ADE4B2C">
      <w:pPr>
        <w:pStyle w:val="23"/>
        <w:pageBreakBefore w:val="0"/>
        <w:widowControl w:val="0"/>
        <w:wordWrap/>
        <w:overflowPunct/>
        <w:topLinePunct w:val="0"/>
        <w:bidi w:val="0"/>
        <w:rPr>
          <w:color w:val="auto"/>
          <w:highlight w:val="none"/>
          <w:lang w:eastAsia="zh-CN"/>
        </w:rPr>
      </w:pPr>
    </w:p>
    <w:p w14:paraId="69156FD1">
      <w:pPr>
        <w:pStyle w:val="23"/>
        <w:pageBreakBefore w:val="0"/>
        <w:widowControl w:val="0"/>
        <w:wordWrap/>
        <w:overflowPunct/>
        <w:topLinePunct w:val="0"/>
        <w:bidi w:val="0"/>
        <w:rPr>
          <w:color w:val="auto"/>
          <w:highlight w:val="none"/>
          <w:lang w:eastAsia="zh-CN"/>
        </w:rPr>
      </w:pPr>
    </w:p>
    <w:p w14:paraId="0A3A2576">
      <w:pPr>
        <w:pStyle w:val="23"/>
        <w:pageBreakBefore w:val="0"/>
        <w:widowControl w:val="0"/>
        <w:wordWrap/>
        <w:overflowPunct/>
        <w:topLinePunct w:val="0"/>
        <w:bidi w:val="0"/>
        <w:rPr>
          <w:color w:val="auto"/>
          <w:highlight w:val="none"/>
          <w:lang w:eastAsia="zh-CN"/>
        </w:rPr>
      </w:pPr>
    </w:p>
    <w:p w14:paraId="5993F6B4">
      <w:pPr>
        <w:pStyle w:val="23"/>
        <w:pageBreakBefore w:val="0"/>
        <w:widowControl w:val="0"/>
        <w:wordWrap/>
        <w:overflowPunct/>
        <w:topLinePunct w:val="0"/>
        <w:bidi w:val="0"/>
        <w:rPr>
          <w:color w:val="auto"/>
          <w:highlight w:val="none"/>
          <w:lang w:eastAsia="zh-CN"/>
        </w:rPr>
      </w:pPr>
    </w:p>
    <w:p w14:paraId="49CD4E32">
      <w:pPr>
        <w:pStyle w:val="23"/>
        <w:pageBreakBefore w:val="0"/>
        <w:widowControl w:val="0"/>
        <w:wordWrap/>
        <w:overflowPunct/>
        <w:topLinePunct w:val="0"/>
        <w:bidi w:val="0"/>
        <w:rPr>
          <w:color w:val="auto"/>
          <w:highlight w:val="none"/>
          <w:lang w:eastAsia="zh-CN"/>
        </w:rPr>
      </w:pPr>
    </w:p>
    <w:p w14:paraId="739B92CD">
      <w:pPr>
        <w:pStyle w:val="23"/>
        <w:pageBreakBefore w:val="0"/>
        <w:widowControl w:val="0"/>
        <w:wordWrap/>
        <w:overflowPunct/>
        <w:topLinePunct w:val="0"/>
        <w:bidi w:val="0"/>
        <w:rPr>
          <w:color w:val="auto"/>
          <w:highlight w:val="none"/>
          <w:lang w:eastAsia="zh-CN"/>
        </w:rPr>
      </w:pPr>
    </w:p>
    <w:p w14:paraId="3E0D2198">
      <w:pPr>
        <w:pStyle w:val="23"/>
        <w:pageBreakBefore w:val="0"/>
        <w:widowControl w:val="0"/>
        <w:wordWrap/>
        <w:overflowPunct/>
        <w:topLinePunct w:val="0"/>
        <w:bidi w:val="0"/>
        <w:rPr>
          <w:color w:val="auto"/>
          <w:highlight w:val="none"/>
          <w:lang w:eastAsia="zh-CN"/>
        </w:rPr>
      </w:pPr>
    </w:p>
    <w:p w14:paraId="13EBFAE2">
      <w:pPr>
        <w:pStyle w:val="23"/>
        <w:pageBreakBefore w:val="0"/>
        <w:widowControl w:val="0"/>
        <w:wordWrap/>
        <w:overflowPunct/>
        <w:topLinePunct w:val="0"/>
        <w:bidi w:val="0"/>
        <w:rPr>
          <w:color w:val="auto"/>
          <w:highlight w:val="none"/>
          <w:lang w:eastAsia="zh-CN"/>
        </w:rPr>
      </w:pPr>
    </w:p>
    <w:p w14:paraId="3C3ED254">
      <w:pPr>
        <w:pStyle w:val="23"/>
        <w:pageBreakBefore w:val="0"/>
        <w:widowControl w:val="0"/>
        <w:wordWrap/>
        <w:overflowPunct/>
        <w:topLinePunct w:val="0"/>
        <w:bidi w:val="0"/>
        <w:rPr>
          <w:color w:val="auto"/>
          <w:highlight w:val="none"/>
          <w:lang w:eastAsia="zh-CN"/>
        </w:rPr>
      </w:pPr>
    </w:p>
    <w:p w14:paraId="58C5173C">
      <w:pPr>
        <w:pStyle w:val="23"/>
        <w:pageBreakBefore w:val="0"/>
        <w:widowControl w:val="0"/>
        <w:wordWrap/>
        <w:overflowPunct/>
        <w:topLinePunct w:val="0"/>
        <w:bidi w:val="0"/>
        <w:rPr>
          <w:color w:val="auto"/>
          <w:highlight w:val="none"/>
          <w:lang w:eastAsia="zh-CN"/>
        </w:rPr>
      </w:pPr>
    </w:p>
    <w:p w14:paraId="6A2C1E09">
      <w:pPr>
        <w:pStyle w:val="23"/>
        <w:pageBreakBefore w:val="0"/>
        <w:widowControl w:val="0"/>
        <w:wordWrap/>
        <w:overflowPunct/>
        <w:topLinePunct w:val="0"/>
        <w:bidi w:val="0"/>
        <w:rPr>
          <w:color w:val="auto"/>
          <w:highlight w:val="none"/>
          <w:lang w:eastAsia="zh-CN"/>
        </w:rPr>
      </w:pPr>
    </w:p>
    <w:p w14:paraId="62E40CD5">
      <w:pPr>
        <w:pStyle w:val="23"/>
        <w:pageBreakBefore w:val="0"/>
        <w:widowControl w:val="0"/>
        <w:wordWrap/>
        <w:overflowPunct/>
        <w:topLinePunct w:val="0"/>
        <w:bidi w:val="0"/>
        <w:rPr>
          <w:color w:val="auto"/>
          <w:highlight w:val="none"/>
          <w:lang w:eastAsia="zh-CN"/>
        </w:rPr>
      </w:pPr>
    </w:p>
    <w:p w14:paraId="69FF3C56">
      <w:pPr>
        <w:pStyle w:val="23"/>
        <w:pageBreakBefore w:val="0"/>
        <w:widowControl w:val="0"/>
        <w:wordWrap/>
        <w:overflowPunct/>
        <w:topLinePunct w:val="0"/>
        <w:bidi w:val="0"/>
        <w:rPr>
          <w:color w:val="auto"/>
          <w:highlight w:val="none"/>
          <w:lang w:eastAsia="zh-CN"/>
        </w:rPr>
      </w:pPr>
    </w:p>
    <w:p w14:paraId="3E7D34E6">
      <w:pPr>
        <w:pStyle w:val="23"/>
        <w:pageBreakBefore w:val="0"/>
        <w:widowControl w:val="0"/>
        <w:wordWrap/>
        <w:overflowPunct/>
        <w:topLinePunct w:val="0"/>
        <w:bidi w:val="0"/>
        <w:rPr>
          <w:color w:val="auto"/>
          <w:highlight w:val="none"/>
          <w:lang w:eastAsia="zh-CN"/>
        </w:rPr>
      </w:pPr>
    </w:p>
    <w:p w14:paraId="46F7FBF7">
      <w:pPr>
        <w:pStyle w:val="23"/>
        <w:pageBreakBefore w:val="0"/>
        <w:widowControl w:val="0"/>
        <w:wordWrap/>
        <w:overflowPunct/>
        <w:topLinePunct w:val="0"/>
        <w:bidi w:val="0"/>
        <w:rPr>
          <w:color w:val="auto"/>
          <w:highlight w:val="none"/>
          <w:lang w:eastAsia="zh-CN"/>
        </w:rPr>
      </w:pPr>
    </w:p>
    <w:p w14:paraId="0BC9673B">
      <w:pPr>
        <w:pStyle w:val="23"/>
        <w:pageBreakBefore w:val="0"/>
        <w:widowControl w:val="0"/>
        <w:wordWrap/>
        <w:overflowPunct/>
        <w:topLinePunct w:val="0"/>
        <w:bidi w:val="0"/>
        <w:rPr>
          <w:color w:val="auto"/>
          <w:highlight w:val="none"/>
          <w:lang w:eastAsia="zh-CN"/>
        </w:rPr>
      </w:pPr>
    </w:p>
    <w:p w14:paraId="6308272D">
      <w:pPr>
        <w:pStyle w:val="23"/>
        <w:pageBreakBefore w:val="0"/>
        <w:widowControl w:val="0"/>
        <w:wordWrap/>
        <w:overflowPunct/>
        <w:topLinePunct w:val="0"/>
        <w:bidi w:val="0"/>
        <w:rPr>
          <w:color w:val="auto"/>
          <w:highlight w:val="none"/>
          <w:lang w:eastAsia="zh-CN"/>
        </w:rPr>
      </w:pPr>
    </w:p>
    <w:p w14:paraId="4E4CBEB7">
      <w:pPr>
        <w:pStyle w:val="23"/>
        <w:pageBreakBefore w:val="0"/>
        <w:widowControl w:val="0"/>
        <w:wordWrap/>
        <w:overflowPunct/>
        <w:topLinePunct w:val="0"/>
        <w:bidi w:val="0"/>
        <w:rPr>
          <w:color w:val="auto"/>
          <w:highlight w:val="none"/>
          <w:lang w:eastAsia="zh-CN"/>
        </w:rPr>
      </w:pPr>
    </w:p>
    <w:p w14:paraId="5510A355">
      <w:pPr>
        <w:pStyle w:val="23"/>
        <w:pageBreakBefore w:val="0"/>
        <w:widowControl w:val="0"/>
        <w:wordWrap/>
        <w:overflowPunct/>
        <w:topLinePunct w:val="0"/>
        <w:bidi w:val="0"/>
        <w:rPr>
          <w:color w:val="auto"/>
          <w:highlight w:val="none"/>
          <w:lang w:eastAsia="zh-CN"/>
        </w:rPr>
      </w:pPr>
    </w:p>
    <w:p w14:paraId="288083BE">
      <w:pPr>
        <w:pStyle w:val="23"/>
        <w:pageBreakBefore w:val="0"/>
        <w:widowControl w:val="0"/>
        <w:wordWrap/>
        <w:overflowPunct/>
        <w:topLinePunct w:val="0"/>
        <w:bidi w:val="0"/>
        <w:rPr>
          <w:color w:val="auto"/>
          <w:highlight w:val="none"/>
          <w:lang w:eastAsia="zh-CN"/>
        </w:rPr>
      </w:pPr>
    </w:p>
    <w:p w14:paraId="0F5525E8">
      <w:pPr>
        <w:pStyle w:val="23"/>
        <w:pageBreakBefore w:val="0"/>
        <w:widowControl w:val="0"/>
        <w:wordWrap/>
        <w:overflowPunct/>
        <w:topLinePunct w:val="0"/>
        <w:bidi w:val="0"/>
        <w:rPr>
          <w:color w:val="auto"/>
          <w:highlight w:val="none"/>
          <w:lang w:eastAsia="zh-CN"/>
        </w:rPr>
      </w:pPr>
    </w:p>
    <w:p w14:paraId="1078A632">
      <w:pPr>
        <w:pStyle w:val="23"/>
        <w:pageBreakBefore w:val="0"/>
        <w:widowControl w:val="0"/>
        <w:wordWrap/>
        <w:overflowPunct/>
        <w:topLinePunct w:val="0"/>
        <w:bidi w:val="0"/>
        <w:rPr>
          <w:color w:val="auto"/>
          <w:highlight w:val="none"/>
          <w:lang w:eastAsia="zh-CN"/>
        </w:rPr>
      </w:pPr>
    </w:p>
    <w:p w14:paraId="44EC91AD">
      <w:pPr>
        <w:pStyle w:val="23"/>
        <w:pageBreakBefore w:val="0"/>
        <w:widowControl w:val="0"/>
        <w:wordWrap/>
        <w:overflowPunct/>
        <w:topLinePunct w:val="0"/>
        <w:bidi w:val="0"/>
        <w:rPr>
          <w:color w:val="auto"/>
          <w:highlight w:val="none"/>
          <w:lang w:eastAsia="zh-CN"/>
        </w:rPr>
      </w:pPr>
    </w:p>
    <w:p w14:paraId="3BB19C5D">
      <w:pPr>
        <w:pStyle w:val="23"/>
        <w:pageBreakBefore w:val="0"/>
        <w:widowControl w:val="0"/>
        <w:wordWrap/>
        <w:overflowPunct/>
        <w:topLinePunct w:val="0"/>
        <w:bidi w:val="0"/>
        <w:rPr>
          <w:color w:val="auto"/>
          <w:highlight w:val="none"/>
          <w:lang w:eastAsia="zh-CN"/>
        </w:rPr>
      </w:pPr>
    </w:p>
    <w:p w14:paraId="1900807D">
      <w:pPr>
        <w:pStyle w:val="23"/>
        <w:pageBreakBefore w:val="0"/>
        <w:widowControl w:val="0"/>
        <w:wordWrap/>
        <w:overflowPunct/>
        <w:topLinePunct w:val="0"/>
        <w:bidi w:val="0"/>
        <w:rPr>
          <w:color w:val="auto"/>
          <w:highlight w:val="none"/>
          <w:lang w:eastAsia="zh-CN"/>
        </w:rPr>
      </w:pPr>
    </w:p>
    <w:p w14:paraId="21107BB9">
      <w:pPr>
        <w:pStyle w:val="23"/>
        <w:pageBreakBefore w:val="0"/>
        <w:widowControl w:val="0"/>
        <w:wordWrap/>
        <w:overflowPunct/>
        <w:topLinePunct w:val="0"/>
        <w:bidi w:val="0"/>
        <w:rPr>
          <w:color w:val="auto"/>
          <w:highlight w:val="none"/>
          <w:lang w:eastAsia="zh-CN"/>
        </w:rPr>
      </w:pPr>
    </w:p>
    <w:p w14:paraId="5B0A62C5">
      <w:pPr>
        <w:pStyle w:val="23"/>
        <w:pageBreakBefore w:val="0"/>
        <w:widowControl w:val="0"/>
        <w:wordWrap/>
        <w:overflowPunct/>
        <w:topLinePunct w:val="0"/>
        <w:bidi w:val="0"/>
        <w:rPr>
          <w:color w:val="auto"/>
          <w:highlight w:val="none"/>
          <w:lang w:eastAsia="zh-CN"/>
        </w:rPr>
      </w:pPr>
    </w:p>
    <w:p w14:paraId="73208485">
      <w:pPr>
        <w:pStyle w:val="23"/>
        <w:pageBreakBefore w:val="0"/>
        <w:widowControl w:val="0"/>
        <w:wordWrap/>
        <w:overflowPunct/>
        <w:topLinePunct w:val="0"/>
        <w:bidi w:val="0"/>
        <w:rPr>
          <w:color w:val="auto"/>
          <w:highlight w:val="none"/>
          <w:lang w:eastAsia="zh-CN"/>
        </w:rPr>
      </w:pPr>
    </w:p>
    <w:p w14:paraId="382FDF4C">
      <w:pPr>
        <w:pStyle w:val="23"/>
        <w:pageBreakBefore w:val="0"/>
        <w:widowControl w:val="0"/>
        <w:wordWrap/>
        <w:overflowPunct/>
        <w:topLinePunct w:val="0"/>
        <w:bidi w:val="0"/>
        <w:rPr>
          <w:color w:val="auto"/>
          <w:highlight w:val="none"/>
          <w:lang w:eastAsia="zh-CN"/>
        </w:rPr>
      </w:pPr>
    </w:p>
    <w:p w14:paraId="3EC1CA0B">
      <w:pPr>
        <w:pStyle w:val="23"/>
        <w:pageBreakBefore w:val="0"/>
        <w:widowControl w:val="0"/>
        <w:wordWrap/>
        <w:overflowPunct/>
        <w:topLinePunct w:val="0"/>
        <w:bidi w:val="0"/>
        <w:rPr>
          <w:color w:val="auto"/>
          <w:highlight w:val="none"/>
          <w:lang w:eastAsia="zh-CN"/>
        </w:rPr>
      </w:pPr>
    </w:p>
    <w:p w14:paraId="134DE6BB">
      <w:pPr>
        <w:pStyle w:val="23"/>
        <w:pageBreakBefore w:val="0"/>
        <w:widowControl w:val="0"/>
        <w:wordWrap/>
        <w:overflowPunct/>
        <w:topLinePunct w:val="0"/>
        <w:bidi w:val="0"/>
        <w:rPr>
          <w:color w:val="auto"/>
          <w:highlight w:val="none"/>
          <w:lang w:eastAsia="zh-CN"/>
        </w:rPr>
      </w:pPr>
    </w:p>
    <w:p w14:paraId="1CB0335A">
      <w:pPr>
        <w:pStyle w:val="23"/>
        <w:pageBreakBefore w:val="0"/>
        <w:widowControl w:val="0"/>
        <w:wordWrap/>
        <w:overflowPunct/>
        <w:topLinePunct w:val="0"/>
        <w:bidi w:val="0"/>
        <w:rPr>
          <w:color w:val="auto"/>
          <w:highlight w:val="none"/>
          <w:lang w:eastAsia="zh-CN"/>
        </w:rPr>
      </w:pPr>
    </w:p>
    <w:p w14:paraId="392F501B">
      <w:pPr>
        <w:pStyle w:val="23"/>
        <w:pageBreakBefore w:val="0"/>
        <w:widowControl w:val="0"/>
        <w:wordWrap/>
        <w:overflowPunct/>
        <w:topLinePunct w:val="0"/>
        <w:bidi w:val="0"/>
        <w:rPr>
          <w:color w:val="auto"/>
          <w:highlight w:val="none"/>
          <w:lang w:eastAsia="zh-CN"/>
        </w:rPr>
      </w:pPr>
    </w:p>
    <w:p w14:paraId="07BFCD50">
      <w:pPr>
        <w:pStyle w:val="23"/>
        <w:pageBreakBefore w:val="0"/>
        <w:widowControl w:val="0"/>
        <w:wordWrap/>
        <w:overflowPunct/>
        <w:topLinePunct w:val="0"/>
        <w:bidi w:val="0"/>
        <w:rPr>
          <w:color w:val="auto"/>
          <w:highlight w:val="none"/>
          <w:lang w:eastAsia="zh-CN"/>
        </w:rPr>
      </w:pPr>
    </w:p>
    <w:p w14:paraId="6D1371B5">
      <w:pPr>
        <w:pStyle w:val="23"/>
        <w:pageBreakBefore w:val="0"/>
        <w:widowControl w:val="0"/>
        <w:wordWrap/>
        <w:overflowPunct/>
        <w:topLinePunct w:val="0"/>
        <w:bidi w:val="0"/>
        <w:ind w:left="0" w:leftChars="0" w:firstLine="0" w:firstLineChars="0"/>
        <w:rPr>
          <w:color w:val="auto"/>
          <w:highlight w:val="none"/>
          <w:lang w:eastAsia="zh-CN"/>
        </w:rPr>
      </w:pPr>
    </w:p>
    <w:p w14:paraId="6AC0133E">
      <w:pPr>
        <w:pStyle w:val="23"/>
        <w:pageBreakBefore w:val="0"/>
        <w:widowControl w:val="0"/>
        <w:wordWrap/>
        <w:overflowPunct/>
        <w:topLinePunct w:val="0"/>
        <w:bidi w:val="0"/>
        <w:rPr>
          <w:color w:val="auto"/>
          <w:highlight w:val="none"/>
          <w:lang w:eastAsia="zh-CN"/>
        </w:rPr>
      </w:pPr>
    </w:p>
    <w:p w14:paraId="5A744622">
      <w:pPr>
        <w:pStyle w:val="23"/>
        <w:pageBreakBefore w:val="0"/>
        <w:widowControl w:val="0"/>
        <w:wordWrap/>
        <w:overflowPunct/>
        <w:topLinePunct w:val="0"/>
        <w:bidi w:val="0"/>
        <w:ind w:left="0" w:leftChars="0" w:firstLine="0" w:firstLineChars="0"/>
        <w:rPr>
          <w:color w:val="auto"/>
          <w:highlight w:val="none"/>
          <w:lang w:eastAsia="zh-CN"/>
        </w:rPr>
      </w:pPr>
    </w:p>
    <w:p w14:paraId="34CD3CFA">
      <w:pPr>
        <w:pageBreakBefore w:val="0"/>
        <w:widowControl w:val="0"/>
        <w:wordWrap/>
        <w:overflowPunct/>
        <w:topLinePunct w:val="0"/>
        <w:bidi w:val="0"/>
        <w:spacing w:afterAutospacing="0" w:line="276" w:lineRule="auto"/>
        <w:rPr>
          <w:color w:val="auto"/>
          <w:highlight w:val="none"/>
          <w:lang w:eastAsia="zh-CN"/>
        </w:rPr>
      </w:pPr>
    </w:p>
    <w:p w14:paraId="01E869D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240" w:lineRule="auto"/>
        <w:jc w:val="right"/>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注：1、省级以上监狱管理局、戒毒管理局（含新疆生产建设兵团）出具的</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属于监</w:t>
      </w:r>
    </w:p>
    <w:p w14:paraId="5C70307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882" w:leftChars="420" w:firstLine="161" w:firstLineChars="68"/>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14:textOutline w14:w="4356" w14:cap="sq" w14:cmpd="sng" w14:algn="ctr">
            <w14:solidFill>
              <w14:srgbClr w14:val="000000"/>
            </w14:solidFill>
            <w14:prstDash w14:val="solid"/>
            <w14:bevel/>
          </w14:textOutline>
        </w:rPr>
        <w:t>狱</w:t>
      </w:r>
      <w:r>
        <w:rPr>
          <w:rFonts w:ascii="宋体" w:hAnsi="宋体" w:eastAsia="宋体" w:cs="宋体"/>
          <w:color w:val="auto"/>
          <w:spacing w:val="-1"/>
          <w:position w:val="17"/>
          <w:sz w:val="24"/>
          <w:szCs w:val="24"/>
          <w:highlight w:val="none"/>
          <w:lang w:eastAsia="zh-CN"/>
          <w14:textOutline w14:w="4356" w14:cap="sq" w14:cmpd="sng" w14:algn="ctr">
            <w14:solidFill>
              <w14:srgbClr w14:val="000000"/>
            </w14:solidFill>
            <w14:prstDash w14:val="solid"/>
            <w14:bevel/>
          </w14:textOutline>
        </w:rPr>
        <w:t>企业证明文件格式由出具单位提供；</w:t>
      </w:r>
    </w:p>
    <w:p w14:paraId="0D595C7E">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100" w:afterAutospacing="0" w:line="360" w:lineRule="auto"/>
        <w:ind w:left="1044" w:leftChars="307" w:hanging="399" w:hangingChars="168"/>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p>
    <w:p w14:paraId="7D146898">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z w:val="24"/>
          <w:szCs w:val="24"/>
          <w:highlight w:val="none"/>
          <w:lang w:eastAsia="zh-CN"/>
        </w:rPr>
        <w:sectPr>
          <w:footerReference r:id="rId15" w:type="default"/>
          <w:pgSz w:w="11906" w:h="16839"/>
          <w:pgMar w:top="1431" w:right="1531" w:bottom="1429" w:left="1531" w:header="0" w:footer="994" w:gutter="0"/>
          <w:pgNumType w:fmt="decimal"/>
          <w:cols w:space="720" w:num="1"/>
        </w:sectPr>
      </w:pPr>
    </w:p>
    <w:p w14:paraId="77ED2D1B">
      <w:pPr>
        <w:pageBreakBefore w:val="0"/>
        <w:widowControl w:val="0"/>
        <w:wordWrap/>
        <w:overflowPunct/>
        <w:topLinePunct w:val="0"/>
        <w:bidi w:val="0"/>
        <w:spacing w:before="101" w:line="219" w:lineRule="auto"/>
        <w:ind w:left="2651"/>
        <w:outlineLvl w:val="1"/>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4"/>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残疾人福利性单位声明函</w:t>
      </w:r>
    </w:p>
    <w:p w14:paraId="774BE372">
      <w:pPr>
        <w:pageBreakBefore w:val="0"/>
        <w:widowControl w:val="0"/>
        <w:wordWrap/>
        <w:overflowPunct/>
        <w:topLinePunct w:val="0"/>
        <w:bidi w:val="0"/>
        <w:spacing w:line="362" w:lineRule="auto"/>
        <w:rPr>
          <w:color w:val="auto"/>
          <w:highlight w:val="none"/>
          <w:lang w:eastAsia="zh-CN"/>
        </w:rPr>
      </w:pPr>
    </w:p>
    <w:p w14:paraId="63FF2BD9">
      <w:pPr>
        <w:pageBreakBefore w:val="0"/>
        <w:widowControl w:val="0"/>
        <w:wordWrap/>
        <w:overflowPunct/>
        <w:topLinePunct w:val="0"/>
        <w:bidi w:val="0"/>
        <w:spacing w:before="78" w:line="219" w:lineRule="auto"/>
        <w:ind w:left="3069"/>
        <w:rPr>
          <w:rFonts w:ascii="宋体" w:hAnsi="宋体" w:eastAsia="宋体" w:cs="宋体"/>
          <w:color w:val="auto"/>
          <w:sz w:val="24"/>
          <w:szCs w:val="24"/>
          <w:highlight w:val="none"/>
          <w:lang w:eastAsia="zh-CN"/>
        </w:rPr>
      </w:pPr>
      <w:r>
        <w:rPr>
          <w:rFonts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78C16700">
      <w:pPr>
        <w:pageBreakBefore w:val="0"/>
        <w:widowControl w:val="0"/>
        <w:wordWrap/>
        <w:overflowPunct/>
        <w:topLinePunct w:val="0"/>
        <w:bidi w:val="0"/>
        <w:spacing w:line="284" w:lineRule="auto"/>
        <w:rPr>
          <w:color w:val="auto"/>
          <w:highlight w:val="none"/>
          <w:lang w:eastAsia="zh-CN"/>
        </w:rPr>
      </w:pPr>
    </w:p>
    <w:p w14:paraId="7D41E17B">
      <w:pPr>
        <w:pageBreakBefore w:val="0"/>
        <w:widowControl w:val="0"/>
        <w:wordWrap/>
        <w:overflowPunct/>
        <w:topLinePunct w:val="0"/>
        <w:bidi w:val="0"/>
        <w:spacing w:line="285" w:lineRule="auto"/>
        <w:rPr>
          <w:color w:val="auto"/>
          <w:highlight w:val="none"/>
          <w:lang w:eastAsia="zh-CN"/>
        </w:rPr>
      </w:pPr>
    </w:p>
    <w:p w14:paraId="67BB401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本单位郑重声明，根据《财政部</w:t>
      </w:r>
      <w:r>
        <w:rPr>
          <w:rFonts w:ascii="宋体" w:hAnsi="宋体" w:eastAsia="宋体" w:cs="宋体"/>
          <w:color w:val="auto"/>
          <w:spacing w:val="57"/>
          <w:sz w:val="24"/>
          <w:szCs w:val="24"/>
          <w:highlight w:val="none"/>
          <w:lang w:eastAsia="zh-CN"/>
        </w:rPr>
        <w:t xml:space="preserve"> </w:t>
      </w:r>
      <w:r>
        <w:rPr>
          <w:rFonts w:ascii="宋体" w:hAnsi="宋体" w:eastAsia="宋体" w:cs="宋体"/>
          <w:color w:val="auto"/>
          <w:spacing w:val="9"/>
          <w:sz w:val="24"/>
          <w:szCs w:val="24"/>
          <w:highlight w:val="none"/>
          <w:lang w:eastAsia="zh-CN"/>
        </w:rPr>
        <w:t>民政部</w:t>
      </w:r>
      <w:r>
        <w:rPr>
          <w:rFonts w:ascii="宋体" w:hAnsi="宋体" w:eastAsia="宋体" w:cs="宋体"/>
          <w:color w:val="auto"/>
          <w:spacing w:val="58"/>
          <w:sz w:val="24"/>
          <w:szCs w:val="24"/>
          <w:highlight w:val="none"/>
          <w:lang w:eastAsia="zh-CN"/>
        </w:rPr>
        <w:t xml:space="preserve"> </w:t>
      </w:r>
      <w:r>
        <w:rPr>
          <w:rFonts w:ascii="宋体" w:hAnsi="宋体" w:eastAsia="宋体" w:cs="宋体"/>
          <w:color w:val="auto"/>
          <w:spacing w:val="9"/>
          <w:sz w:val="24"/>
          <w:szCs w:val="24"/>
          <w:highlight w:val="none"/>
          <w:lang w:eastAsia="zh-CN"/>
        </w:rPr>
        <w:t>中国残疾人联合会</w:t>
      </w:r>
      <w:r>
        <w:rPr>
          <w:rFonts w:ascii="宋体" w:hAnsi="宋体" w:eastAsia="宋体" w:cs="宋体"/>
          <w:color w:val="auto"/>
          <w:spacing w:val="8"/>
          <w:sz w:val="24"/>
          <w:szCs w:val="24"/>
          <w:highlight w:val="none"/>
          <w:lang w:eastAsia="zh-CN"/>
        </w:rPr>
        <w:t>关于促进残疾人</w:t>
      </w:r>
      <w:r>
        <w:rPr>
          <w:rFonts w:ascii="宋体" w:hAnsi="宋体" w:eastAsia="宋体" w:cs="宋体"/>
          <w:color w:val="auto"/>
          <w:spacing w:val="7"/>
          <w:sz w:val="24"/>
          <w:szCs w:val="24"/>
          <w:highlight w:val="none"/>
          <w:lang w:eastAsia="zh-CN"/>
        </w:rPr>
        <w:t>就业政府采购政策的通知》</w:t>
      </w:r>
      <w:r>
        <w:rPr>
          <w:rFonts w:ascii="宋体" w:hAnsi="宋体" w:eastAsia="宋体" w:cs="宋体"/>
          <w:color w:val="auto"/>
          <w:spacing w:val="-93"/>
          <w:sz w:val="24"/>
          <w:szCs w:val="24"/>
          <w:highlight w:val="none"/>
          <w:lang w:eastAsia="zh-CN"/>
        </w:rPr>
        <w:t xml:space="preserve"> </w:t>
      </w:r>
      <w:r>
        <w:rPr>
          <w:rFonts w:ascii="宋体" w:hAnsi="宋体" w:eastAsia="宋体" w:cs="宋体"/>
          <w:color w:val="auto"/>
          <w:spacing w:val="7"/>
          <w:sz w:val="24"/>
          <w:szCs w:val="24"/>
          <w:highlight w:val="none"/>
          <w:lang w:eastAsia="zh-CN"/>
        </w:rPr>
        <w:t>（财库〔2017〕 141</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7"/>
          <w:sz w:val="24"/>
          <w:szCs w:val="24"/>
          <w:highlight w:val="none"/>
          <w:lang w:eastAsia="zh-CN"/>
        </w:rPr>
        <w:t>号）</w:t>
      </w:r>
      <w:r>
        <w:rPr>
          <w:rFonts w:ascii="宋体" w:hAnsi="宋体" w:eastAsia="宋体" w:cs="宋体"/>
          <w:color w:val="auto"/>
          <w:spacing w:val="-65"/>
          <w:sz w:val="24"/>
          <w:szCs w:val="24"/>
          <w:highlight w:val="none"/>
          <w:lang w:eastAsia="zh-CN"/>
        </w:rPr>
        <w:t xml:space="preserve"> </w:t>
      </w:r>
      <w:r>
        <w:rPr>
          <w:rFonts w:ascii="宋体" w:hAnsi="宋体" w:eastAsia="宋体" w:cs="宋体"/>
          <w:color w:val="auto"/>
          <w:spacing w:val="7"/>
          <w:sz w:val="24"/>
          <w:szCs w:val="24"/>
          <w:highlight w:val="none"/>
          <w:lang w:eastAsia="zh-CN"/>
        </w:rPr>
        <w:t>的规定</w:t>
      </w:r>
      <w:r>
        <w:rPr>
          <w:rFonts w:ascii="宋体" w:hAnsi="宋体" w:eastAsia="宋体" w:cs="宋体"/>
          <w:color w:val="auto"/>
          <w:spacing w:val="6"/>
          <w:sz w:val="24"/>
          <w:szCs w:val="24"/>
          <w:highlight w:val="none"/>
          <w:lang w:eastAsia="zh-CN"/>
        </w:rPr>
        <w:t>，本单位为符合条件</w:t>
      </w:r>
      <w:r>
        <w:rPr>
          <w:rFonts w:ascii="宋体" w:hAnsi="宋体" w:eastAsia="宋体" w:cs="宋体"/>
          <w:color w:val="auto"/>
          <w:spacing w:val="11"/>
          <w:sz w:val="24"/>
          <w:szCs w:val="24"/>
          <w:highlight w:val="none"/>
          <w:lang w:eastAsia="zh-CN"/>
        </w:rPr>
        <w:t>的残疾人福利性单位，且本单位参加</w:t>
      </w:r>
      <w:r>
        <w:rPr>
          <w:rFonts w:ascii="宋体" w:hAnsi="宋体" w:eastAsia="宋体" w:cs="宋体"/>
          <w:color w:val="auto"/>
          <w:spacing w:val="-108"/>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2"/>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6"/>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单位的</w:t>
      </w:r>
      <w:r>
        <w:rPr>
          <w:rFonts w:ascii="宋体" w:hAnsi="宋体" w:eastAsia="宋体" w:cs="宋体"/>
          <w:color w:val="auto"/>
          <w:spacing w:val="-110"/>
          <w:sz w:val="24"/>
          <w:szCs w:val="24"/>
          <w:highlight w:val="none"/>
          <w:u w:val="singl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3"/>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项目采购活动提供</w:t>
      </w:r>
      <w:r>
        <w:rPr>
          <w:rFonts w:ascii="宋体" w:hAnsi="宋体" w:eastAsia="宋体" w:cs="宋体"/>
          <w:color w:val="auto"/>
          <w:spacing w:val="10"/>
          <w:sz w:val="24"/>
          <w:szCs w:val="24"/>
          <w:highlight w:val="none"/>
          <w:lang w:eastAsia="zh-CN"/>
        </w:rPr>
        <w:t>本单</w:t>
      </w:r>
      <w:r>
        <w:rPr>
          <w:rFonts w:ascii="宋体" w:hAnsi="宋体" w:eastAsia="宋体" w:cs="宋体"/>
          <w:color w:val="auto"/>
          <w:spacing w:val="9"/>
          <w:sz w:val="24"/>
          <w:szCs w:val="24"/>
          <w:highlight w:val="none"/>
          <w:lang w:eastAsia="zh-CN"/>
        </w:rPr>
        <w:t>位制造的货物（由本单位承担工程/提供服务</w:t>
      </w:r>
      <w:r>
        <w:rPr>
          <w:rFonts w:ascii="宋体" w:hAnsi="宋体" w:eastAsia="宋体" w:cs="宋体"/>
          <w:color w:val="auto"/>
          <w:spacing w:val="-3"/>
          <w:sz w:val="24"/>
          <w:szCs w:val="24"/>
          <w:highlight w:val="none"/>
          <w:lang w:eastAsia="zh-CN"/>
        </w:rPr>
        <w:t>），</w:t>
      </w:r>
      <w:r>
        <w:rPr>
          <w:rFonts w:ascii="宋体" w:hAnsi="宋体" w:eastAsia="宋体" w:cs="宋体"/>
          <w:color w:val="auto"/>
          <w:spacing w:val="9"/>
          <w:sz w:val="24"/>
          <w:szCs w:val="24"/>
          <w:highlight w:val="none"/>
          <w:lang w:eastAsia="zh-CN"/>
        </w:rPr>
        <w:t>或者提供其他残疾人福利性单位</w:t>
      </w:r>
      <w:r>
        <w:rPr>
          <w:rFonts w:ascii="宋体" w:hAnsi="宋体" w:eastAsia="宋体" w:cs="宋体"/>
          <w:color w:val="auto"/>
          <w:spacing w:val="11"/>
          <w:sz w:val="24"/>
          <w:szCs w:val="24"/>
          <w:highlight w:val="none"/>
          <w:lang w:eastAsia="zh-CN"/>
        </w:rPr>
        <w:t>制造的货物（不包括使用非残疾人福利性单位注册商标的货物）。</w:t>
      </w:r>
    </w:p>
    <w:p w14:paraId="3C294A8E">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1"/>
          <w:sz w:val="24"/>
          <w:szCs w:val="24"/>
          <w:highlight w:val="none"/>
          <w:lang w:eastAsia="zh-CN"/>
        </w:rPr>
        <w:t>本单位对上述声明的真实性负责。如有虚假，将依法承</w:t>
      </w:r>
      <w:r>
        <w:rPr>
          <w:rFonts w:ascii="宋体" w:hAnsi="宋体" w:eastAsia="宋体" w:cs="宋体"/>
          <w:color w:val="auto"/>
          <w:spacing w:val="10"/>
          <w:sz w:val="24"/>
          <w:szCs w:val="24"/>
          <w:highlight w:val="none"/>
          <w:lang w:eastAsia="zh-CN"/>
        </w:rPr>
        <w:t>担相应责任。</w:t>
      </w:r>
    </w:p>
    <w:p w14:paraId="21E90E25">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77016C0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27BB64DD">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76E4756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730B92A9">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lang w:eastAsia="zh-CN"/>
        </w:rPr>
        <w:t>单位名称（盖章</w:t>
      </w:r>
      <w:r>
        <w:rPr>
          <w:rFonts w:ascii="宋体" w:hAnsi="宋体" w:eastAsia="宋体" w:cs="宋体"/>
          <w:color w:val="auto"/>
          <w:spacing w:val="13"/>
          <w:sz w:val="24"/>
          <w:szCs w:val="24"/>
          <w:highlight w:val="none"/>
          <w:lang w:eastAsia="zh-CN"/>
        </w:rPr>
        <w:t>）：</w:t>
      </w:r>
    </w:p>
    <w:p w14:paraId="6A6C7DE9">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left="4583"/>
        <w:textAlignment w:val="baseline"/>
        <w:outlineLvl w:val="1"/>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21"/>
          <w:sz w:val="24"/>
          <w:szCs w:val="24"/>
          <w:highlight w:val="none"/>
          <w:lang w:eastAsia="zh-CN"/>
        </w:rPr>
        <w:t>日</w:t>
      </w:r>
      <w:r>
        <w:rPr>
          <w:rFonts w:ascii="宋体" w:hAnsi="宋体" w:eastAsia="宋体" w:cs="宋体"/>
          <w:color w:val="auto"/>
          <w:spacing w:val="24"/>
          <w:sz w:val="24"/>
          <w:szCs w:val="24"/>
          <w:highlight w:val="none"/>
          <w:lang w:eastAsia="zh-CN"/>
        </w:rPr>
        <w:t xml:space="preserve">  </w:t>
      </w:r>
      <w:r>
        <w:rPr>
          <w:rFonts w:ascii="宋体" w:hAnsi="宋体" w:eastAsia="宋体" w:cs="宋体"/>
          <w:color w:val="auto"/>
          <w:spacing w:val="-21"/>
          <w:sz w:val="24"/>
          <w:szCs w:val="24"/>
          <w:highlight w:val="none"/>
          <w:lang w:eastAsia="zh-CN"/>
        </w:rPr>
        <w:t>期：</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 xml:space="preserve">年 </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月</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日</w:t>
      </w:r>
    </w:p>
    <w:p w14:paraId="4FDE306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z w:val="24"/>
          <w:szCs w:val="24"/>
          <w:highlight w:val="none"/>
          <w:u w:val="single"/>
          <w:lang w:eastAsia="zh-CN"/>
        </w:rPr>
        <w:sectPr>
          <w:footerReference r:id="rId16" w:type="default"/>
          <w:pgSz w:w="11906" w:h="16839"/>
          <w:pgMar w:top="1431" w:right="1587" w:bottom="1429" w:left="1587" w:header="0" w:footer="994" w:gutter="0"/>
          <w:pgNumType w:fmt="decimal"/>
          <w:cols w:space="720" w:num="1"/>
        </w:sectPr>
      </w:pPr>
    </w:p>
    <w:p w14:paraId="545EFC3A">
      <w:pPr>
        <w:pageBreakBefore w:val="0"/>
        <w:widowControl w:val="0"/>
        <w:wordWrap/>
        <w:overflowPunct/>
        <w:topLinePunct w:val="0"/>
        <w:bidi w:val="0"/>
        <w:spacing w:line="280" w:lineRule="auto"/>
        <w:rPr>
          <w:color w:val="auto"/>
          <w:highlight w:val="none"/>
          <w:lang w:eastAsia="zh-CN"/>
        </w:rPr>
      </w:pPr>
    </w:p>
    <w:p w14:paraId="25E5BD70">
      <w:pPr>
        <w:pageBreakBefore w:val="0"/>
        <w:widowControl w:val="0"/>
        <w:wordWrap/>
        <w:overflowPunct/>
        <w:topLinePunct w:val="0"/>
        <w:bidi w:val="0"/>
        <w:spacing w:before="78" w:line="468" w:lineRule="exact"/>
        <w:jc w:val="center"/>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7"/>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8-4</w:t>
      </w:r>
      <w:r>
        <w:rPr>
          <w:rFonts w:ascii="宋体" w:hAnsi="宋体" w:eastAsia="宋体" w:cs="宋体"/>
          <w:color w:val="auto"/>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采购的产品如属于政府强制采购节能产品的，</w:t>
      </w:r>
      <w:r>
        <w:rPr>
          <w:rFonts w:hint="eastAsia"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中必须提供国家确</w:t>
      </w:r>
    </w:p>
    <w:p w14:paraId="4C3B4D5F">
      <w:pPr>
        <w:pageBreakBefore w:val="0"/>
        <w:widowControl w:val="0"/>
        <w:wordWrap/>
        <w:overflowPunct/>
        <w:topLinePunct w:val="0"/>
        <w:bidi w:val="0"/>
        <w:spacing w:line="218" w:lineRule="auto"/>
        <w:ind w:left="370"/>
        <w:jc w:val="center"/>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定的认证机构出具的、处于有效期之内的节能产品认证证书（扫描件）</w:t>
      </w:r>
    </w:p>
    <w:p w14:paraId="3584CFBB">
      <w:pPr>
        <w:pageBreakBefore w:val="0"/>
        <w:widowControl w:val="0"/>
        <w:wordWrap/>
        <w:overflowPunct/>
        <w:topLinePunct w:val="0"/>
        <w:bidi w:val="0"/>
        <w:spacing w:line="276" w:lineRule="auto"/>
        <w:jc w:val="center"/>
        <w:rPr>
          <w:color w:val="auto"/>
          <w:highlight w:val="none"/>
          <w:lang w:eastAsia="zh-CN"/>
        </w:rPr>
      </w:pPr>
    </w:p>
    <w:p w14:paraId="488087CD">
      <w:pPr>
        <w:pageBreakBefore w:val="0"/>
        <w:widowControl w:val="0"/>
        <w:wordWrap/>
        <w:overflowPunct/>
        <w:topLinePunct w:val="0"/>
        <w:bidi w:val="0"/>
        <w:spacing w:line="276" w:lineRule="auto"/>
        <w:rPr>
          <w:color w:val="auto"/>
          <w:highlight w:val="none"/>
          <w:lang w:eastAsia="zh-CN"/>
        </w:rPr>
      </w:pPr>
    </w:p>
    <w:p w14:paraId="062A38F9">
      <w:pPr>
        <w:pageBreakBefore w:val="0"/>
        <w:widowControl w:val="0"/>
        <w:wordWrap/>
        <w:overflowPunct/>
        <w:topLinePunct w:val="0"/>
        <w:bidi w:val="0"/>
        <w:spacing w:line="277" w:lineRule="auto"/>
        <w:rPr>
          <w:color w:val="auto"/>
          <w:highlight w:val="none"/>
          <w:lang w:eastAsia="zh-CN"/>
        </w:rPr>
      </w:pPr>
    </w:p>
    <w:p w14:paraId="5484E933">
      <w:pPr>
        <w:pageBreakBefore w:val="0"/>
        <w:widowControl w:val="0"/>
        <w:wordWrap/>
        <w:overflowPunct/>
        <w:topLinePunct w:val="0"/>
        <w:bidi w:val="0"/>
        <w:spacing w:before="78" w:line="219" w:lineRule="auto"/>
        <w:ind w:left="942"/>
        <w:rPr>
          <w:rFonts w:ascii="宋体" w:hAnsi="宋体" w:eastAsia="宋体" w:cs="宋体"/>
          <w:color w:val="auto"/>
          <w:spacing w:val="10"/>
          <w:sz w:val="24"/>
          <w:szCs w:val="24"/>
          <w:highlight w:val="none"/>
          <w:lang w:eastAsia="zh-CN"/>
        </w:rPr>
      </w:pPr>
      <w:r>
        <w:rPr>
          <w:rFonts w:ascii="宋体" w:hAnsi="宋体" w:eastAsia="宋体" w:cs="宋体"/>
          <w:color w:val="auto"/>
          <w:spacing w:val="10"/>
          <w:sz w:val="24"/>
          <w:szCs w:val="24"/>
          <w:highlight w:val="none"/>
          <w:lang w:eastAsia="zh-CN"/>
        </w:rPr>
        <w:t>（不属于品目清单的产品无需提供，文件另有规定的从其规定）</w:t>
      </w:r>
    </w:p>
    <w:p w14:paraId="65CAC7BD">
      <w:pPr>
        <w:rPr>
          <w:rFonts w:ascii="宋体" w:hAnsi="宋体" w:eastAsia="宋体" w:cs="宋体"/>
          <w:color w:val="auto"/>
          <w:spacing w:val="10"/>
          <w:sz w:val="24"/>
          <w:szCs w:val="24"/>
          <w:highlight w:val="none"/>
          <w:lang w:eastAsia="zh-CN"/>
        </w:rPr>
      </w:pPr>
      <w:r>
        <w:rPr>
          <w:rFonts w:ascii="宋体" w:hAnsi="宋体" w:eastAsia="宋体" w:cs="宋体"/>
          <w:color w:val="auto"/>
          <w:spacing w:val="10"/>
          <w:sz w:val="24"/>
          <w:szCs w:val="24"/>
          <w:highlight w:val="none"/>
          <w:lang w:eastAsia="zh-CN"/>
        </w:rPr>
        <w:br w:type="page"/>
      </w:r>
    </w:p>
    <w:p w14:paraId="19B3C975">
      <w:pPr>
        <w:jc w:val="cente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本国产品标准的声明函（</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本项目不适用</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67331FD8">
      <w:pPr>
        <w:pageBreakBefore w:val="0"/>
        <w:widowControl w:val="0"/>
        <w:wordWrap/>
        <w:overflowPunct/>
        <w:topLinePunct w:val="0"/>
        <w:bidi w:val="0"/>
        <w:spacing w:line="362" w:lineRule="auto"/>
        <w:rPr>
          <w:color w:val="auto"/>
          <w:spacing w:val="0"/>
          <w:w w:val="100"/>
          <w:position w:val="0"/>
          <w:lang w:eastAsia="zh-CN"/>
        </w:rPr>
      </w:pPr>
    </w:p>
    <w:p w14:paraId="392B4D53">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0"/>
        <w:jc w:val="center"/>
        <w:textAlignment w:val="baseline"/>
        <w:rPr>
          <w:rFonts w:hint="eastAsia" w:ascii="宋体" w:hAnsi="宋体" w:eastAsia="宋体" w:cs="宋体"/>
          <w:i w:val="0"/>
          <w:iCs w:val="0"/>
          <w:caps w:val="0"/>
          <w:color w:val="383838"/>
          <w:spacing w:val="0"/>
          <w:sz w:val="24"/>
          <w:szCs w:val="24"/>
          <w:lang w:val="en-US" w:eastAsia="zh-CN"/>
        </w:rPr>
      </w:pPr>
      <w:r>
        <w:rPr>
          <w:rStyle w:val="18"/>
          <w:rFonts w:hint="eastAsia" w:ascii="微软雅黑" w:hAnsi="微软雅黑" w:eastAsia="微软雅黑" w:cs="微软雅黑"/>
          <w:b/>
          <w:bCs/>
          <w:i w:val="0"/>
          <w:iCs w:val="0"/>
          <w:caps w:val="0"/>
          <w:color w:val="383838"/>
          <w:spacing w:val="0"/>
          <w:sz w:val="28"/>
          <w:szCs w:val="28"/>
          <w:shd w:val="clear" w:fill="FFFFFF"/>
          <w:vertAlign w:val="baseline"/>
        </w:rPr>
        <w:t>关于符合本国产品标准的声明函</w:t>
      </w:r>
    </w:p>
    <w:p w14:paraId="75A3F20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3B14502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w:t>
      </w:r>
      <w:r>
        <w:rPr>
          <w:rStyle w:val="20"/>
          <w:rFonts w:hint="eastAsia" w:ascii="宋体" w:hAnsi="宋体" w:eastAsia="宋体" w:cs="宋体"/>
          <w:i w:val="0"/>
          <w:iCs w:val="0"/>
          <w:caps w:val="0"/>
          <w:color w:val="383838"/>
          <w:spacing w:val="0"/>
          <w:sz w:val="24"/>
          <w:szCs w:val="24"/>
          <w:shd w:val="clear" w:fill="FFFFFF"/>
          <w:vertAlign w:val="baseline"/>
        </w:rPr>
        <w:t>（产品名称1）1</w:t>
      </w:r>
      <w:r>
        <w:rPr>
          <w:rFonts w:hint="eastAsia" w:ascii="宋体" w:hAnsi="宋体" w:eastAsia="宋体" w:cs="宋体"/>
          <w:i w:val="0"/>
          <w:iCs w:val="0"/>
          <w:caps w:val="0"/>
          <w:color w:val="383838"/>
          <w:spacing w:val="0"/>
          <w:sz w:val="24"/>
          <w:szCs w:val="24"/>
          <w:shd w:val="clear" w:fill="FFFFFF"/>
          <w:vertAlign w:val="baseline"/>
        </w:rPr>
        <w:t>，生产厂为</w:t>
      </w:r>
      <w:r>
        <w:rPr>
          <w:rStyle w:val="20"/>
          <w:rFonts w:hint="eastAsia" w:ascii="宋体" w:hAnsi="宋体" w:eastAsia="宋体" w:cs="宋体"/>
          <w:i w:val="0"/>
          <w:iCs w:val="0"/>
          <w:caps w:val="0"/>
          <w:color w:val="383838"/>
          <w:spacing w:val="0"/>
          <w:sz w:val="24"/>
          <w:szCs w:val="24"/>
          <w:shd w:val="clear" w:fill="FFFFFF"/>
          <w:vertAlign w:val="baseline"/>
        </w:rPr>
        <w:t>（厂名）2</w:t>
      </w:r>
      <w:r>
        <w:rPr>
          <w:rFonts w:hint="eastAsia" w:ascii="宋体" w:hAnsi="宋体" w:eastAsia="宋体" w:cs="宋体"/>
          <w:i w:val="0"/>
          <w:iCs w:val="0"/>
          <w:caps w:val="0"/>
          <w:color w:val="383838"/>
          <w:spacing w:val="0"/>
          <w:sz w:val="24"/>
          <w:szCs w:val="24"/>
          <w:shd w:val="clear" w:fill="FFFFFF"/>
          <w:vertAlign w:val="baseline"/>
        </w:rPr>
        <w:t>，厂址为</w:t>
      </w:r>
      <w:r>
        <w:rPr>
          <w:rStyle w:val="20"/>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20"/>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20"/>
          <w:rFonts w:hint="eastAsia" w:ascii="宋体" w:hAnsi="宋体" w:eastAsia="宋体" w:cs="宋体"/>
          <w:i w:val="0"/>
          <w:iCs w:val="0"/>
          <w:caps w:val="0"/>
          <w:color w:val="383838"/>
          <w:spacing w:val="0"/>
          <w:sz w:val="24"/>
          <w:szCs w:val="24"/>
          <w:shd w:val="clear" w:fill="FFFFFF"/>
          <w:vertAlign w:val="baseline"/>
        </w:rPr>
        <w:t>（规定比例）3</w:t>
      </w:r>
      <w:r>
        <w:rPr>
          <w:rFonts w:hint="eastAsia" w:ascii="宋体" w:hAnsi="宋体" w:eastAsia="宋体" w:cs="宋体"/>
          <w:i w:val="0"/>
          <w:iCs w:val="0"/>
          <w:caps w:val="0"/>
          <w:color w:val="383838"/>
          <w:spacing w:val="0"/>
          <w:sz w:val="24"/>
          <w:szCs w:val="24"/>
          <w:shd w:val="clear" w:fill="FFFFFF"/>
          <w:vertAlign w:val="baseline"/>
        </w:rPr>
        <w:t>。</w:t>
      </w:r>
      <w:r>
        <w:rPr>
          <w:rStyle w:val="20"/>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20"/>
          <w:rFonts w:hint="eastAsia" w:ascii="宋体" w:hAnsi="宋体" w:eastAsia="宋体" w:cs="宋体"/>
          <w:i w:val="0"/>
          <w:iCs w:val="0"/>
          <w:caps w:val="0"/>
          <w:color w:val="383838"/>
          <w:spacing w:val="0"/>
          <w:sz w:val="24"/>
          <w:szCs w:val="24"/>
          <w:shd w:val="clear" w:fill="FFFFFF"/>
          <w:vertAlign w:val="baseline"/>
        </w:rPr>
        <w:t>（关键组件）4</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20"/>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20"/>
          <w:rFonts w:hint="eastAsia" w:ascii="宋体" w:hAnsi="宋体" w:eastAsia="宋体" w:cs="宋体"/>
          <w:i w:val="0"/>
          <w:iCs w:val="0"/>
          <w:caps w:val="0"/>
          <w:color w:val="383838"/>
          <w:spacing w:val="0"/>
          <w:sz w:val="24"/>
          <w:szCs w:val="24"/>
          <w:shd w:val="clear" w:fill="FFFFFF"/>
          <w:vertAlign w:val="baseline"/>
        </w:rPr>
        <w:t>（关键工序）5</w:t>
      </w:r>
      <w:r>
        <w:rPr>
          <w:rFonts w:hint="eastAsia" w:ascii="宋体" w:hAnsi="宋体" w:eastAsia="宋体" w:cs="宋体"/>
          <w:i w:val="0"/>
          <w:iCs w:val="0"/>
          <w:caps w:val="0"/>
          <w:color w:val="383838"/>
          <w:spacing w:val="0"/>
          <w:sz w:val="24"/>
          <w:szCs w:val="24"/>
          <w:shd w:val="clear" w:fill="FFFFFF"/>
          <w:vertAlign w:val="baseline"/>
        </w:rPr>
        <w:t>在中国境内完成。</w:t>
      </w:r>
    </w:p>
    <w:p w14:paraId="6FE8D44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w:t>
      </w:r>
      <w:r>
        <w:rPr>
          <w:rStyle w:val="20"/>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，生产厂为</w:t>
      </w:r>
      <w:r>
        <w:rPr>
          <w:rStyle w:val="20"/>
          <w:rFonts w:hint="eastAsia" w:ascii="宋体" w:hAnsi="宋体" w:eastAsia="宋体" w:cs="宋体"/>
          <w:i w:val="0"/>
          <w:iCs w:val="0"/>
          <w:caps w:val="0"/>
          <w:color w:val="383838"/>
          <w:spacing w:val="0"/>
          <w:sz w:val="24"/>
          <w:szCs w:val="24"/>
          <w:shd w:val="clear" w:fill="FFFFFF"/>
          <w:vertAlign w:val="baseline"/>
        </w:rPr>
        <w:t>（厂名）</w:t>
      </w:r>
      <w:r>
        <w:rPr>
          <w:rFonts w:hint="eastAsia" w:ascii="宋体" w:hAnsi="宋体" w:eastAsia="宋体" w:cs="宋体"/>
          <w:i w:val="0"/>
          <w:iCs w:val="0"/>
          <w:caps w:val="0"/>
          <w:color w:val="383838"/>
          <w:spacing w:val="0"/>
          <w:sz w:val="24"/>
          <w:szCs w:val="24"/>
          <w:shd w:val="clear" w:fill="FFFFFF"/>
          <w:vertAlign w:val="baseline"/>
        </w:rPr>
        <w:t>，厂址为</w:t>
      </w:r>
      <w:r>
        <w:rPr>
          <w:rStyle w:val="20"/>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20"/>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20"/>
          <w:rFonts w:hint="eastAsia" w:ascii="宋体" w:hAnsi="宋体" w:eastAsia="宋体" w:cs="宋体"/>
          <w:i w:val="0"/>
          <w:iCs w:val="0"/>
          <w:caps w:val="0"/>
          <w:color w:val="383838"/>
          <w:spacing w:val="0"/>
          <w:sz w:val="24"/>
          <w:szCs w:val="24"/>
          <w:shd w:val="clear" w:fill="FFFFFF"/>
          <w:vertAlign w:val="baseline"/>
        </w:rPr>
        <w:t>（规定比例）</w:t>
      </w:r>
      <w:r>
        <w:rPr>
          <w:rFonts w:hint="eastAsia" w:ascii="宋体" w:hAnsi="宋体" w:eastAsia="宋体" w:cs="宋体"/>
          <w:i w:val="0"/>
          <w:iCs w:val="0"/>
          <w:caps w:val="0"/>
          <w:color w:val="383838"/>
          <w:spacing w:val="0"/>
          <w:sz w:val="24"/>
          <w:szCs w:val="24"/>
          <w:shd w:val="clear" w:fill="FFFFFF"/>
          <w:vertAlign w:val="baseline"/>
        </w:rPr>
        <w:t>。</w:t>
      </w:r>
      <w:r>
        <w:rPr>
          <w:rStyle w:val="20"/>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20"/>
          <w:rFonts w:hint="eastAsia" w:ascii="宋体" w:hAnsi="宋体" w:eastAsia="宋体" w:cs="宋体"/>
          <w:i w:val="0"/>
          <w:iCs w:val="0"/>
          <w:caps w:val="0"/>
          <w:color w:val="383838"/>
          <w:spacing w:val="0"/>
          <w:sz w:val="24"/>
          <w:szCs w:val="24"/>
          <w:shd w:val="clear" w:fill="FFFFFF"/>
          <w:vertAlign w:val="baseline"/>
        </w:rPr>
        <w:t>（关键组件）</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20"/>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20"/>
          <w:rFonts w:hint="eastAsia" w:ascii="宋体" w:hAnsi="宋体" w:eastAsia="宋体" w:cs="宋体"/>
          <w:i w:val="0"/>
          <w:iCs w:val="0"/>
          <w:caps w:val="0"/>
          <w:color w:val="383838"/>
          <w:spacing w:val="0"/>
          <w:sz w:val="24"/>
          <w:szCs w:val="24"/>
          <w:shd w:val="clear" w:fill="FFFFFF"/>
          <w:vertAlign w:val="baseline"/>
        </w:rPr>
        <w:t>（关键工序）</w:t>
      </w:r>
      <w:r>
        <w:rPr>
          <w:rFonts w:hint="eastAsia" w:ascii="宋体" w:hAnsi="宋体" w:eastAsia="宋体" w:cs="宋体"/>
          <w:i w:val="0"/>
          <w:iCs w:val="0"/>
          <w:caps w:val="0"/>
          <w:color w:val="383838"/>
          <w:spacing w:val="0"/>
          <w:sz w:val="24"/>
          <w:szCs w:val="24"/>
          <w:shd w:val="clear" w:fill="FFFFFF"/>
          <w:vertAlign w:val="baseline"/>
        </w:rPr>
        <w:t>在中国境内完成。</w:t>
      </w:r>
    </w:p>
    <w:p w14:paraId="118E185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w:t>
      </w:r>
    </w:p>
    <w:p w14:paraId="0D5E4ED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本公司（单位）对上述声明内容的真实性负责。如有虚假，愿承担相应法律责任。</w:t>
      </w:r>
    </w:p>
    <w:p w14:paraId="43EAED9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 </w:t>
      </w:r>
    </w:p>
    <w:p w14:paraId="7341028F">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公司（单位）名称（盖章）：　        </w:t>
      </w:r>
    </w:p>
    <w:p w14:paraId="2F05395C">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日期：　     年　  月　  日         </w:t>
      </w:r>
    </w:p>
    <w:p w14:paraId="0865A694">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1.产品如有型号，请在“产品名称”栏一并填写。</w:t>
      </w:r>
    </w:p>
    <w:p w14:paraId="0553D163">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2.生产厂名与厂址应与生产厂营业执照载明的相关信息保持一致。</w:t>
      </w:r>
    </w:p>
    <w:p w14:paraId="1E912AC8">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3.该产品的中国境内生产的组件成本占比相关要求实施前，“规定比例”栏可不填，下同。</w:t>
      </w:r>
    </w:p>
    <w:p w14:paraId="71D07AAE">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4.该产品的关键组件要求实施前，“关键组件”栏可不填，下同。</w:t>
      </w:r>
    </w:p>
    <w:p w14:paraId="1F2D6E22">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rPr>
        <w:t>5.该产品的关键工序要求实施前，“关键工序”栏可不填，下同。</w:t>
      </w:r>
    </w:p>
    <w:p w14:paraId="70C471F7">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lang w:val="en-US" w:eastAsia="zh-CN"/>
        </w:rPr>
        <w:t>6、风险提示：</w:t>
      </w:r>
      <w:r>
        <w:rPr>
          <w:rFonts w:hint="eastAsia" w:ascii="宋体" w:hAnsi="宋体" w:eastAsia="宋体" w:cs="宋体"/>
          <w:i w:val="0"/>
          <w:iCs w:val="0"/>
          <w:caps w:val="0"/>
          <w:color w:val="383838"/>
          <w:spacing w:val="0"/>
          <w:sz w:val="24"/>
          <w:szCs w:val="24"/>
          <w:shd w:val="clear" w:fill="FFFFFF"/>
          <w:vertAlign w:val="baseline"/>
        </w:rPr>
        <w:t>随中标、成交结果同时公告中标供应商提供的《声明函》或有关证明文件。供应商提供虚假《声明函》、虚假证明文件谋取中标、成交的，依照《中华人民共和国政府采购法》等法律法规规定追究相应责任。</w:t>
      </w:r>
    </w:p>
    <w:p w14:paraId="117B2ACD">
      <w:pPr>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rPr>
        <w:br w:type="page"/>
      </w:r>
    </w:p>
    <w:p w14:paraId="217ED493">
      <w:pPr>
        <w:jc w:val="cente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25" w:name="_Toc18703"/>
      <w:bookmarkStart w:id="26" w:name="_Toc31715"/>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6 关于符合本国产品标准的成本占比承诺函</w:t>
      </w:r>
      <w:bookmarkEnd w:id="25"/>
      <w:bookmarkEnd w:id="26"/>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本项目不适用</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72924D0B">
      <w:pPr>
        <w:ind w:firstLine="0" w:firstLineChars="0"/>
        <w:jc w:val="center"/>
        <w:rPr>
          <w:rFonts w:hint="eastAsia" w:ascii="仿宋" w:hAnsi="仿宋" w:eastAsia="仿宋" w:cs="仿宋"/>
          <w:i w:val="0"/>
          <w:iCs w:val="0"/>
          <w:caps w:val="0"/>
          <w:color w:val="auto"/>
          <w:spacing w:val="0"/>
          <w:sz w:val="24"/>
          <w:szCs w:val="24"/>
          <w:highlight w:val="none"/>
          <w:u w:val="none"/>
          <w:shd w:val="clear" w:fill="FFFFFF"/>
          <w:vertAlign w:val="baseline"/>
        </w:rPr>
      </w:pPr>
    </w:p>
    <w:p w14:paraId="70472AC3">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r>
        <w:rPr>
          <w:rFonts w:hint="eastAsia" w:ascii="宋体" w:hAnsi="宋体" w:eastAsia="宋体" w:cs="宋体"/>
          <w:b/>
          <w:bCs/>
          <w:color w:val="auto"/>
          <w:sz w:val="24"/>
          <w:szCs w:val="24"/>
          <w:highlight w:val="none"/>
          <w:lang w:val="en-US" w:eastAsia="zh-CN"/>
        </w:rPr>
        <w:t>关于符合本国产品标准的成本占比承诺函</w:t>
      </w:r>
    </w:p>
    <w:p w14:paraId="65BA9B69">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p>
    <w:tbl>
      <w:tblPr>
        <w:tblStyle w:val="16"/>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1155E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208" w:type="dxa"/>
            <w:vAlign w:val="center"/>
          </w:tcPr>
          <w:p w14:paraId="48B050F1">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项目</w:t>
            </w:r>
          </w:p>
        </w:tc>
        <w:tc>
          <w:tcPr>
            <w:tcW w:w="2092" w:type="dxa"/>
            <w:vAlign w:val="center"/>
          </w:tcPr>
          <w:p w14:paraId="0D72AEE3">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填写内容</w:t>
            </w:r>
          </w:p>
        </w:tc>
      </w:tr>
      <w:tr w14:paraId="46E7A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28A82BC2">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392C3FA5">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76B3CEAD">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lang w:val="en-US" w:eastAsia="zh-CN"/>
              </w:rPr>
            </w:pPr>
          </w:p>
          <w:p w14:paraId="615A06E8">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tc>
        <w:tc>
          <w:tcPr>
            <w:tcW w:w="2092" w:type="dxa"/>
            <w:vAlign w:val="center"/>
          </w:tcPr>
          <w:p w14:paraId="6A969B52">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single"/>
                <w:shd w:val="clear" w:fill="FFFFFF"/>
                <w:vertAlign w:val="baseline"/>
                <w:lang w:val="en-US" w:eastAsia="zh-CN"/>
              </w:rPr>
              <w:t xml:space="preserve">       </w:t>
            </w: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w:t>
            </w:r>
          </w:p>
        </w:tc>
      </w:tr>
    </w:tbl>
    <w:p w14:paraId="61773AFC">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本公司（单位）填写、盖章与签署，即视为对表格内容真实、准确、完整的正式承诺。如存在任何虚假、误导性陈述或重大遗漏，本公司（单位）愿承担由此产生的一切法律后果及责任。</w:t>
      </w:r>
    </w:p>
    <w:p w14:paraId="764D95FA">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供应商名称：（公章）</w:t>
      </w:r>
    </w:p>
    <w:p w14:paraId="778A768C">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日期：    年    月　  日</w:t>
      </w:r>
      <w:r>
        <w:rPr>
          <w:rFonts w:hint="eastAsia" w:ascii="宋体" w:hAnsi="宋体" w:eastAsia="宋体" w:cs="宋体"/>
          <w:i w:val="0"/>
          <w:iCs w:val="0"/>
          <w:caps w:val="0"/>
          <w:color w:val="auto"/>
          <w:spacing w:val="0"/>
          <w:kern w:val="0"/>
          <w:sz w:val="24"/>
          <w:szCs w:val="24"/>
          <w:highlight w:val="none"/>
          <w:u w:val="none"/>
          <w:shd w:val="clear" w:fill="FFFFFF"/>
          <w:vertAlign w:val="baseline"/>
          <w:lang w:val="en-US" w:eastAsia="zh-CN" w:bidi="ar"/>
        </w:rPr>
        <w:t>         </w:t>
      </w:r>
    </w:p>
    <w:p w14:paraId="6FF4EB94">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21A26302">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注：</w:t>
      </w:r>
    </w:p>
    <w:p w14:paraId="6FDB182A">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1、单一产品采购不填写此函，多品目采购包如供应商所有产品均为本国产品且填写《关于符合本国产品标准的声明函》可不填写此函。</w:t>
      </w:r>
    </w:p>
    <w:p w14:paraId="52B99808">
      <w:pPr>
        <w:pStyle w:val="7"/>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lang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03B4D5A8">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7" w:type="default"/>
          <w:pgSz w:w="11906" w:h="16839"/>
          <w:pgMar w:top="1431" w:right="1587" w:bottom="1429" w:left="1587" w:header="0" w:footer="994" w:gutter="0"/>
          <w:pgNumType w:fmt="decimal"/>
          <w:cols w:space="720" w:num="1"/>
        </w:sectPr>
      </w:pPr>
    </w:p>
    <w:p w14:paraId="55FB9C41">
      <w:pPr>
        <w:pageBreakBefore w:val="0"/>
        <w:widowControl w:val="0"/>
        <w:wordWrap/>
        <w:overflowPunct/>
        <w:topLinePunct w:val="0"/>
        <w:bidi w:val="0"/>
        <w:spacing w:before="48" w:line="219" w:lineRule="auto"/>
        <w:ind w:left="3935"/>
        <w:outlineLvl w:val="0"/>
        <w:rPr>
          <w:rFonts w:hint="default" w:ascii="宋体" w:hAnsi="宋体" w:eastAsia="宋体" w:cs="宋体"/>
          <w:color w:val="auto"/>
          <w:spacing w:val="0"/>
          <w:position w:val="0"/>
          <w:sz w:val="24"/>
          <w:szCs w:val="24"/>
          <w:lang w:val="en-US" w:eastAsia="zh-CN"/>
        </w:rPr>
      </w:pPr>
      <w:bookmarkStart w:id="27" w:name="bookmark77"/>
      <w:bookmarkEnd w:id="27"/>
      <w:bookmarkStart w:id="28" w:name="bookmark78"/>
      <w:bookmarkEnd w:id="28"/>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服务方案</w:t>
      </w:r>
    </w:p>
    <w:p w14:paraId="4C1E1CC9">
      <w:pPr>
        <w:pageBreakBefore w:val="0"/>
        <w:widowControl w:val="0"/>
        <w:wordWrap/>
        <w:overflowPunct/>
        <w:topLinePunct w:val="0"/>
        <w:bidi w:val="0"/>
        <w:spacing w:line="283" w:lineRule="auto"/>
        <w:rPr>
          <w:color w:val="auto"/>
          <w:spacing w:val="0"/>
          <w:position w:val="0"/>
          <w:lang w:eastAsia="zh-CN"/>
        </w:rPr>
      </w:pPr>
    </w:p>
    <w:p w14:paraId="5E8E2C39">
      <w:pPr>
        <w:pageBreakBefore w:val="0"/>
        <w:widowControl w:val="0"/>
        <w:wordWrap/>
        <w:overflowPunct/>
        <w:topLinePunct w:val="0"/>
        <w:bidi w:val="0"/>
        <w:spacing w:line="284" w:lineRule="auto"/>
        <w:rPr>
          <w:color w:val="auto"/>
          <w:spacing w:val="0"/>
          <w:position w:val="0"/>
          <w:lang w:eastAsia="zh-CN"/>
        </w:rPr>
      </w:pPr>
    </w:p>
    <w:p w14:paraId="78B51A27">
      <w:pPr>
        <w:pageBreakBefore w:val="0"/>
        <w:widowControl w:val="0"/>
        <w:wordWrap/>
        <w:overflowPunct/>
        <w:topLinePunct w:val="0"/>
        <w:bidi w:val="0"/>
        <w:spacing w:before="78" w:line="219" w:lineRule="auto"/>
        <w:ind w:left="30"/>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内容包括：</w:t>
      </w:r>
    </w:p>
    <w:p w14:paraId="24C4F81E">
      <w:pPr>
        <w:pageBreakBefore w:val="0"/>
        <w:widowControl w:val="0"/>
        <w:wordWrap/>
        <w:overflowPunct/>
        <w:topLinePunct w:val="0"/>
        <w:bidi w:val="0"/>
        <w:spacing w:before="185" w:line="219"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1、服务内容的详细说明</w:t>
      </w:r>
    </w:p>
    <w:p w14:paraId="6D48155D">
      <w:pPr>
        <w:pageBreakBefore w:val="0"/>
        <w:widowControl w:val="0"/>
        <w:wordWrap/>
        <w:overflowPunct/>
        <w:topLinePunct w:val="0"/>
        <w:bidi w:val="0"/>
        <w:spacing w:before="185" w:line="219" w:lineRule="auto"/>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lang w:eastAsia="zh-CN"/>
        </w:rPr>
        <w:t>2、供应商认为需要说明的其他内容（供应商视需要自行编写</w:t>
      </w:r>
      <w:r>
        <w:rPr>
          <w:rFonts w:ascii="宋体" w:hAnsi="宋体" w:eastAsia="宋体" w:cs="宋体"/>
          <w:color w:val="auto"/>
          <w:spacing w:val="-1"/>
          <w:sz w:val="24"/>
          <w:szCs w:val="24"/>
          <w:highlight w:val="none"/>
          <w:lang w:eastAsia="zh-CN"/>
        </w:rPr>
        <w:t>）</w:t>
      </w:r>
    </w:p>
    <w:p w14:paraId="2A9998FC">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8" w:type="default"/>
          <w:pgSz w:w="11906" w:h="16839"/>
          <w:pgMar w:top="1429" w:right="1587" w:bottom="1429" w:left="1587" w:header="0" w:footer="994" w:gutter="0"/>
          <w:pgNumType w:fmt="decimal"/>
          <w:cols w:space="720" w:num="1"/>
        </w:sectPr>
      </w:pPr>
    </w:p>
    <w:p w14:paraId="58226F44">
      <w:pPr>
        <w:pageBreakBefore w:val="0"/>
        <w:widowControl w:val="0"/>
        <w:wordWrap/>
        <w:overflowPunct/>
        <w:topLinePunct w:val="0"/>
        <w:bidi w:val="0"/>
        <w:spacing w:before="48" w:line="219" w:lineRule="auto"/>
        <w:jc w:val="center"/>
        <w:outlineLvl w:val="1"/>
        <w:rPr>
          <w:color w:val="auto"/>
          <w:highlight w:val="none"/>
        </w:rPr>
        <w:sectPr>
          <w:footerReference r:id="rId19" w:type="default"/>
          <w:pgSz w:w="11906" w:h="16839"/>
          <w:pgMar w:top="1429" w:right="1587" w:bottom="1429" w:left="1587" w:header="0" w:footer="994" w:gutter="0"/>
          <w:pgNumType w:fmt="decimal"/>
          <w:cols w:space="720" w:num="1"/>
        </w:sectPr>
      </w:pPr>
      <w:r>
        <w:rPr>
          <w:rFonts w:ascii="宋体" w:hAnsi="宋体" w:eastAsia="宋体" w:cs="宋体"/>
          <w:color w:val="auto"/>
          <w:spacing w:val="-4"/>
          <w:sz w:val="24"/>
          <w:szCs w:val="24"/>
          <w:highlight w:val="none"/>
          <w:lang w:eastAsia="zh-CN"/>
          <w14:textOutline w14:w="4356" w14:cap="sq" w14:cmpd="sng" w14:algn="ctr">
            <w14:solidFill>
              <w14:srgbClr w14:val="000000"/>
            </w14:solidFill>
            <w14:prstDash w14:val="solid"/>
            <w14:bevel/>
          </w14:textOutline>
        </w:rPr>
        <w:t>10</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.与技术、商务等评审计分有关的资料</w:t>
      </w:r>
    </w:p>
    <w:p w14:paraId="3CE78041">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bookmarkStart w:id="29" w:name="bookmark79"/>
      <w:bookmarkEnd w:id="29"/>
      <w:bookmarkStart w:id="30" w:name="bookmark80"/>
      <w:bookmarkEnd w:id="30"/>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10EC163E">
      <w:pPr>
        <w:pageBreakBefore w:val="0"/>
        <w:widowControl w:val="0"/>
        <w:wordWrap/>
        <w:overflowPunct/>
        <w:topLinePunct w:val="0"/>
        <w:bidi w:val="0"/>
        <w:spacing w:line="309" w:lineRule="auto"/>
        <w:jc w:val="center"/>
        <w:rPr>
          <w:color w:val="auto"/>
          <w:highlight w:val="none"/>
          <w:lang w:eastAsia="zh-CN"/>
        </w:rPr>
      </w:pPr>
    </w:p>
    <w:p w14:paraId="0F2A714C">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00D6E72B">
      <w:pPr>
        <w:pageBreakBefore w:val="0"/>
        <w:widowControl w:val="0"/>
        <w:wordWrap/>
        <w:overflowPunct/>
        <w:topLinePunct w:val="0"/>
        <w:bidi w:val="0"/>
        <w:spacing w:before="64"/>
        <w:rPr>
          <w:color w:val="auto"/>
          <w:highlight w:val="none"/>
        </w:rPr>
      </w:pPr>
    </w:p>
    <w:tbl>
      <w:tblPr>
        <w:tblStyle w:val="24"/>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78720" behindDoc="1" locked="0" layoutInCell="1" allowOverlap="1">
                  <wp:simplePos x="0" y="0"/>
                  <wp:positionH relativeFrom="column">
                    <wp:posOffset>6985</wp:posOffset>
                  </wp:positionH>
                  <wp:positionV relativeFrom="paragraph">
                    <wp:posOffset>0</wp:posOffset>
                  </wp:positionV>
                  <wp:extent cx="1805305" cy="1485265"/>
                  <wp:effectExtent l="0" t="0" r="1079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3"/>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6C82F925">
            <w:pPr>
              <w:pStyle w:val="25"/>
              <w:pageBreakBefore w:val="0"/>
              <w:widowControl w:val="0"/>
              <w:wordWrap/>
              <w:overflowPunct/>
              <w:topLinePunct w:val="0"/>
              <w:bidi w:val="0"/>
              <w:spacing w:line="245" w:lineRule="auto"/>
              <w:rPr>
                <w:color w:val="auto"/>
                <w:highlight w:val="none"/>
              </w:rPr>
            </w:pPr>
          </w:p>
          <w:p w14:paraId="40F7ED8D">
            <w:pPr>
              <w:pStyle w:val="25"/>
              <w:pageBreakBefore w:val="0"/>
              <w:widowControl w:val="0"/>
              <w:wordWrap/>
              <w:overflowPunct/>
              <w:topLinePunct w:val="0"/>
              <w:bidi w:val="0"/>
              <w:spacing w:line="246" w:lineRule="auto"/>
              <w:rPr>
                <w:color w:val="auto"/>
                <w:highlight w:val="none"/>
              </w:rPr>
            </w:pPr>
          </w:p>
          <w:p w14:paraId="22D0E8F0">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2CCD6524">
            <w:pPr>
              <w:pStyle w:val="25"/>
              <w:pageBreakBefore w:val="0"/>
              <w:widowControl w:val="0"/>
              <w:wordWrap/>
              <w:overflowPunct/>
              <w:topLinePunct w:val="0"/>
              <w:bidi w:val="0"/>
              <w:spacing w:line="338" w:lineRule="auto"/>
              <w:rPr>
                <w:color w:val="auto"/>
                <w:highlight w:val="none"/>
              </w:rPr>
            </w:pPr>
          </w:p>
          <w:p w14:paraId="56739E74">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12B26195">
            <w:pPr>
              <w:pStyle w:val="25"/>
              <w:pageBreakBefore w:val="0"/>
              <w:widowControl w:val="0"/>
              <w:wordWrap/>
              <w:overflowPunct/>
              <w:topLinePunct w:val="0"/>
              <w:bidi w:val="0"/>
              <w:spacing w:line="263" w:lineRule="auto"/>
              <w:rPr>
                <w:color w:val="auto"/>
                <w:highlight w:val="none"/>
              </w:rPr>
            </w:pPr>
          </w:p>
          <w:p w14:paraId="0743B18A">
            <w:pPr>
              <w:pStyle w:val="25"/>
              <w:pageBreakBefore w:val="0"/>
              <w:widowControl w:val="0"/>
              <w:wordWrap/>
              <w:overflowPunct/>
              <w:topLinePunct w:val="0"/>
              <w:bidi w:val="0"/>
              <w:spacing w:line="263" w:lineRule="auto"/>
              <w:rPr>
                <w:color w:val="auto"/>
                <w:highlight w:val="none"/>
              </w:rPr>
            </w:pPr>
          </w:p>
          <w:p w14:paraId="144BF3D0">
            <w:pPr>
              <w:pStyle w:val="25"/>
              <w:pageBreakBefore w:val="0"/>
              <w:widowControl w:val="0"/>
              <w:wordWrap/>
              <w:overflowPunct/>
              <w:topLinePunct w:val="0"/>
              <w:bidi w:val="0"/>
              <w:spacing w:line="264" w:lineRule="auto"/>
              <w:rPr>
                <w:color w:val="auto"/>
                <w:highlight w:val="none"/>
              </w:rPr>
            </w:pPr>
          </w:p>
          <w:p w14:paraId="537402C6">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vAlign w:val="center"/>
          </w:tcPr>
          <w:p w14:paraId="08CE9823">
            <w:pPr>
              <w:pStyle w:val="25"/>
              <w:pageBreakBefore w:val="0"/>
              <w:widowControl w:val="0"/>
              <w:wordWrap/>
              <w:overflowPunct/>
              <w:topLinePunct w:val="0"/>
              <w:bidi w:val="0"/>
              <w:jc w:val="center"/>
              <w:rPr>
                <w:rFonts w:hint="eastAsia"/>
                <w:color w:val="auto"/>
                <w:highlight w:val="none"/>
              </w:rPr>
            </w:pPr>
            <w:r>
              <w:rPr>
                <w:rFonts w:hint="eastAsia"/>
                <w:color w:val="auto"/>
                <w:highlight w:val="none"/>
              </w:rPr>
              <w:t>江西环境工程龙南产业学院物业管理服务采购</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837650">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vAlign w:val="center"/>
          </w:tcPr>
          <w:p w14:paraId="0E4CD573">
            <w:pPr>
              <w:pStyle w:val="25"/>
              <w:pageBreakBefore w:val="0"/>
              <w:widowControl w:val="0"/>
              <w:wordWrap/>
              <w:overflowPunct/>
              <w:topLinePunct w:val="0"/>
              <w:bidi w:val="0"/>
              <w:jc w:val="center"/>
              <w:rPr>
                <w:rFonts w:hint="default"/>
                <w:color w:val="auto"/>
                <w:highlight w:val="none"/>
                <w:lang w:val="en-US" w:eastAsia="zh-CN"/>
              </w:rPr>
            </w:pPr>
            <w:r>
              <w:rPr>
                <w:rFonts w:hint="eastAsia"/>
                <w:color w:val="auto"/>
                <w:highlight w:val="none"/>
                <w:lang w:val="en-US" w:eastAsia="zh-CN"/>
              </w:rPr>
              <w:t>1项</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4E77148">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vAlign w:val="center"/>
          </w:tcPr>
          <w:p w14:paraId="2856DFA6">
            <w:pPr>
              <w:pStyle w:val="25"/>
              <w:pageBreakBefore w:val="0"/>
              <w:widowControl w:val="0"/>
              <w:wordWrap/>
              <w:overflowPunct/>
              <w:topLinePunct w:val="0"/>
              <w:bidi w:val="0"/>
              <w:jc w:val="center"/>
              <w:rPr>
                <w:rFonts w:hint="default" w:eastAsia="宋体"/>
                <w:color w:val="auto"/>
                <w:highlight w:val="none"/>
                <w:lang w:val="en-US" w:eastAsia="zh-CN"/>
              </w:rPr>
            </w:pPr>
            <w:r>
              <w:rPr>
                <w:rFonts w:hint="eastAsia" w:eastAsia="宋体"/>
                <w:color w:val="auto"/>
                <w:highlight w:val="none"/>
                <w:lang w:val="en-US" w:eastAsia="zh-CN"/>
              </w:rPr>
              <w:t>1年</w:t>
            </w: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9591CCF">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vAlign w:val="center"/>
          </w:tcPr>
          <w:p w14:paraId="4BB6DCE7">
            <w:pPr>
              <w:pStyle w:val="25"/>
              <w:pageBreakBefore w:val="0"/>
              <w:widowControl w:val="0"/>
              <w:wordWrap/>
              <w:overflowPunct/>
              <w:topLinePunct w:val="0"/>
              <w:bidi w:val="0"/>
              <w:jc w:val="center"/>
              <w:rPr>
                <w:rFonts w:hint="eastAsia"/>
                <w:color w:val="auto"/>
                <w:highlight w:val="none"/>
              </w:rPr>
            </w:pPr>
            <w:r>
              <w:rPr>
                <w:rFonts w:hint="eastAsia" w:eastAsia="宋体"/>
                <w:color w:val="auto"/>
                <w:highlight w:val="none"/>
                <w:lang w:val="en-US" w:eastAsia="zh-CN"/>
              </w:rPr>
              <w:t>采购人指定地点</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62C91BD2">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tcPr>
          <w:p w14:paraId="350793D5">
            <w:pPr>
              <w:pStyle w:val="25"/>
              <w:pageBreakBefore w:val="0"/>
              <w:widowControl w:val="0"/>
              <w:wordWrap/>
              <w:overflowPunct/>
              <w:topLinePunct w:val="0"/>
              <w:bidi w:val="0"/>
              <w:jc w:val="center"/>
              <w:rPr>
                <w:rFonts w:hint="eastAsia"/>
                <w:color w:val="auto"/>
                <w:highlight w:val="none"/>
              </w:rPr>
            </w:pPr>
          </w:p>
        </w:tc>
      </w:tr>
    </w:tbl>
    <w:p w14:paraId="4F86D054">
      <w:pPr>
        <w:pageBreakBefore w:val="0"/>
        <w:widowControl w:val="0"/>
        <w:wordWrap/>
        <w:overflowPunct/>
        <w:topLinePunct w:val="0"/>
        <w:bidi w:val="0"/>
        <w:rPr>
          <w:color w:val="auto"/>
          <w:highlight w:val="none"/>
        </w:rPr>
      </w:pPr>
    </w:p>
    <w:p w14:paraId="0C0723DB">
      <w:pPr>
        <w:pageBreakBefore w:val="0"/>
        <w:widowControl w:val="0"/>
        <w:wordWrap/>
        <w:overflowPunct/>
        <w:topLinePunct w:val="0"/>
        <w:bidi w:val="0"/>
        <w:rPr>
          <w:color w:val="auto"/>
          <w:highlight w:val="none"/>
        </w:rPr>
        <w:sectPr>
          <w:footerReference r:id="rId20" w:type="default"/>
          <w:pgSz w:w="11906" w:h="16839"/>
          <w:pgMar w:top="1232" w:right="1786" w:bottom="1156" w:left="1786" w:header="0" w:footer="994" w:gutter="0"/>
          <w:pgNumType w:fmt="decimal"/>
          <w:cols w:space="720" w:num="1"/>
        </w:sectPr>
      </w:pPr>
    </w:p>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31" w:name="bookmark81"/>
      <w:bookmarkEnd w:id="31"/>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5D258939">
      <w:pPr>
        <w:pageBreakBefore w:val="0"/>
        <w:widowControl w:val="0"/>
        <w:wordWrap/>
        <w:overflowPunct/>
        <w:topLinePunct w:val="0"/>
        <w:bidi w:val="0"/>
        <w:spacing w:line="257" w:lineRule="auto"/>
        <w:rPr>
          <w:color w:val="auto"/>
          <w:highlight w:val="none"/>
        </w:rPr>
      </w:pPr>
    </w:p>
    <w:p w14:paraId="6B1C529D">
      <w:pPr>
        <w:keepNext w:val="0"/>
        <w:keepLines w:val="0"/>
        <w:pageBreakBefore w:val="0"/>
        <w:widowControl w:val="0"/>
        <w:kinsoku/>
        <w:wordWrap/>
        <w:overflowPunct/>
        <w:topLinePunct w:val="0"/>
        <w:autoSpaceDE/>
        <w:autoSpaceDN/>
        <w:bidi w:val="0"/>
        <w:adjustRightInd w:val="0"/>
        <w:snapToGrid w:val="0"/>
        <w:spacing w:line="520" w:lineRule="exact"/>
        <w:ind w:left="0" w:leftChars="0" w:firstLine="480" w:firstLineChars="200"/>
        <w:jc w:val="both"/>
        <w:textAlignment w:val="auto"/>
        <w:outlineLvl w:val="1"/>
        <w:rPr>
          <w:rFonts w:hint="eastAsia" w:ascii="宋体" w:hAnsi="宋体" w:eastAsia="宋体" w:cs="宋体"/>
          <w:b w:val="0"/>
          <w:bCs/>
          <w:color w:val="auto"/>
          <w:sz w:val="24"/>
          <w:szCs w:val="24"/>
        </w:rPr>
      </w:pPr>
      <w:bookmarkStart w:id="32" w:name="heading_2"/>
      <w:r>
        <w:rPr>
          <w:rFonts w:hint="eastAsia" w:ascii="宋体" w:hAnsi="宋体" w:eastAsia="宋体" w:cs="宋体"/>
          <w:b w:val="0"/>
          <w:bCs/>
          <w:color w:val="auto"/>
          <w:sz w:val="24"/>
          <w:szCs w:val="24"/>
        </w:rPr>
        <w:t>一、项目概况</w:t>
      </w:r>
      <w:bookmarkEnd w:id="32"/>
    </w:p>
    <w:p w14:paraId="152EC5F6">
      <w:pPr>
        <w:keepNext w:val="0"/>
        <w:keepLines w:val="0"/>
        <w:pageBreakBefore w:val="0"/>
        <w:widowControl w:val="0"/>
        <w:kinsoku/>
        <w:wordWrap/>
        <w:overflowPunct/>
        <w:topLinePunct w:val="0"/>
        <w:autoSpaceDE/>
        <w:autoSpaceDN/>
        <w:bidi w:val="0"/>
        <w:adjustRightInd w:val="0"/>
        <w:snapToGrid w:val="0"/>
        <w:spacing w:line="52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江西环境工程职业学院龙南产业学院位于江西省龙南市赣粤大道1号，占地面积260亩，总建筑面积约68200㎡。</w:t>
      </w:r>
    </w:p>
    <w:p w14:paraId="1F1D6899">
      <w:pPr>
        <w:keepNext w:val="0"/>
        <w:keepLines w:val="0"/>
        <w:pageBreakBefore w:val="0"/>
        <w:widowControl w:val="0"/>
        <w:kinsoku/>
        <w:wordWrap/>
        <w:overflowPunct/>
        <w:topLinePunct w:val="0"/>
        <w:autoSpaceDE/>
        <w:autoSpaceDN/>
        <w:bidi w:val="0"/>
        <w:adjustRightInd w:val="0"/>
        <w:snapToGrid w:val="0"/>
        <w:spacing w:line="520" w:lineRule="exact"/>
        <w:ind w:left="0" w:leftChars="0" w:firstLine="480" w:firstLineChars="200"/>
        <w:jc w:val="both"/>
        <w:textAlignment w:val="auto"/>
        <w:outlineLvl w:val="1"/>
        <w:rPr>
          <w:rFonts w:hint="eastAsia" w:ascii="宋体" w:hAnsi="宋体" w:eastAsia="宋体" w:cs="宋体"/>
          <w:b w:val="0"/>
          <w:bCs/>
          <w:color w:val="auto"/>
          <w:sz w:val="24"/>
          <w:szCs w:val="24"/>
        </w:rPr>
      </w:pPr>
      <w:bookmarkStart w:id="33" w:name="heading_3"/>
      <w:r>
        <w:rPr>
          <w:rFonts w:hint="eastAsia" w:ascii="宋体" w:hAnsi="宋体" w:eastAsia="宋体" w:cs="宋体"/>
          <w:b w:val="0"/>
          <w:bCs/>
          <w:color w:val="auto"/>
          <w:sz w:val="24"/>
          <w:szCs w:val="24"/>
        </w:rPr>
        <w:t>二、物业管理服务范围及主要内容</w:t>
      </w:r>
      <w:bookmarkEnd w:id="33"/>
    </w:p>
    <w:p w14:paraId="092510BD">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1.教学办公楼、实训楼、学生宿舍楼、人才公寓的公共区域及</w:t>
      </w:r>
      <w:r>
        <w:rPr>
          <w:rFonts w:hint="eastAsia" w:ascii="宋体" w:hAnsi="宋体" w:eastAsia="宋体" w:cs="宋体"/>
          <w:color w:val="auto"/>
          <w:sz w:val="24"/>
          <w:szCs w:val="24"/>
          <w:lang w:val="en-US" w:eastAsia="zh-CN"/>
        </w:rPr>
        <w:t>磋商</w:t>
      </w:r>
      <w:r>
        <w:rPr>
          <w:rFonts w:hint="eastAsia" w:ascii="宋体" w:hAnsi="宋体" w:eastAsia="宋体" w:cs="宋体"/>
          <w:color w:val="auto"/>
          <w:sz w:val="24"/>
          <w:szCs w:val="24"/>
        </w:rPr>
        <w:t>文件中约定其他区域的卫生保洁。</w:t>
      </w:r>
    </w:p>
    <w:p w14:paraId="319378D3">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2.学生宿舍楼的宿舍管理。</w:t>
      </w:r>
    </w:p>
    <w:p w14:paraId="70ED9B90">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3.校园水电</w:t>
      </w:r>
      <w:r>
        <w:rPr>
          <w:rFonts w:hint="eastAsia" w:ascii="宋体" w:hAnsi="宋体" w:eastAsia="宋体" w:cs="宋体"/>
          <w:color w:val="auto"/>
          <w:sz w:val="24"/>
          <w:szCs w:val="24"/>
          <w:lang w:val="en-US" w:eastAsia="zh-CN"/>
        </w:rPr>
        <w:t>维修，门窗、锁具、桌椅、床柜等设施维修</w:t>
      </w:r>
      <w:r>
        <w:rPr>
          <w:rFonts w:hint="eastAsia" w:ascii="宋体" w:hAnsi="宋体" w:eastAsia="宋体" w:cs="宋体"/>
          <w:color w:val="auto"/>
          <w:sz w:val="24"/>
          <w:szCs w:val="24"/>
        </w:rPr>
        <w:t>及地砖修复</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防水补漏、管道疏通，修补墙面裂缝、处理墙皮脱落等</w:t>
      </w:r>
      <w:r>
        <w:rPr>
          <w:rFonts w:hint="eastAsia" w:ascii="宋体" w:hAnsi="宋体" w:eastAsia="宋体" w:cs="宋体"/>
          <w:color w:val="auto"/>
          <w:sz w:val="24"/>
          <w:szCs w:val="24"/>
        </w:rPr>
        <w:t>基础维修服务，不含空调系统的专业维保。（维修材料费由采购人负责）</w:t>
      </w:r>
    </w:p>
    <w:p w14:paraId="0591EB73">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4.校园公共秩序维护、安全防范。</w:t>
      </w:r>
    </w:p>
    <w:p w14:paraId="385D8A0D">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5.全院区域绿化养护服务。</w:t>
      </w:r>
    </w:p>
    <w:p w14:paraId="4D59EAD7">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6.生活垃圾清运服务。</w:t>
      </w:r>
    </w:p>
    <w:p w14:paraId="082390DA">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7.教学楼、行政办公楼、学生宿舍楼室外等地的有害生物防治服务。</w:t>
      </w:r>
    </w:p>
    <w:p w14:paraId="415F1356">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8.协助采购人全力做好重大活动或临时、突发工作时的服务保障工作。</w:t>
      </w:r>
    </w:p>
    <w:p w14:paraId="7268520E">
      <w:pPr>
        <w:keepNext w:val="0"/>
        <w:keepLines w:val="0"/>
        <w:pageBreakBefore w:val="0"/>
        <w:widowControl w:val="0"/>
        <w:kinsoku/>
        <w:wordWrap/>
        <w:overflowPunct/>
        <w:topLinePunct w:val="0"/>
        <w:autoSpaceDE/>
        <w:autoSpaceDN/>
        <w:bidi w:val="0"/>
        <w:adjustRightInd w:val="0"/>
        <w:snapToGrid w:val="0"/>
        <w:spacing w:line="520" w:lineRule="exact"/>
        <w:ind w:left="0" w:leftChars="0" w:firstLine="480" w:firstLineChars="200"/>
        <w:jc w:val="both"/>
        <w:textAlignment w:val="auto"/>
        <w:outlineLvl w:val="1"/>
        <w:rPr>
          <w:rFonts w:hint="eastAsia" w:ascii="宋体" w:hAnsi="宋体" w:eastAsia="宋体" w:cs="宋体"/>
          <w:b w:val="0"/>
          <w:bCs/>
          <w:color w:val="auto"/>
          <w:sz w:val="24"/>
          <w:szCs w:val="24"/>
        </w:rPr>
      </w:pPr>
      <w:bookmarkStart w:id="34" w:name="heading_4"/>
      <w:r>
        <w:rPr>
          <w:rFonts w:hint="eastAsia" w:ascii="宋体" w:hAnsi="宋体" w:eastAsia="宋体" w:cs="宋体"/>
          <w:b w:val="0"/>
          <w:bCs/>
          <w:color w:val="auto"/>
          <w:sz w:val="24"/>
          <w:szCs w:val="24"/>
        </w:rPr>
        <w:t>三、物业管理服务要求</w:t>
      </w:r>
      <w:bookmarkEnd w:id="34"/>
    </w:p>
    <w:p w14:paraId="2F7DBDA3">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firstLine="480" w:firstLineChars="200"/>
        <w:jc w:val="both"/>
        <w:textAlignment w:val="auto"/>
        <w:outlineLvl w:val="2"/>
        <w:rPr>
          <w:rFonts w:hint="eastAsia" w:ascii="宋体" w:hAnsi="宋体" w:eastAsia="宋体" w:cs="宋体"/>
          <w:i w:val="0"/>
          <w:iCs w:val="0"/>
          <w:caps w:val="0"/>
          <w:color w:val="0F1115"/>
          <w:spacing w:val="0"/>
          <w:sz w:val="24"/>
          <w:szCs w:val="24"/>
          <w:shd w:val="clear" w:color="auto" w:fill="FFFFFF"/>
          <w:lang w:val="en-US" w:eastAsia="zh-CN"/>
        </w:rPr>
      </w:pPr>
      <w:r>
        <w:rPr>
          <w:rFonts w:hint="eastAsia" w:ascii="宋体" w:hAnsi="宋体" w:eastAsia="宋体" w:cs="宋体"/>
          <w:i w:val="0"/>
          <w:iCs w:val="0"/>
          <w:caps w:val="0"/>
          <w:color w:val="0F1115"/>
          <w:spacing w:val="0"/>
          <w:sz w:val="24"/>
          <w:szCs w:val="24"/>
          <w:shd w:val="clear" w:color="auto" w:fill="FFFFFF"/>
          <w:lang w:val="en-US" w:eastAsia="zh-CN"/>
        </w:rPr>
        <w:t>（一）总体要求</w:t>
      </w:r>
    </w:p>
    <w:p w14:paraId="35045FE0">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atLeast"/>
        <w:ind w:left="0" w:leftChars="0" w:firstLine="480" w:firstLineChars="200"/>
        <w:jc w:val="both"/>
        <w:textAlignment w:val="auto"/>
        <w:outlineLvl w:val="2"/>
        <w:rPr>
          <w:rFonts w:hint="eastAsia" w:ascii="宋体" w:hAnsi="宋体" w:eastAsia="宋体" w:cs="宋体"/>
          <w:i w:val="0"/>
          <w:iCs w:val="0"/>
          <w:caps w:val="0"/>
          <w:color w:val="0F1115"/>
          <w:spacing w:val="0"/>
          <w:sz w:val="24"/>
          <w:szCs w:val="24"/>
          <w:shd w:val="clear" w:color="auto" w:fill="FFFFFF"/>
        </w:rPr>
      </w:pPr>
      <w:r>
        <w:rPr>
          <w:rFonts w:hint="eastAsia" w:ascii="宋体" w:hAnsi="宋体" w:eastAsia="宋体" w:cs="宋体"/>
          <w:i w:val="0"/>
          <w:iCs w:val="0"/>
          <w:caps w:val="0"/>
          <w:color w:val="0F1115"/>
          <w:spacing w:val="0"/>
          <w:sz w:val="24"/>
          <w:szCs w:val="24"/>
          <w:shd w:val="clear" w:color="auto" w:fill="FFFFFF"/>
        </w:rPr>
        <w:t>江西环境工程职业学院龙南产业学院物业管理服务，涵盖校园环境卫生保洁、学生宿舍管理、水电及基础维修、校园公共秩序维护、绿化养护、生活垃圾清运、有害生物防治、重大活动及临时突发工作保障等内容。中标人须组建专业、规范、安全、高效的服务团队，配置符合要求的人员及设备，建立健全各项管理制度，确保各项服务达到国家、地方及行业相关标准，满足采购人日常教学、办公、生活及重大活动保障需求，为学院师生创造整洁、安全、优美、舒适的校园环境。</w:t>
      </w:r>
    </w:p>
    <w:p w14:paraId="54C7C4E3">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atLeast"/>
        <w:ind w:left="0" w:leftChars="0" w:firstLine="480" w:firstLineChars="200"/>
        <w:jc w:val="both"/>
        <w:textAlignment w:val="auto"/>
        <w:outlineLvl w:val="2"/>
        <w:rPr>
          <w:rFonts w:hint="eastAsia" w:ascii="宋体" w:hAnsi="宋体" w:eastAsia="宋体" w:cs="宋体"/>
          <w:i w:val="0"/>
          <w:iCs w:val="0"/>
          <w:caps w:val="0"/>
          <w:color w:val="0F1115"/>
          <w:spacing w:val="0"/>
          <w:sz w:val="24"/>
          <w:szCs w:val="24"/>
          <w:shd w:val="clear" w:color="auto" w:fill="FFFFFF"/>
          <w:lang w:val="en-US" w:eastAsia="zh-CN"/>
        </w:rPr>
      </w:pPr>
      <w:r>
        <w:rPr>
          <w:rFonts w:hint="eastAsia" w:ascii="宋体" w:hAnsi="宋体" w:eastAsia="宋体" w:cs="宋体"/>
          <w:i w:val="0"/>
          <w:iCs w:val="0"/>
          <w:caps w:val="0"/>
          <w:color w:val="0F1115"/>
          <w:spacing w:val="0"/>
          <w:sz w:val="24"/>
          <w:szCs w:val="24"/>
          <w:shd w:val="clear" w:color="auto" w:fill="FFFFFF"/>
          <w:lang w:val="en-US" w:eastAsia="zh-CN"/>
        </w:rPr>
        <w:t>（二）工具耗材要求</w:t>
      </w:r>
    </w:p>
    <w:p w14:paraId="695763C8">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atLeast"/>
        <w:ind w:left="0" w:leftChars="0" w:firstLine="480" w:firstLineChars="200"/>
        <w:jc w:val="both"/>
        <w:textAlignment w:val="auto"/>
        <w:outlineLvl w:val="2"/>
        <w:rPr>
          <w:rFonts w:hint="eastAsia" w:ascii="宋体" w:hAnsi="宋体" w:eastAsia="宋体" w:cs="宋体"/>
          <w:i w:val="0"/>
          <w:iCs w:val="0"/>
          <w:caps w:val="0"/>
          <w:color w:val="0F1115"/>
          <w:spacing w:val="0"/>
          <w:sz w:val="24"/>
          <w:szCs w:val="24"/>
          <w:shd w:val="clear" w:color="auto" w:fill="FFFFFF"/>
        </w:rPr>
      </w:pPr>
      <w:r>
        <w:rPr>
          <w:rFonts w:hint="eastAsia" w:ascii="宋体" w:hAnsi="宋体" w:eastAsia="宋体" w:cs="宋体"/>
          <w:i w:val="0"/>
          <w:iCs w:val="0"/>
          <w:caps w:val="0"/>
          <w:color w:val="0F1115"/>
          <w:spacing w:val="0"/>
          <w:sz w:val="24"/>
          <w:szCs w:val="24"/>
          <w:shd w:val="clear" w:color="auto" w:fill="FFFFFF"/>
        </w:rPr>
        <w:t>所用</w:t>
      </w:r>
      <w:r>
        <w:rPr>
          <w:rFonts w:hint="eastAsia" w:ascii="宋体" w:hAnsi="宋体" w:eastAsia="宋体" w:cs="宋体"/>
          <w:i w:val="0"/>
          <w:iCs w:val="0"/>
          <w:caps w:val="0"/>
          <w:color w:val="0F1115"/>
          <w:spacing w:val="0"/>
          <w:sz w:val="24"/>
          <w:szCs w:val="24"/>
          <w:shd w:val="clear" w:color="auto" w:fill="FFFFFF"/>
          <w:lang w:val="en-US" w:eastAsia="zh-CN"/>
        </w:rPr>
        <w:t>安保器材、维修工具、</w:t>
      </w:r>
      <w:r>
        <w:rPr>
          <w:rFonts w:hint="eastAsia" w:ascii="宋体" w:hAnsi="宋体" w:eastAsia="宋体" w:cs="宋体"/>
          <w:i w:val="0"/>
          <w:iCs w:val="0"/>
          <w:caps w:val="0"/>
          <w:color w:val="0F1115"/>
          <w:spacing w:val="0"/>
          <w:sz w:val="24"/>
          <w:szCs w:val="24"/>
          <w:shd w:val="clear" w:color="auto" w:fill="FFFFFF"/>
        </w:rPr>
        <w:t>劳动工具</w:t>
      </w:r>
      <w:r>
        <w:rPr>
          <w:rFonts w:hint="eastAsia" w:ascii="宋体" w:hAnsi="宋体" w:eastAsia="宋体" w:cs="宋体"/>
          <w:i w:val="0"/>
          <w:iCs w:val="0"/>
          <w:caps w:val="0"/>
          <w:color w:val="0F1115"/>
          <w:spacing w:val="0"/>
          <w:sz w:val="24"/>
          <w:szCs w:val="24"/>
          <w:shd w:val="clear" w:color="auto" w:fill="FFFFFF"/>
          <w:lang w:eastAsia="zh-CN"/>
        </w:rPr>
        <w:t>（</w:t>
      </w:r>
      <w:r>
        <w:rPr>
          <w:rFonts w:hint="eastAsia" w:ascii="宋体" w:hAnsi="宋体" w:eastAsia="宋体" w:cs="宋体"/>
          <w:i w:val="0"/>
          <w:iCs w:val="0"/>
          <w:caps w:val="0"/>
          <w:color w:val="0F1115"/>
          <w:spacing w:val="0"/>
          <w:sz w:val="24"/>
          <w:szCs w:val="24"/>
          <w:shd w:val="clear" w:color="auto" w:fill="FFFFFF"/>
          <w:lang w:val="en-US" w:eastAsia="zh-CN"/>
        </w:rPr>
        <w:t>扫把、拖把、钢丝球、环卫垃圾夹、垃圾桶等</w:t>
      </w:r>
      <w:r>
        <w:rPr>
          <w:rFonts w:hint="eastAsia" w:ascii="宋体" w:hAnsi="宋体" w:eastAsia="宋体" w:cs="宋体"/>
          <w:i w:val="0"/>
          <w:iCs w:val="0"/>
          <w:caps w:val="0"/>
          <w:color w:val="0F1115"/>
          <w:spacing w:val="0"/>
          <w:sz w:val="24"/>
          <w:szCs w:val="24"/>
          <w:shd w:val="clear" w:color="auto" w:fill="FFFFFF"/>
          <w:lang w:eastAsia="zh-CN"/>
        </w:rPr>
        <w:t>）</w:t>
      </w:r>
      <w:r>
        <w:rPr>
          <w:rFonts w:hint="eastAsia" w:ascii="宋体" w:hAnsi="宋体" w:eastAsia="宋体" w:cs="宋体"/>
          <w:i w:val="0"/>
          <w:iCs w:val="0"/>
          <w:caps w:val="0"/>
          <w:color w:val="0F1115"/>
          <w:spacing w:val="0"/>
          <w:sz w:val="24"/>
          <w:szCs w:val="24"/>
          <w:shd w:val="clear" w:color="auto" w:fill="FFFFFF"/>
        </w:rPr>
        <w:t>和肥料、农药等由</w:t>
      </w:r>
      <w:r>
        <w:rPr>
          <w:rFonts w:hint="eastAsia" w:ascii="宋体" w:hAnsi="宋体" w:eastAsia="宋体" w:cs="宋体"/>
          <w:i w:val="0"/>
          <w:iCs w:val="0"/>
          <w:caps w:val="0"/>
          <w:color w:val="0F1115"/>
          <w:spacing w:val="0"/>
          <w:sz w:val="24"/>
          <w:szCs w:val="24"/>
          <w:shd w:val="clear" w:color="auto" w:fill="FFFFFF"/>
          <w:lang w:val="en-US" w:eastAsia="zh-CN"/>
        </w:rPr>
        <w:t>中标人</w:t>
      </w:r>
      <w:r>
        <w:rPr>
          <w:rFonts w:hint="eastAsia" w:ascii="宋体" w:hAnsi="宋体" w:eastAsia="宋体" w:cs="宋体"/>
          <w:i w:val="0"/>
          <w:iCs w:val="0"/>
          <w:caps w:val="0"/>
          <w:color w:val="0F1115"/>
          <w:spacing w:val="0"/>
          <w:sz w:val="24"/>
          <w:szCs w:val="24"/>
          <w:shd w:val="clear" w:color="auto" w:fill="FFFFFF"/>
        </w:rPr>
        <w:t>自备。自备的</w:t>
      </w:r>
      <w:r>
        <w:rPr>
          <w:rFonts w:hint="eastAsia" w:ascii="宋体" w:hAnsi="宋体" w:eastAsia="宋体" w:cs="宋体"/>
          <w:i w:val="0"/>
          <w:iCs w:val="0"/>
          <w:caps w:val="0"/>
          <w:color w:val="0F1115"/>
          <w:spacing w:val="0"/>
          <w:sz w:val="24"/>
          <w:szCs w:val="24"/>
          <w:shd w:val="clear" w:color="auto" w:fill="FFFFFF"/>
          <w:lang w:val="en-US" w:eastAsia="zh-CN"/>
        </w:rPr>
        <w:t>安保器材、维修工具、</w:t>
      </w:r>
      <w:r>
        <w:rPr>
          <w:rFonts w:hint="eastAsia" w:ascii="宋体" w:hAnsi="宋体" w:eastAsia="宋体" w:cs="宋体"/>
          <w:i w:val="0"/>
          <w:iCs w:val="0"/>
          <w:caps w:val="0"/>
          <w:color w:val="0F1115"/>
          <w:spacing w:val="0"/>
          <w:sz w:val="24"/>
          <w:szCs w:val="24"/>
          <w:shd w:val="clear" w:color="auto" w:fill="FFFFFF"/>
        </w:rPr>
        <w:t>劳动工具、保洁耗材</w:t>
      </w:r>
      <w:r>
        <w:rPr>
          <w:rFonts w:hint="eastAsia" w:ascii="宋体" w:hAnsi="宋体" w:eastAsia="宋体" w:cs="宋体"/>
          <w:i w:val="0"/>
          <w:iCs w:val="0"/>
          <w:caps w:val="0"/>
          <w:color w:val="0F1115"/>
          <w:spacing w:val="0"/>
          <w:sz w:val="24"/>
          <w:szCs w:val="24"/>
          <w:shd w:val="clear" w:color="auto" w:fill="FFFFFF"/>
          <w:lang w:eastAsia="zh-CN"/>
        </w:rPr>
        <w:t>（</w:t>
      </w:r>
      <w:r>
        <w:rPr>
          <w:rFonts w:hint="eastAsia" w:ascii="宋体" w:hAnsi="宋体" w:eastAsia="宋体" w:cs="宋体"/>
          <w:i w:val="0"/>
          <w:iCs w:val="0"/>
          <w:caps w:val="0"/>
          <w:color w:val="0F1115"/>
          <w:spacing w:val="0"/>
          <w:sz w:val="24"/>
          <w:szCs w:val="24"/>
          <w:shd w:val="clear" w:color="auto" w:fill="FFFFFF"/>
        </w:rPr>
        <w:t>垃圾袋、清洁剂等</w:t>
      </w:r>
      <w:r>
        <w:rPr>
          <w:rFonts w:hint="eastAsia" w:ascii="宋体" w:hAnsi="宋体" w:eastAsia="宋体" w:cs="宋体"/>
          <w:i w:val="0"/>
          <w:iCs w:val="0"/>
          <w:caps w:val="0"/>
          <w:color w:val="0F1115"/>
          <w:spacing w:val="0"/>
          <w:sz w:val="24"/>
          <w:szCs w:val="24"/>
          <w:shd w:val="clear" w:color="auto" w:fill="FFFFFF"/>
          <w:lang w:eastAsia="zh-CN"/>
        </w:rPr>
        <w:t>）</w:t>
      </w:r>
      <w:r>
        <w:rPr>
          <w:rFonts w:hint="eastAsia" w:ascii="宋体" w:hAnsi="宋体" w:eastAsia="宋体" w:cs="宋体"/>
          <w:i w:val="0"/>
          <w:iCs w:val="0"/>
          <w:caps w:val="0"/>
          <w:color w:val="0F1115"/>
          <w:spacing w:val="0"/>
          <w:sz w:val="24"/>
          <w:szCs w:val="24"/>
          <w:shd w:val="clear" w:color="auto" w:fill="FFFFFF"/>
        </w:rPr>
        <w:t>须符合国家相关质量标准，为合格产品；绿化所用肥料、农药及四害消杀所用药品，须</w:t>
      </w:r>
      <w:r>
        <w:rPr>
          <w:rFonts w:hint="eastAsia" w:ascii="宋体" w:hAnsi="宋体" w:eastAsia="宋体" w:cs="宋体"/>
          <w:i w:val="0"/>
          <w:iCs w:val="0"/>
          <w:caps w:val="0"/>
          <w:color w:val="0F1115"/>
          <w:spacing w:val="0"/>
          <w:sz w:val="24"/>
          <w:szCs w:val="24"/>
          <w:shd w:val="clear" w:color="auto" w:fill="FFFFFF"/>
          <w:lang w:val="en-US" w:eastAsia="zh-CN"/>
        </w:rPr>
        <w:t>具有</w:t>
      </w:r>
      <w:r>
        <w:rPr>
          <w:rFonts w:hint="eastAsia" w:ascii="宋体" w:hAnsi="宋体" w:eastAsia="宋体" w:cs="宋体"/>
          <w:i w:val="0"/>
          <w:iCs w:val="0"/>
          <w:caps w:val="0"/>
          <w:color w:val="0F1115"/>
          <w:spacing w:val="0"/>
          <w:sz w:val="24"/>
          <w:szCs w:val="24"/>
          <w:shd w:val="clear" w:color="auto" w:fill="FFFFFF"/>
        </w:rPr>
        <w:t>产品合格证、国家农药登记证等相关证明文件，且符合《农药管理条例》及赣州市环保、疾控部门的要求，为安全高效低毒、对师生及校园环境无害的产品；中标人须在使用前将药品、肥料的样品及相关证明文件提交采购人备案。所用产品应符合国家相关质量标准及环保、疾控部门要求，为安全高效低毒、对师生及校园环境无害的产品。中标人如需更换产品品牌或规格，须提前向采购人提交书面申请，并附新产品的合格证明及备案资料，经采购人书面同意后方可更换。未经采购人同意擅自使用未备案产品的，采购人有权责令立即停止使用，并视情节扣减当季度服务费的5%-10%。</w:t>
      </w:r>
    </w:p>
    <w:p w14:paraId="19F4F6F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outlineLvl w:val="2"/>
        <w:rPr>
          <w:rFonts w:hint="eastAsia" w:ascii="宋体" w:hAnsi="宋体" w:eastAsia="宋体" w:cs="宋体"/>
          <w:i w:val="0"/>
          <w:iCs w:val="0"/>
          <w:caps w:val="0"/>
          <w:color w:val="0F1115"/>
          <w:spacing w:val="0"/>
          <w:sz w:val="24"/>
          <w:szCs w:val="24"/>
          <w:shd w:val="clear" w:color="auto" w:fill="FFFFFF"/>
        </w:rPr>
      </w:pPr>
      <w:r>
        <w:rPr>
          <w:rFonts w:hint="eastAsia" w:ascii="宋体" w:hAnsi="宋体" w:eastAsia="宋体" w:cs="宋体"/>
          <w:b w:val="0"/>
          <w:bCs w:val="0"/>
          <w:i w:val="0"/>
          <w:iCs w:val="0"/>
          <w:caps w:val="0"/>
          <w:color w:val="0F1115"/>
          <w:spacing w:val="0"/>
          <w:sz w:val="24"/>
          <w:szCs w:val="24"/>
          <w:shd w:val="clear" w:color="auto" w:fill="FFFFFF"/>
          <w:lang w:val="en-US" w:eastAsia="zh-CN"/>
        </w:rPr>
        <w:t>（三）</w:t>
      </w:r>
      <w:r>
        <w:rPr>
          <w:rFonts w:hint="eastAsia" w:ascii="宋体" w:hAnsi="宋体" w:eastAsia="宋体" w:cs="宋体"/>
          <w:b w:val="0"/>
          <w:bCs w:val="0"/>
          <w:i w:val="0"/>
          <w:iCs w:val="0"/>
          <w:caps w:val="0"/>
          <w:color w:val="0F1115"/>
          <w:spacing w:val="0"/>
          <w:sz w:val="24"/>
          <w:szCs w:val="24"/>
          <w:shd w:val="clear" w:color="auto" w:fill="FFFFFF"/>
        </w:rPr>
        <w:t>拟投入的人员数量及素质要求</w:t>
      </w:r>
    </w:p>
    <w:tbl>
      <w:tblPr>
        <w:tblStyle w:val="15"/>
        <w:tblpPr w:leftFromText="180" w:rightFromText="180" w:vertAnchor="text" w:tblpXSpec="center" w:tblpY="1"/>
        <w:tblOverlap w:val="never"/>
        <w:tblW w:w="91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1001"/>
        <w:gridCol w:w="761"/>
        <w:gridCol w:w="1189"/>
        <w:gridCol w:w="3861"/>
        <w:gridCol w:w="2323"/>
      </w:tblGrid>
      <w:tr w14:paraId="6BC14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55" w:hRule="atLeast"/>
          <w:tblHeader/>
          <w:jc w:val="center"/>
        </w:trPr>
        <w:tc>
          <w:tcPr>
            <w:tcW w:w="1001" w:type="dxa"/>
            <w:noWrap w:val="0"/>
            <w:tcMar>
              <w:top w:w="62" w:type="dxa"/>
              <w:left w:w="57" w:type="dxa"/>
              <w:bottom w:w="28" w:type="dxa"/>
              <w:right w:w="57" w:type="dxa"/>
            </w:tcMar>
            <w:vAlign w:val="center"/>
          </w:tcPr>
          <w:p w14:paraId="3B69669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工作种类</w:t>
            </w:r>
          </w:p>
        </w:tc>
        <w:tc>
          <w:tcPr>
            <w:tcW w:w="761" w:type="dxa"/>
            <w:noWrap w:val="0"/>
            <w:tcMar>
              <w:top w:w="62" w:type="dxa"/>
              <w:left w:w="57" w:type="dxa"/>
              <w:bottom w:w="28" w:type="dxa"/>
              <w:right w:w="57" w:type="dxa"/>
            </w:tcMar>
            <w:vAlign w:val="center"/>
          </w:tcPr>
          <w:p w14:paraId="605719A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开学期间人数</w:t>
            </w:r>
          </w:p>
        </w:tc>
        <w:tc>
          <w:tcPr>
            <w:tcW w:w="1189" w:type="dxa"/>
            <w:noWrap w:val="0"/>
            <w:tcMar>
              <w:top w:w="62" w:type="dxa"/>
              <w:left w:w="57" w:type="dxa"/>
              <w:bottom w:w="28" w:type="dxa"/>
              <w:right w:w="57" w:type="dxa"/>
            </w:tcMar>
            <w:vAlign w:val="center"/>
          </w:tcPr>
          <w:p w14:paraId="48ED914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寒暑假期间最低人数</w:t>
            </w:r>
          </w:p>
        </w:tc>
        <w:tc>
          <w:tcPr>
            <w:tcW w:w="3861" w:type="dxa"/>
            <w:noWrap w:val="0"/>
            <w:tcMar>
              <w:top w:w="62" w:type="dxa"/>
              <w:left w:w="57" w:type="dxa"/>
              <w:bottom w:w="28" w:type="dxa"/>
              <w:right w:w="57" w:type="dxa"/>
            </w:tcMar>
            <w:vAlign w:val="center"/>
          </w:tcPr>
          <w:p w14:paraId="2C66FD1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具体安排及情况说明</w:t>
            </w:r>
          </w:p>
        </w:tc>
        <w:tc>
          <w:tcPr>
            <w:tcW w:w="2323" w:type="dxa"/>
            <w:noWrap w:val="0"/>
            <w:tcMar>
              <w:top w:w="62" w:type="dxa"/>
              <w:left w:w="57" w:type="dxa"/>
              <w:bottom w:w="28" w:type="dxa"/>
              <w:right w:w="57" w:type="dxa"/>
            </w:tcMar>
            <w:vAlign w:val="center"/>
          </w:tcPr>
          <w:p w14:paraId="2B96416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人员要求</w:t>
            </w:r>
          </w:p>
        </w:tc>
      </w:tr>
      <w:tr w14:paraId="64B5A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3" w:hRule="atLeast"/>
          <w:tblHeader/>
          <w:jc w:val="center"/>
        </w:trPr>
        <w:tc>
          <w:tcPr>
            <w:tcW w:w="1001" w:type="dxa"/>
            <w:noWrap w:val="0"/>
            <w:tcMar>
              <w:top w:w="62" w:type="dxa"/>
              <w:left w:w="57" w:type="dxa"/>
              <w:bottom w:w="28" w:type="dxa"/>
              <w:right w:w="57" w:type="dxa"/>
            </w:tcMar>
            <w:vAlign w:val="center"/>
          </w:tcPr>
          <w:p w14:paraId="5B45C85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项目负责人</w:t>
            </w:r>
          </w:p>
        </w:tc>
        <w:tc>
          <w:tcPr>
            <w:tcW w:w="761" w:type="dxa"/>
            <w:noWrap w:val="0"/>
            <w:tcMar>
              <w:top w:w="62" w:type="dxa"/>
              <w:left w:w="57" w:type="dxa"/>
              <w:bottom w:w="28" w:type="dxa"/>
              <w:right w:w="57" w:type="dxa"/>
            </w:tcMar>
            <w:vAlign w:val="center"/>
          </w:tcPr>
          <w:p w14:paraId="653872A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1</w:t>
            </w:r>
          </w:p>
        </w:tc>
        <w:tc>
          <w:tcPr>
            <w:tcW w:w="1189" w:type="dxa"/>
            <w:noWrap w:val="0"/>
            <w:tcMar>
              <w:top w:w="62" w:type="dxa"/>
              <w:left w:w="57" w:type="dxa"/>
              <w:bottom w:w="28" w:type="dxa"/>
              <w:right w:w="57" w:type="dxa"/>
            </w:tcMar>
            <w:vAlign w:val="center"/>
          </w:tcPr>
          <w:p w14:paraId="6B15C35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1</w:t>
            </w:r>
          </w:p>
        </w:tc>
        <w:tc>
          <w:tcPr>
            <w:tcW w:w="3861" w:type="dxa"/>
            <w:noWrap w:val="0"/>
            <w:tcMar>
              <w:top w:w="62" w:type="dxa"/>
              <w:left w:w="57" w:type="dxa"/>
              <w:bottom w:w="28" w:type="dxa"/>
              <w:right w:w="57" w:type="dxa"/>
            </w:tcMar>
            <w:vAlign w:val="center"/>
          </w:tcPr>
          <w:p w14:paraId="7FA4550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全面负责统筹项目学院物业运营管理工作，与学校对接相关工作。</w:t>
            </w:r>
          </w:p>
        </w:tc>
        <w:tc>
          <w:tcPr>
            <w:tcW w:w="2323" w:type="dxa"/>
            <w:noWrap w:val="0"/>
            <w:tcMar>
              <w:top w:w="62" w:type="dxa"/>
              <w:left w:w="57" w:type="dxa"/>
              <w:bottom w:w="28" w:type="dxa"/>
              <w:right w:w="57" w:type="dxa"/>
            </w:tcMar>
            <w:vAlign w:val="center"/>
          </w:tcPr>
          <w:p w14:paraId="61473C2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年龄不超过50周岁且具有三年</w:t>
            </w:r>
            <w:r>
              <w:rPr>
                <w:rFonts w:hint="eastAsia" w:ascii="宋体" w:hAnsi="宋体" w:eastAsia="宋体" w:cs="宋体"/>
                <w:b w:val="0"/>
                <w:kern w:val="21"/>
                <w:sz w:val="24"/>
                <w:szCs w:val="24"/>
                <w:lang w:val="en-US" w:eastAsia="zh-CN"/>
              </w:rPr>
              <w:t>及</w:t>
            </w:r>
            <w:r>
              <w:rPr>
                <w:rFonts w:hint="eastAsia" w:ascii="宋体" w:hAnsi="宋体" w:eastAsia="宋体" w:cs="宋体"/>
                <w:b w:val="0"/>
                <w:kern w:val="21"/>
                <w:sz w:val="24"/>
                <w:szCs w:val="24"/>
              </w:rPr>
              <w:t>以上物业管理经验，专科及以上学历。</w:t>
            </w:r>
          </w:p>
        </w:tc>
      </w:tr>
      <w:tr w14:paraId="192D6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3" w:hRule="atLeast"/>
          <w:tblHeader/>
          <w:jc w:val="center"/>
        </w:trPr>
        <w:tc>
          <w:tcPr>
            <w:tcW w:w="1001" w:type="dxa"/>
            <w:noWrap w:val="0"/>
            <w:tcMar>
              <w:top w:w="62" w:type="dxa"/>
              <w:left w:w="57" w:type="dxa"/>
              <w:bottom w:w="28" w:type="dxa"/>
              <w:right w:w="57" w:type="dxa"/>
            </w:tcMar>
            <w:vAlign w:val="center"/>
          </w:tcPr>
          <w:p w14:paraId="5B2C0ED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项目助理</w:t>
            </w:r>
          </w:p>
        </w:tc>
        <w:tc>
          <w:tcPr>
            <w:tcW w:w="761" w:type="dxa"/>
            <w:noWrap w:val="0"/>
            <w:tcMar>
              <w:top w:w="62" w:type="dxa"/>
              <w:left w:w="57" w:type="dxa"/>
              <w:bottom w:w="28" w:type="dxa"/>
              <w:right w:w="57" w:type="dxa"/>
            </w:tcMar>
            <w:vAlign w:val="center"/>
          </w:tcPr>
          <w:p w14:paraId="5F9D9BA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1</w:t>
            </w:r>
          </w:p>
        </w:tc>
        <w:tc>
          <w:tcPr>
            <w:tcW w:w="1189" w:type="dxa"/>
            <w:noWrap w:val="0"/>
            <w:tcMar>
              <w:top w:w="62" w:type="dxa"/>
              <w:left w:w="57" w:type="dxa"/>
              <w:bottom w:w="28" w:type="dxa"/>
              <w:right w:w="57" w:type="dxa"/>
            </w:tcMar>
            <w:vAlign w:val="center"/>
          </w:tcPr>
          <w:p w14:paraId="430B251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1</w:t>
            </w:r>
          </w:p>
        </w:tc>
        <w:tc>
          <w:tcPr>
            <w:tcW w:w="3861" w:type="dxa"/>
            <w:noWrap w:val="0"/>
            <w:tcMar>
              <w:top w:w="62" w:type="dxa"/>
              <w:left w:w="57" w:type="dxa"/>
              <w:bottom w:w="28" w:type="dxa"/>
              <w:right w:w="57" w:type="dxa"/>
            </w:tcMar>
            <w:vAlign w:val="center"/>
          </w:tcPr>
          <w:p w14:paraId="003323B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协助项目经理处理日常事务，配合大型活动及会议服务。</w:t>
            </w:r>
          </w:p>
        </w:tc>
        <w:tc>
          <w:tcPr>
            <w:tcW w:w="2323" w:type="dxa"/>
            <w:noWrap w:val="0"/>
            <w:tcMar>
              <w:top w:w="62" w:type="dxa"/>
              <w:left w:w="57" w:type="dxa"/>
              <w:bottom w:w="28" w:type="dxa"/>
              <w:right w:w="57" w:type="dxa"/>
            </w:tcMar>
            <w:vAlign w:val="center"/>
          </w:tcPr>
          <w:p w14:paraId="22D6759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年龄不超过40周岁，有相关工作经验。</w:t>
            </w:r>
          </w:p>
        </w:tc>
      </w:tr>
      <w:tr w14:paraId="0550E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04" w:hRule="atLeast"/>
          <w:tblHeader/>
          <w:jc w:val="center"/>
        </w:trPr>
        <w:tc>
          <w:tcPr>
            <w:tcW w:w="1001" w:type="dxa"/>
            <w:noWrap w:val="0"/>
            <w:tcMar>
              <w:top w:w="62" w:type="dxa"/>
              <w:left w:w="57" w:type="dxa"/>
              <w:bottom w:w="28" w:type="dxa"/>
              <w:right w:w="57" w:type="dxa"/>
            </w:tcMar>
            <w:vAlign w:val="center"/>
          </w:tcPr>
          <w:p w14:paraId="4CD1378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宿舍管理员</w:t>
            </w:r>
          </w:p>
        </w:tc>
        <w:tc>
          <w:tcPr>
            <w:tcW w:w="761" w:type="dxa"/>
            <w:noWrap w:val="0"/>
            <w:tcMar>
              <w:top w:w="62" w:type="dxa"/>
              <w:left w:w="57" w:type="dxa"/>
              <w:bottom w:w="28" w:type="dxa"/>
              <w:right w:w="57" w:type="dxa"/>
            </w:tcMar>
            <w:vAlign w:val="center"/>
          </w:tcPr>
          <w:p w14:paraId="130209D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6</w:t>
            </w:r>
          </w:p>
        </w:tc>
        <w:tc>
          <w:tcPr>
            <w:tcW w:w="1189" w:type="dxa"/>
            <w:noWrap w:val="0"/>
            <w:tcMar>
              <w:top w:w="62" w:type="dxa"/>
              <w:left w:w="57" w:type="dxa"/>
              <w:bottom w:w="28" w:type="dxa"/>
              <w:right w:w="57" w:type="dxa"/>
            </w:tcMar>
            <w:vAlign w:val="center"/>
          </w:tcPr>
          <w:p w14:paraId="3510E41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3</w:t>
            </w:r>
          </w:p>
        </w:tc>
        <w:tc>
          <w:tcPr>
            <w:tcW w:w="3861" w:type="dxa"/>
            <w:noWrap w:val="0"/>
            <w:tcMar>
              <w:top w:w="62" w:type="dxa"/>
              <w:left w:w="57" w:type="dxa"/>
              <w:bottom w:w="28" w:type="dxa"/>
              <w:right w:w="57" w:type="dxa"/>
            </w:tcMar>
            <w:vAlign w:val="center"/>
          </w:tcPr>
          <w:p w14:paraId="75D521A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开学期间24小时值守，寒暑假期间至少配备3人，负责宿舍楼值班、巡查、学生行为管理。</w:t>
            </w:r>
          </w:p>
        </w:tc>
        <w:tc>
          <w:tcPr>
            <w:tcW w:w="2323" w:type="dxa"/>
            <w:noWrap w:val="0"/>
            <w:tcMar>
              <w:top w:w="62" w:type="dxa"/>
              <w:left w:w="57" w:type="dxa"/>
              <w:bottom w:w="28" w:type="dxa"/>
              <w:right w:w="57" w:type="dxa"/>
            </w:tcMar>
            <w:vAlign w:val="center"/>
          </w:tcPr>
          <w:p w14:paraId="54523FE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女性，年龄不超过58周岁。</w:t>
            </w:r>
          </w:p>
        </w:tc>
      </w:tr>
      <w:tr w14:paraId="31CAB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31" w:hRule="atLeast"/>
          <w:tblHeader/>
          <w:jc w:val="center"/>
        </w:trPr>
        <w:tc>
          <w:tcPr>
            <w:tcW w:w="1001" w:type="dxa"/>
            <w:noWrap w:val="0"/>
            <w:tcMar>
              <w:top w:w="62" w:type="dxa"/>
              <w:left w:w="57" w:type="dxa"/>
              <w:bottom w:w="28" w:type="dxa"/>
              <w:right w:w="57" w:type="dxa"/>
            </w:tcMar>
            <w:vAlign w:val="center"/>
          </w:tcPr>
          <w:p w14:paraId="23A19B6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水电维修工</w:t>
            </w:r>
          </w:p>
        </w:tc>
        <w:tc>
          <w:tcPr>
            <w:tcW w:w="761" w:type="dxa"/>
            <w:noWrap w:val="0"/>
            <w:tcMar>
              <w:top w:w="62" w:type="dxa"/>
              <w:left w:w="57" w:type="dxa"/>
              <w:bottom w:w="28" w:type="dxa"/>
              <w:right w:w="57" w:type="dxa"/>
            </w:tcMar>
            <w:vAlign w:val="center"/>
          </w:tcPr>
          <w:p w14:paraId="341B559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2</w:t>
            </w:r>
          </w:p>
        </w:tc>
        <w:tc>
          <w:tcPr>
            <w:tcW w:w="1189" w:type="dxa"/>
            <w:noWrap w:val="0"/>
            <w:tcMar>
              <w:top w:w="62" w:type="dxa"/>
              <w:left w:w="57" w:type="dxa"/>
              <w:bottom w:w="28" w:type="dxa"/>
              <w:right w:w="57" w:type="dxa"/>
            </w:tcMar>
            <w:vAlign w:val="center"/>
          </w:tcPr>
          <w:p w14:paraId="56F4067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2</w:t>
            </w:r>
          </w:p>
        </w:tc>
        <w:tc>
          <w:tcPr>
            <w:tcW w:w="3861" w:type="dxa"/>
            <w:noWrap w:val="0"/>
            <w:tcMar>
              <w:top w:w="62" w:type="dxa"/>
              <w:left w:w="57" w:type="dxa"/>
              <w:bottom w:w="28" w:type="dxa"/>
              <w:right w:w="57" w:type="dxa"/>
            </w:tcMar>
            <w:vAlign w:val="center"/>
          </w:tcPr>
          <w:p w14:paraId="1398387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持证上岗，24小时值班，负责水电维护、零星维修（寒暑假期间不减少）。</w:t>
            </w:r>
          </w:p>
        </w:tc>
        <w:tc>
          <w:tcPr>
            <w:tcW w:w="2323" w:type="dxa"/>
            <w:noWrap w:val="0"/>
            <w:tcMar>
              <w:top w:w="62" w:type="dxa"/>
              <w:left w:w="57" w:type="dxa"/>
              <w:bottom w:w="28" w:type="dxa"/>
              <w:right w:w="57" w:type="dxa"/>
            </w:tcMar>
            <w:vAlign w:val="center"/>
          </w:tcPr>
          <w:p w14:paraId="3DCA60E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男性，年龄不超过55周岁。</w:t>
            </w:r>
          </w:p>
        </w:tc>
      </w:tr>
      <w:tr w14:paraId="58CB2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724" w:hRule="atLeast"/>
          <w:tblHeader/>
          <w:jc w:val="center"/>
        </w:trPr>
        <w:tc>
          <w:tcPr>
            <w:tcW w:w="1001" w:type="dxa"/>
            <w:noWrap w:val="0"/>
            <w:tcMar>
              <w:top w:w="62" w:type="dxa"/>
              <w:left w:w="57" w:type="dxa"/>
              <w:bottom w:w="28" w:type="dxa"/>
              <w:right w:w="57" w:type="dxa"/>
            </w:tcMar>
            <w:vAlign w:val="center"/>
          </w:tcPr>
          <w:p w14:paraId="440B5B2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保安员</w:t>
            </w:r>
          </w:p>
        </w:tc>
        <w:tc>
          <w:tcPr>
            <w:tcW w:w="761" w:type="dxa"/>
            <w:noWrap w:val="0"/>
            <w:tcMar>
              <w:top w:w="62" w:type="dxa"/>
              <w:left w:w="57" w:type="dxa"/>
              <w:bottom w:w="28" w:type="dxa"/>
              <w:right w:w="57" w:type="dxa"/>
            </w:tcMar>
            <w:vAlign w:val="center"/>
          </w:tcPr>
          <w:p w14:paraId="0FD3406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9</w:t>
            </w:r>
          </w:p>
        </w:tc>
        <w:tc>
          <w:tcPr>
            <w:tcW w:w="1189" w:type="dxa"/>
            <w:noWrap w:val="0"/>
            <w:tcMar>
              <w:top w:w="62" w:type="dxa"/>
              <w:left w:w="57" w:type="dxa"/>
              <w:bottom w:w="28" w:type="dxa"/>
              <w:right w:w="57" w:type="dxa"/>
            </w:tcMar>
            <w:vAlign w:val="center"/>
          </w:tcPr>
          <w:p w14:paraId="393F916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4</w:t>
            </w:r>
          </w:p>
        </w:tc>
        <w:tc>
          <w:tcPr>
            <w:tcW w:w="3861" w:type="dxa"/>
            <w:noWrap w:val="0"/>
            <w:tcMar>
              <w:top w:w="62" w:type="dxa"/>
              <w:left w:w="57" w:type="dxa"/>
              <w:bottom w:w="28" w:type="dxa"/>
              <w:right w:w="57" w:type="dxa"/>
            </w:tcMar>
            <w:vAlign w:val="center"/>
          </w:tcPr>
          <w:p w14:paraId="750E042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开学期间24小时值守，寒暑假期间至少配备4人，负责校园门卫、巡逻、秩序维护。</w:t>
            </w:r>
          </w:p>
        </w:tc>
        <w:tc>
          <w:tcPr>
            <w:tcW w:w="2323" w:type="dxa"/>
            <w:noWrap w:val="0"/>
            <w:tcMar>
              <w:top w:w="62" w:type="dxa"/>
              <w:left w:w="57" w:type="dxa"/>
              <w:bottom w:w="28" w:type="dxa"/>
              <w:right w:w="57" w:type="dxa"/>
            </w:tcMar>
            <w:vAlign w:val="center"/>
          </w:tcPr>
          <w:p w14:paraId="66FB1EF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男性，年龄不超过58周岁。</w:t>
            </w:r>
          </w:p>
        </w:tc>
      </w:tr>
      <w:tr w14:paraId="108B0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3" w:hRule="atLeast"/>
          <w:tblHeader/>
          <w:jc w:val="center"/>
        </w:trPr>
        <w:tc>
          <w:tcPr>
            <w:tcW w:w="1001" w:type="dxa"/>
            <w:noWrap w:val="0"/>
            <w:tcMar>
              <w:top w:w="62" w:type="dxa"/>
              <w:left w:w="57" w:type="dxa"/>
              <w:bottom w:w="28" w:type="dxa"/>
              <w:right w:w="57" w:type="dxa"/>
            </w:tcMar>
            <w:vAlign w:val="center"/>
          </w:tcPr>
          <w:p w14:paraId="0C88675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消防监控值班员</w:t>
            </w:r>
          </w:p>
        </w:tc>
        <w:tc>
          <w:tcPr>
            <w:tcW w:w="761" w:type="dxa"/>
            <w:noWrap w:val="0"/>
            <w:tcMar>
              <w:top w:w="62" w:type="dxa"/>
              <w:left w:w="57" w:type="dxa"/>
              <w:bottom w:w="28" w:type="dxa"/>
              <w:right w:w="57" w:type="dxa"/>
            </w:tcMar>
            <w:vAlign w:val="center"/>
          </w:tcPr>
          <w:p w14:paraId="2393E38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2</w:t>
            </w:r>
          </w:p>
        </w:tc>
        <w:tc>
          <w:tcPr>
            <w:tcW w:w="1189" w:type="dxa"/>
            <w:noWrap w:val="0"/>
            <w:tcMar>
              <w:top w:w="62" w:type="dxa"/>
              <w:left w:w="57" w:type="dxa"/>
              <w:bottom w:w="28" w:type="dxa"/>
              <w:right w:w="57" w:type="dxa"/>
            </w:tcMar>
            <w:vAlign w:val="center"/>
          </w:tcPr>
          <w:p w14:paraId="7BB9118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2</w:t>
            </w:r>
          </w:p>
        </w:tc>
        <w:tc>
          <w:tcPr>
            <w:tcW w:w="3861" w:type="dxa"/>
            <w:noWrap w:val="0"/>
            <w:tcMar>
              <w:top w:w="62" w:type="dxa"/>
              <w:left w:w="57" w:type="dxa"/>
              <w:bottom w:w="28" w:type="dxa"/>
              <w:right w:w="57" w:type="dxa"/>
            </w:tcMar>
            <w:vAlign w:val="center"/>
          </w:tcPr>
          <w:p w14:paraId="39B0203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持中级消防操作员证，全年24小时值班（寒暑假期间不减少）。</w:t>
            </w:r>
          </w:p>
        </w:tc>
        <w:tc>
          <w:tcPr>
            <w:tcW w:w="2323" w:type="dxa"/>
            <w:noWrap w:val="0"/>
            <w:tcMar>
              <w:top w:w="62" w:type="dxa"/>
              <w:left w:w="57" w:type="dxa"/>
              <w:bottom w:w="28" w:type="dxa"/>
              <w:right w:w="57" w:type="dxa"/>
            </w:tcMar>
            <w:vAlign w:val="center"/>
          </w:tcPr>
          <w:p w14:paraId="3772787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男、女年龄均不超过55周岁。</w:t>
            </w:r>
          </w:p>
        </w:tc>
      </w:tr>
      <w:tr w14:paraId="78A54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3" w:hRule="atLeast"/>
          <w:tblHeader/>
          <w:jc w:val="center"/>
        </w:trPr>
        <w:tc>
          <w:tcPr>
            <w:tcW w:w="1001" w:type="dxa"/>
            <w:noWrap w:val="0"/>
            <w:tcMar>
              <w:top w:w="62" w:type="dxa"/>
              <w:left w:w="57" w:type="dxa"/>
              <w:bottom w:w="28" w:type="dxa"/>
              <w:right w:w="57" w:type="dxa"/>
            </w:tcMar>
            <w:vAlign w:val="center"/>
          </w:tcPr>
          <w:p w14:paraId="1AB0AE7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绿化养护员</w:t>
            </w:r>
          </w:p>
        </w:tc>
        <w:tc>
          <w:tcPr>
            <w:tcW w:w="761" w:type="dxa"/>
            <w:noWrap w:val="0"/>
            <w:tcMar>
              <w:top w:w="62" w:type="dxa"/>
              <w:left w:w="57" w:type="dxa"/>
              <w:bottom w:w="28" w:type="dxa"/>
              <w:right w:w="57" w:type="dxa"/>
            </w:tcMar>
            <w:vAlign w:val="center"/>
          </w:tcPr>
          <w:p w14:paraId="68D44FC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3</w:t>
            </w:r>
          </w:p>
        </w:tc>
        <w:tc>
          <w:tcPr>
            <w:tcW w:w="1189" w:type="dxa"/>
            <w:noWrap w:val="0"/>
            <w:tcMar>
              <w:top w:w="62" w:type="dxa"/>
              <w:left w:w="57" w:type="dxa"/>
              <w:bottom w:w="28" w:type="dxa"/>
              <w:right w:w="57" w:type="dxa"/>
            </w:tcMar>
            <w:vAlign w:val="center"/>
          </w:tcPr>
          <w:p w14:paraId="2E9145C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3</w:t>
            </w:r>
          </w:p>
        </w:tc>
        <w:tc>
          <w:tcPr>
            <w:tcW w:w="3861" w:type="dxa"/>
            <w:noWrap w:val="0"/>
            <w:tcMar>
              <w:top w:w="62" w:type="dxa"/>
              <w:left w:w="57" w:type="dxa"/>
              <w:bottom w:w="28" w:type="dxa"/>
              <w:right w:w="57" w:type="dxa"/>
            </w:tcMar>
            <w:vAlign w:val="center"/>
          </w:tcPr>
          <w:p w14:paraId="2D37F15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负责校园内绿化养护（寒暑假期间不减少）。</w:t>
            </w:r>
          </w:p>
        </w:tc>
        <w:tc>
          <w:tcPr>
            <w:tcW w:w="2323" w:type="dxa"/>
            <w:noWrap w:val="0"/>
            <w:tcMar>
              <w:top w:w="62" w:type="dxa"/>
              <w:left w:w="57" w:type="dxa"/>
              <w:bottom w:w="28" w:type="dxa"/>
              <w:right w:w="57" w:type="dxa"/>
            </w:tcMar>
            <w:vAlign w:val="center"/>
          </w:tcPr>
          <w:p w14:paraId="4672508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男、女年龄均不超过58周岁。</w:t>
            </w:r>
          </w:p>
        </w:tc>
      </w:tr>
      <w:tr w14:paraId="0B06F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3" w:hRule="atLeast"/>
          <w:tblHeader/>
          <w:jc w:val="center"/>
        </w:trPr>
        <w:tc>
          <w:tcPr>
            <w:tcW w:w="1001" w:type="dxa"/>
            <w:noWrap w:val="0"/>
            <w:tcMar>
              <w:top w:w="62" w:type="dxa"/>
              <w:left w:w="57" w:type="dxa"/>
              <w:bottom w:w="28" w:type="dxa"/>
              <w:right w:w="57" w:type="dxa"/>
            </w:tcMar>
            <w:vAlign w:val="center"/>
          </w:tcPr>
          <w:p w14:paraId="4D447E3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保洁员</w:t>
            </w:r>
          </w:p>
        </w:tc>
        <w:tc>
          <w:tcPr>
            <w:tcW w:w="761" w:type="dxa"/>
            <w:noWrap w:val="0"/>
            <w:tcMar>
              <w:top w:w="62" w:type="dxa"/>
              <w:left w:w="57" w:type="dxa"/>
              <w:bottom w:w="28" w:type="dxa"/>
              <w:right w:w="57" w:type="dxa"/>
            </w:tcMar>
            <w:vAlign w:val="center"/>
          </w:tcPr>
          <w:p w14:paraId="24489E2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7</w:t>
            </w:r>
          </w:p>
        </w:tc>
        <w:tc>
          <w:tcPr>
            <w:tcW w:w="1189" w:type="dxa"/>
            <w:noWrap w:val="0"/>
            <w:tcMar>
              <w:top w:w="62" w:type="dxa"/>
              <w:left w:w="57" w:type="dxa"/>
              <w:bottom w:w="28" w:type="dxa"/>
              <w:right w:w="57" w:type="dxa"/>
            </w:tcMar>
            <w:vAlign w:val="center"/>
          </w:tcPr>
          <w:p w14:paraId="7BB76C5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3</w:t>
            </w:r>
          </w:p>
        </w:tc>
        <w:tc>
          <w:tcPr>
            <w:tcW w:w="3861" w:type="dxa"/>
            <w:noWrap w:val="0"/>
            <w:tcMar>
              <w:top w:w="62" w:type="dxa"/>
              <w:left w:w="57" w:type="dxa"/>
              <w:bottom w:w="28" w:type="dxa"/>
              <w:right w:w="57" w:type="dxa"/>
            </w:tcMar>
            <w:vAlign w:val="center"/>
          </w:tcPr>
          <w:p w14:paraId="30CC409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开学期间全面保洁，寒暑假期间至少配备3人，负责重点区域保洁。</w:t>
            </w:r>
          </w:p>
        </w:tc>
        <w:tc>
          <w:tcPr>
            <w:tcW w:w="2323" w:type="dxa"/>
            <w:noWrap w:val="0"/>
            <w:tcMar>
              <w:top w:w="62" w:type="dxa"/>
              <w:left w:w="57" w:type="dxa"/>
              <w:bottom w:w="28" w:type="dxa"/>
              <w:right w:w="57" w:type="dxa"/>
            </w:tcMar>
            <w:vAlign w:val="center"/>
          </w:tcPr>
          <w:p w14:paraId="217767D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男、女年龄均不超过58周岁。</w:t>
            </w:r>
          </w:p>
        </w:tc>
      </w:tr>
      <w:tr w14:paraId="0E9FD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3" w:hRule="atLeast"/>
          <w:tblHeader/>
          <w:jc w:val="center"/>
        </w:trPr>
        <w:tc>
          <w:tcPr>
            <w:tcW w:w="1001" w:type="dxa"/>
            <w:noWrap w:val="0"/>
            <w:tcMar>
              <w:top w:w="62" w:type="dxa"/>
              <w:left w:w="57" w:type="dxa"/>
              <w:bottom w:w="28" w:type="dxa"/>
              <w:right w:w="57" w:type="dxa"/>
            </w:tcMar>
            <w:vAlign w:val="center"/>
          </w:tcPr>
          <w:p w14:paraId="7069EA6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合计</w:t>
            </w:r>
          </w:p>
        </w:tc>
        <w:tc>
          <w:tcPr>
            <w:tcW w:w="761" w:type="dxa"/>
            <w:noWrap w:val="0"/>
            <w:tcMar>
              <w:top w:w="62" w:type="dxa"/>
              <w:left w:w="57" w:type="dxa"/>
              <w:bottom w:w="28" w:type="dxa"/>
              <w:right w:w="57" w:type="dxa"/>
            </w:tcMar>
            <w:vAlign w:val="center"/>
          </w:tcPr>
          <w:p w14:paraId="6E7A91C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31</w:t>
            </w:r>
          </w:p>
        </w:tc>
        <w:tc>
          <w:tcPr>
            <w:tcW w:w="1189" w:type="dxa"/>
            <w:noWrap w:val="0"/>
            <w:tcMar>
              <w:top w:w="62" w:type="dxa"/>
              <w:left w:w="57" w:type="dxa"/>
              <w:bottom w:w="28" w:type="dxa"/>
              <w:right w:w="57" w:type="dxa"/>
            </w:tcMar>
            <w:vAlign w:val="center"/>
          </w:tcPr>
          <w:p w14:paraId="49E5BA9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19</w:t>
            </w:r>
          </w:p>
        </w:tc>
        <w:tc>
          <w:tcPr>
            <w:tcW w:w="3861" w:type="dxa"/>
            <w:noWrap w:val="0"/>
            <w:tcMar>
              <w:top w:w="62" w:type="dxa"/>
              <w:left w:w="57" w:type="dxa"/>
              <w:bottom w:w="28" w:type="dxa"/>
              <w:right w:w="57" w:type="dxa"/>
            </w:tcMar>
            <w:vAlign w:val="center"/>
          </w:tcPr>
          <w:p w14:paraId="2E1B1F1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r>
              <w:rPr>
                <w:rFonts w:hint="eastAsia" w:ascii="宋体" w:hAnsi="宋体" w:eastAsia="宋体" w:cs="宋体"/>
                <w:b w:val="0"/>
                <w:kern w:val="21"/>
                <w:sz w:val="24"/>
                <w:szCs w:val="24"/>
              </w:rPr>
              <w:t>寒暑假期间最低总人数不得少于19人。</w:t>
            </w:r>
          </w:p>
        </w:tc>
        <w:tc>
          <w:tcPr>
            <w:tcW w:w="2323" w:type="dxa"/>
            <w:noWrap w:val="0"/>
            <w:tcMar>
              <w:top w:w="62" w:type="dxa"/>
              <w:left w:w="57" w:type="dxa"/>
              <w:bottom w:w="28" w:type="dxa"/>
              <w:right w:w="57" w:type="dxa"/>
            </w:tcMar>
            <w:vAlign w:val="center"/>
          </w:tcPr>
          <w:p w14:paraId="6C9AC80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kern w:val="21"/>
                <w:sz w:val="24"/>
                <w:szCs w:val="24"/>
              </w:rPr>
            </w:pPr>
          </w:p>
        </w:tc>
      </w:tr>
    </w:tbl>
    <w:p w14:paraId="7801DA5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2" w:firstLineChars="200"/>
        <w:jc w:val="both"/>
        <w:textAlignment w:val="auto"/>
        <w:rPr>
          <w:rFonts w:hint="eastAsia" w:ascii="宋体" w:hAnsi="宋体" w:eastAsia="宋体" w:cs="宋体"/>
          <w:b/>
          <w:sz w:val="24"/>
          <w:szCs w:val="24"/>
        </w:rPr>
      </w:pPr>
      <w:r>
        <w:rPr>
          <w:rFonts w:hint="eastAsia" w:ascii="宋体" w:hAnsi="宋体" w:eastAsia="宋体" w:cs="宋体"/>
          <w:b/>
          <w:sz w:val="24"/>
          <w:szCs w:val="24"/>
        </w:rPr>
        <w:t>执行说明：</w:t>
      </w:r>
    </w:p>
    <w:p w14:paraId="37AC9C9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w:t>
      </w:r>
      <w:r>
        <w:rPr>
          <w:rFonts w:hint="eastAsia" w:ascii="宋体" w:hAnsi="宋体" w:eastAsia="宋体" w:cs="宋体"/>
          <w:b/>
          <w:sz w:val="24"/>
          <w:szCs w:val="24"/>
        </w:rPr>
        <w:t>寒暑假期间最低人数要求</w:t>
      </w:r>
      <w:r>
        <w:rPr>
          <w:rFonts w:hint="eastAsia" w:ascii="宋体" w:hAnsi="宋体" w:eastAsia="宋体" w:cs="宋体"/>
          <w:sz w:val="24"/>
          <w:szCs w:val="24"/>
        </w:rPr>
        <w:t>：</w:t>
      </w:r>
      <w:r>
        <w:rPr>
          <w:rFonts w:hint="eastAsia" w:ascii="宋体" w:hAnsi="宋体" w:eastAsia="宋体" w:cs="宋体"/>
          <w:b w:val="0"/>
          <w:bCs w:val="0"/>
          <w:sz w:val="24"/>
          <w:szCs w:val="24"/>
          <w:lang w:val="en-US" w:eastAsia="zh-CN"/>
        </w:rPr>
        <w:t>寒暑假期间因在校师生人数显著减少，经采购人书面确认后，中标人可提交人员配置优化方案，在保障基本服务功能的前提下适度调整在岗人数，但调整后人数不得低于“寒暑假期间最低人数”一栏所载明的数量，且不得影响应急响应及重大活动保障（相关费用已包含在合同总价中，不再另行调整），</w:t>
      </w:r>
      <w:r>
        <w:rPr>
          <w:rFonts w:hint="eastAsia" w:ascii="宋体" w:hAnsi="宋体" w:eastAsia="宋体" w:cs="宋体"/>
          <w:sz w:val="24"/>
          <w:szCs w:val="24"/>
        </w:rPr>
        <w:t>否则视为人员配备不达标，采购人有权按合同约定进行扣分、扣款直至终止合同。</w:t>
      </w:r>
    </w:p>
    <w:p w14:paraId="0FC4C20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b/>
          <w:sz w:val="24"/>
          <w:szCs w:val="24"/>
        </w:rPr>
        <w:t>寒暑假期间界定</w:t>
      </w:r>
      <w:r>
        <w:rPr>
          <w:rFonts w:hint="eastAsia" w:ascii="宋体" w:hAnsi="宋体" w:eastAsia="宋体" w:cs="宋体"/>
          <w:sz w:val="24"/>
          <w:szCs w:val="24"/>
        </w:rPr>
        <w:t>：寒暑假期间以采购人每学期发布的校历为准。若寒暑假期间有留校学生或举办重大活动，采购人有权要求中标人适当增加人员配置，中标人须无条件配合，相关费用已包含在合同总价中，不再另行支付。</w:t>
      </w:r>
    </w:p>
    <w:p w14:paraId="01DE8FC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b/>
          <w:sz w:val="24"/>
          <w:szCs w:val="24"/>
        </w:rPr>
        <w:t>人员调整程序</w:t>
      </w:r>
      <w:r>
        <w:rPr>
          <w:rFonts w:hint="eastAsia" w:ascii="宋体" w:hAnsi="宋体" w:eastAsia="宋体" w:cs="宋体"/>
          <w:sz w:val="24"/>
          <w:szCs w:val="24"/>
        </w:rPr>
        <w:t>：若中标人因特殊情况需在寒暑假期间临时调整人员配置，须提前7个工作日</w:t>
      </w:r>
      <w:r>
        <w:rPr>
          <w:rFonts w:hint="eastAsia" w:ascii="宋体" w:hAnsi="宋体" w:eastAsia="宋体" w:cs="宋体"/>
          <w:sz w:val="24"/>
          <w:szCs w:val="24"/>
          <w:lang w:val="en-US" w:eastAsia="zh-CN"/>
        </w:rPr>
        <w:t>告知</w:t>
      </w:r>
      <w:r>
        <w:rPr>
          <w:rFonts w:hint="eastAsia" w:ascii="宋体" w:hAnsi="宋体" w:eastAsia="宋体" w:cs="宋体"/>
          <w:sz w:val="24"/>
          <w:szCs w:val="24"/>
        </w:rPr>
        <w:t>采购人，且调整后的人员数量不得低于本表规定的最低人数。</w:t>
      </w:r>
    </w:p>
    <w:p w14:paraId="3EDBBE2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b/>
          <w:sz w:val="24"/>
          <w:szCs w:val="24"/>
        </w:rPr>
        <w:t>消防监控值班员、水电维修工、绿化养护员</w:t>
      </w:r>
      <w:r>
        <w:rPr>
          <w:rFonts w:hint="eastAsia" w:ascii="宋体" w:hAnsi="宋体" w:eastAsia="宋体" w:cs="宋体"/>
          <w:sz w:val="24"/>
          <w:szCs w:val="24"/>
        </w:rPr>
        <w:t>：因工作具有连续性和专业性，寒暑假期间不得减少配置，须保持与开学期间一致。</w:t>
      </w:r>
    </w:p>
    <w:p w14:paraId="151F0359">
      <w:pPr>
        <w:keepNext w:val="0"/>
        <w:keepLines w:val="0"/>
        <w:pageBreakBefore w:val="0"/>
        <w:widowControl w:val="0"/>
        <w:kinsoku/>
        <w:wordWrap/>
        <w:overflowPunct/>
        <w:topLinePunct w:val="0"/>
        <w:autoSpaceDE/>
        <w:autoSpaceDN/>
        <w:bidi w:val="0"/>
        <w:adjustRightInd w:val="0"/>
        <w:snapToGrid w:val="0"/>
        <w:spacing w:line="500" w:lineRule="exact"/>
        <w:ind w:left="0" w:leftChars="0" w:firstLine="482" w:firstLineChars="200"/>
        <w:jc w:val="both"/>
        <w:textAlignment w:val="auto"/>
        <w:outlineLvl w:val="3"/>
        <w:rPr>
          <w:rFonts w:hint="eastAsia" w:ascii="宋体" w:hAnsi="宋体" w:eastAsia="宋体" w:cs="宋体"/>
          <w:b w:val="0"/>
          <w:bCs/>
          <w:sz w:val="24"/>
          <w:szCs w:val="24"/>
          <w:lang w:val="en-US" w:eastAsia="zh-CN"/>
        </w:rPr>
      </w:pPr>
      <w:r>
        <w:rPr>
          <w:rFonts w:hint="eastAsia" w:ascii="宋体" w:hAnsi="宋体" w:eastAsia="宋体" w:cs="宋体"/>
          <w:b/>
          <w:bCs/>
          <w:sz w:val="24"/>
          <w:szCs w:val="24"/>
          <w:lang w:val="en-US" w:eastAsia="zh-CN"/>
        </w:rPr>
        <w:t>5.其他要求：</w:t>
      </w:r>
      <w:r>
        <w:rPr>
          <w:rFonts w:hint="eastAsia" w:ascii="宋体" w:hAnsi="宋体" w:eastAsia="宋体" w:cs="宋体"/>
          <w:b w:val="0"/>
          <w:bCs/>
          <w:sz w:val="24"/>
          <w:szCs w:val="24"/>
          <w:lang w:val="en-US" w:eastAsia="zh-CN"/>
        </w:rPr>
        <w:t>所有派驻人员均无违法犯罪记录，并且符合教育系统人员入职审查要求。</w:t>
      </w:r>
    </w:p>
    <w:p w14:paraId="572969C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（四）</w:t>
      </w:r>
      <w:r>
        <w:rPr>
          <w:rFonts w:hint="eastAsia" w:ascii="宋体" w:hAnsi="宋体" w:eastAsia="宋体" w:cs="宋体"/>
          <w:sz w:val="24"/>
          <w:szCs w:val="24"/>
        </w:rPr>
        <w:t>拟投入的设备要求</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1" w:type="dxa"/>
          <w:bottom w:w="0" w:type="dxa"/>
          <w:right w:w="11" w:type="dxa"/>
        </w:tblCellMar>
      </w:tblPr>
      <w:tblGrid>
        <w:gridCol w:w="668"/>
        <w:gridCol w:w="2441"/>
        <w:gridCol w:w="2823"/>
        <w:gridCol w:w="845"/>
        <w:gridCol w:w="1473"/>
      </w:tblGrid>
      <w:tr w14:paraId="4172E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 w:type="dxa"/>
            <w:bottom w:w="0" w:type="dxa"/>
            <w:right w:w="11" w:type="dxa"/>
          </w:tblCellMar>
        </w:tblPrEx>
        <w:trPr>
          <w:jc w:val="center"/>
        </w:trPr>
        <w:tc>
          <w:tcPr>
            <w:tcW w:w="668" w:type="dxa"/>
            <w:noWrap w:val="0"/>
            <w:tcMar>
              <w:top w:w="0" w:type="dxa"/>
              <w:left w:w="57" w:type="dxa"/>
              <w:bottom w:w="0" w:type="dxa"/>
              <w:right w:w="57" w:type="dxa"/>
            </w:tcMar>
            <w:vAlign w:val="center"/>
          </w:tcPr>
          <w:p w14:paraId="42D102D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序号</w:t>
            </w:r>
          </w:p>
        </w:tc>
        <w:tc>
          <w:tcPr>
            <w:tcW w:w="2441" w:type="dxa"/>
            <w:noWrap w:val="0"/>
            <w:tcMar>
              <w:top w:w="0" w:type="dxa"/>
              <w:left w:w="57" w:type="dxa"/>
              <w:bottom w:w="0" w:type="dxa"/>
              <w:right w:w="57" w:type="dxa"/>
            </w:tcMar>
            <w:vAlign w:val="center"/>
          </w:tcPr>
          <w:p w14:paraId="7AC10D4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名称</w:t>
            </w:r>
          </w:p>
        </w:tc>
        <w:tc>
          <w:tcPr>
            <w:tcW w:w="2823" w:type="dxa"/>
            <w:noWrap w:val="0"/>
            <w:tcMar>
              <w:top w:w="0" w:type="dxa"/>
              <w:left w:w="57" w:type="dxa"/>
              <w:bottom w:w="0" w:type="dxa"/>
              <w:right w:w="57" w:type="dxa"/>
            </w:tcMar>
            <w:vAlign w:val="center"/>
          </w:tcPr>
          <w:p w14:paraId="5F7E7D8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规格参数</w:t>
            </w:r>
          </w:p>
        </w:tc>
        <w:tc>
          <w:tcPr>
            <w:tcW w:w="845" w:type="dxa"/>
            <w:noWrap w:val="0"/>
            <w:tcMar>
              <w:top w:w="0" w:type="dxa"/>
              <w:left w:w="57" w:type="dxa"/>
              <w:bottom w:w="0" w:type="dxa"/>
              <w:right w:w="57" w:type="dxa"/>
            </w:tcMar>
            <w:vAlign w:val="center"/>
          </w:tcPr>
          <w:p w14:paraId="3CC2285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数量</w:t>
            </w:r>
          </w:p>
        </w:tc>
        <w:tc>
          <w:tcPr>
            <w:tcW w:w="1473" w:type="dxa"/>
            <w:noWrap w:val="0"/>
            <w:tcMar>
              <w:top w:w="0" w:type="dxa"/>
              <w:left w:w="57" w:type="dxa"/>
              <w:bottom w:w="0" w:type="dxa"/>
              <w:right w:w="57" w:type="dxa"/>
            </w:tcMar>
            <w:vAlign w:val="center"/>
          </w:tcPr>
          <w:p w14:paraId="2DF915A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用途</w:t>
            </w:r>
          </w:p>
        </w:tc>
      </w:tr>
      <w:tr w14:paraId="0BD79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 w:type="dxa"/>
            <w:bottom w:w="0" w:type="dxa"/>
            <w:right w:w="11" w:type="dxa"/>
          </w:tblCellMar>
        </w:tblPrEx>
        <w:trPr>
          <w:trHeight w:val="23" w:hRule="atLeast"/>
          <w:jc w:val="center"/>
        </w:trPr>
        <w:tc>
          <w:tcPr>
            <w:tcW w:w="668" w:type="dxa"/>
            <w:noWrap w:val="0"/>
            <w:tcMar>
              <w:top w:w="0" w:type="dxa"/>
              <w:left w:w="57" w:type="dxa"/>
              <w:bottom w:w="0" w:type="dxa"/>
              <w:right w:w="57" w:type="dxa"/>
            </w:tcMar>
            <w:vAlign w:val="center"/>
          </w:tcPr>
          <w:p w14:paraId="7483872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2441" w:type="dxa"/>
            <w:noWrap w:val="0"/>
            <w:tcMar>
              <w:top w:w="0" w:type="dxa"/>
              <w:left w:w="57" w:type="dxa"/>
              <w:bottom w:w="0" w:type="dxa"/>
              <w:right w:w="57" w:type="dxa"/>
            </w:tcMar>
            <w:vAlign w:val="center"/>
          </w:tcPr>
          <w:p w14:paraId="02008A2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道路洗扫车</w:t>
            </w:r>
          </w:p>
        </w:tc>
        <w:tc>
          <w:tcPr>
            <w:tcW w:w="2823" w:type="dxa"/>
            <w:noWrap w:val="0"/>
            <w:tcMar>
              <w:top w:w="0" w:type="dxa"/>
              <w:left w:w="57" w:type="dxa"/>
              <w:bottom w:w="0" w:type="dxa"/>
              <w:right w:w="57" w:type="dxa"/>
            </w:tcMar>
            <w:vAlign w:val="center"/>
          </w:tcPr>
          <w:p w14:paraId="6EE36B7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≥12000KG</w:t>
            </w:r>
          </w:p>
        </w:tc>
        <w:tc>
          <w:tcPr>
            <w:tcW w:w="845" w:type="dxa"/>
            <w:noWrap w:val="0"/>
            <w:tcMar>
              <w:top w:w="0" w:type="dxa"/>
              <w:left w:w="57" w:type="dxa"/>
              <w:bottom w:w="0" w:type="dxa"/>
              <w:right w:w="57" w:type="dxa"/>
            </w:tcMar>
            <w:vAlign w:val="center"/>
          </w:tcPr>
          <w:p w14:paraId="565633A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1台</w:t>
            </w:r>
          </w:p>
        </w:tc>
        <w:tc>
          <w:tcPr>
            <w:tcW w:w="1473" w:type="dxa"/>
            <w:noWrap w:val="0"/>
            <w:tcMar>
              <w:top w:w="0" w:type="dxa"/>
              <w:left w:w="57" w:type="dxa"/>
              <w:bottom w:w="0" w:type="dxa"/>
              <w:right w:w="57" w:type="dxa"/>
            </w:tcMar>
            <w:vAlign w:val="center"/>
          </w:tcPr>
          <w:p w14:paraId="7486896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路面洗扫</w:t>
            </w:r>
          </w:p>
        </w:tc>
      </w:tr>
      <w:tr w14:paraId="0C671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 w:type="dxa"/>
            <w:bottom w:w="0" w:type="dxa"/>
            <w:right w:w="11" w:type="dxa"/>
          </w:tblCellMar>
        </w:tblPrEx>
        <w:trPr>
          <w:trHeight w:val="23" w:hRule="atLeast"/>
          <w:jc w:val="center"/>
        </w:trPr>
        <w:tc>
          <w:tcPr>
            <w:tcW w:w="668" w:type="dxa"/>
            <w:noWrap w:val="0"/>
            <w:tcMar>
              <w:top w:w="0" w:type="dxa"/>
              <w:left w:w="57" w:type="dxa"/>
              <w:bottom w:w="0" w:type="dxa"/>
              <w:right w:w="57" w:type="dxa"/>
            </w:tcMar>
            <w:vAlign w:val="center"/>
          </w:tcPr>
          <w:p w14:paraId="685A8FF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2441" w:type="dxa"/>
            <w:noWrap w:val="0"/>
            <w:tcMar>
              <w:top w:w="0" w:type="dxa"/>
              <w:left w:w="57" w:type="dxa"/>
              <w:bottom w:w="0" w:type="dxa"/>
              <w:right w:w="57" w:type="dxa"/>
            </w:tcMar>
            <w:vAlign w:val="center"/>
          </w:tcPr>
          <w:p w14:paraId="380524F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手推式洗地机</w:t>
            </w:r>
          </w:p>
        </w:tc>
        <w:tc>
          <w:tcPr>
            <w:tcW w:w="2823" w:type="dxa"/>
            <w:noWrap w:val="0"/>
            <w:tcMar>
              <w:top w:w="0" w:type="dxa"/>
              <w:left w:w="57" w:type="dxa"/>
              <w:bottom w:w="0" w:type="dxa"/>
              <w:right w:w="57" w:type="dxa"/>
            </w:tcMar>
            <w:vAlign w:val="center"/>
          </w:tcPr>
          <w:p w14:paraId="4E6229E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≥195KG</w:t>
            </w:r>
          </w:p>
        </w:tc>
        <w:tc>
          <w:tcPr>
            <w:tcW w:w="845" w:type="dxa"/>
            <w:noWrap w:val="0"/>
            <w:tcMar>
              <w:top w:w="0" w:type="dxa"/>
              <w:left w:w="57" w:type="dxa"/>
              <w:bottom w:w="0" w:type="dxa"/>
              <w:right w:w="57" w:type="dxa"/>
            </w:tcMar>
            <w:vAlign w:val="center"/>
          </w:tcPr>
          <w:p w14:paraId="25765F4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1台</w:t>
            </w:r>
          </w:p>
        </w:tc>
        <w:tc>
          <w:tcPr>
            <w:tcW w:w="1473" w:type="dxa"/>
            <w:noWrap w:val="0"/>
            <w:tcMar>
              <w:top w:w="0" w:type="dxa"/>
              <w:left w:w="57" w:type="dxa"/>
              <w:bottom w:w="0" w:type="dxa"/>
              <w:right w:w="57" w:type="dxa"/>
            </w:tcMar>
            <w:vAlign w:val="center"/>
          </w:tcPr>
          <w:p w14:paraId="7855DB6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室内保洁</w:t>
            </w:r>
          </w:p>
        </w:tc>
      </w:tr>
      <w:tr w14:paraId="6967F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 w:type="dxa"/>
            <w:bottom w:w="0" w:type="dxa"/>
            <w:right w:w="11" w:type="dxa"/>
          </w:tblCellMar>
        </w:tblPrEx>
        <w:trPr>
          <w:trHeight w:val="23" w:hRule="atLeast"/>
          <w:jc w:val="center"/>
        </w:trPr>
        <w:tc>
          <w:tcPr>
            <w:tcW w:w="668" w:type="dxa"/>
            <w:noWrap w:val="0"/>
            <w:tcMar>
              <w:top w:w="0" w:type="dxa"/>
              <w:left w:w="57" w:type="dxa"/>
              <w:bottom w:w="0" w:type="dxa"/>
              <w:right w:w="57" w:type="dxa"/>
            </w:tcMar>
            <w:vAlign w:val="center"/>
          </w:tcPr>
          <w:p w14:paraId="35C3AEA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2441" w:type="dxa"/>
            <w:noWrap w:val="0"/>
            <w:tcMar>
              <w:top w:w="0" w:type="dxa"/>
              <w:left w:w="57" w:type="dxa"/>
              <w:bottom w:w="0" w:type="dxa"/>
              <w:right w:w="57" w:type="dxa"/>
            </w:tcMar>
            <w:vAlign w:val="center"/>
          </w:tcPr>
          <w:p w14:paraId="42F09C3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三轮电动清运车</w:t>
            </w:r>
          </w:p>
        </w:tc>
        <w:tc>
          <w:tcPr>
            <w:tcW w:w="2823" w:type="dxa"/>
            <w:noWrap w:val="0"/>
            <w:tcMar>
              <w:top w:w="0" w:type="dxa"/>
              <w:left w:w="57" w:type="dxa"/>
              <w:bottom w:w="0" w:type="dxa"/>
              <w:right w:w="57" w:type="dxa"/>
            </w:tcMar>
            <w:vAlign w:val="center"/>
          </w:tcPr>
          <w:p w14:paraId="11C0C96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≥1000KG</w:t>
            </w:r>
          </w:p>
        </w:tc>
        <w:tc>
          <w:tcPr>
            <w:tcW w:w="845" w:type="dxa"/>
            <w:noWrap w:val="0"/>
            <w:tcMar>
              <w:top w:w="0" w:type="dxa"/>
              <w:left w:w="57" w:type="dxa"/>
              <w:bottom w:w="0" w:type="dxa"/>
              <w:right w:w="57" w:type="dxa"/>
            </w:tcMar>
            <w:vAlign w:val="center"/>
          </w:tcPr>
          <w:p w14:paraId="5C6965A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1台</w:t>
            </w:r>
          </w:p>
        </w:tc>
        <w:tc>
          <w:tcPr>
            <w:tcW w:w="1473" w:type="dxa"/>
            <w:noWrap w:val="0"/>
            <w:tcMar>
              <w:top w:w="0" w:type="dxa"/>
              <w:left w:w="57" w:type="dxa"/>
              <w:bottom w:w="0" w:type="dxa"/>
              <w:right w:w="57" w:type="dxa"/>
            </w:tcMar>
            <w:vAlign w:val="center"/>
          </w:tcPr>
          <w:p w14:paraId="776E0C2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垃圾转运</w:t>
            </w:r>
          </w:p>
        </w:tc>
      </w:tr>
      <w:tr w14:paraId="4244C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 w:type="dxa"/>
            <w:bottom w:w="0" w:type="dxa"/>
            <w:right w:w="11" w:type="dxa"/>
          </w:tblCellMar>
        </w:tblPrEx>
        <w:trPr>
          <w:trHeight w:val="23" w:hRule="atLeast"/>
          <w:jc w:val="center"/>
        </w:trPr>
        <w:tc>
          <w:tcPr>
            <w:tcW w:w="668" w:type="dxa"/>
            <w:noWrap w:val="0"/>
            <w:tcMar>
              <w:top w:w="0" w:type="dxa"/>
              <w:left w:w="57" w:type="dxa"/>
              <w:bottom w:w="0" w:type="dxa"/>
              <w:right w:w="57" w:type="dxa"/>
            </w:tcMar>
            <w:vAlign w:val="center"/>
          </w:tcPr>
          <w:p w14:paraId="2155E07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2441" w:type="dxa"/>
            <w:noWrap w:val="0"/>
            <w:tcMar>
              <w:top w:w="0" w:type="dxa"/>
              <w:left w:w="57" w:type="dxa"/>
              <w:bottom w:w="0" w:type="dxa"/>
              <w:right w:w="57" w:type="dxa"/>
            </w:tcMar>
            <w:vAlign w:val="center"/>
          </w:tcPr>
          <w:p w14:paraId="62CEF41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高压喷药机</w:t>
            </w:r>
          </w:p>
        </w:tc>
        <w:tc>
          <w:tcPr>
            <w:tcW w:w="2823" w:type="dxa"/>
            <w:noWrap w:val="0"/>
            <w:tcMar>
              <w:top w:w="0" w:type="dxa"/>
              <w:left w:w="57" w:type="dxa"/>
              <w:bottom w:w="0" w:type="dxa"/>
              <w:right w:w="57" w:type="dxa"/>
            </w:tcMar>
            <w:vAlign w:val="center"/>
          </w:tcPr>
          <w:p w14:paraId="76429B6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≥160L</w:t>
            </w:r>
          </w:p>
        </w:tc>
        <w:tc>
          <w:tcPr>
            <w:tcW w:w="845" w:type="dxa"/>
            <w:noWrap w:val="0"/>
            <w:tcMar>
              <w:top w:w="0" w:type="dxa"/>
              <w:left w:w="57" w:type="dxa"/>
              <w:bottom w:w="0" w:type="dxa"/>
              <w:right w:w="57" w:type="dxa"/>
            </w:tcMar>
            <w:vAlign w:val="center"/>
          </w:tcPr>
          <w:p w14:paraId="76F2FD9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1台</w:t>
            </w:r>
          </w:p>
        </w:tc>
        <w:tc>
          <w:tcPr>
            <w:tcW w:w="1473" w:type="dxa"/>
            <w:noWrap w:val="0"/>
            <w:tcMar>
              <w:top w:w="0" w:type="dxa"/>
              <w:left w:w="57" w:type="dxa"/>
              <w:bottom w:w="0" w:type="dxa"/>
              <w:right w:w="57" w:type="dxa"/>
            </w:tcMar>
            <w:vAlign w:val="center"/>
          </w:tcPr>
          <w:p w14:paraId="1E67B03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病虫害防治</w:t>
            </w:r>
          </w:p>
        </w:tc>
      </w:tr>
      <w:tr w14:paraId="52EB3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 w:type="dxa"/>
            <w:bottom w:w="0" w:type="dxa"/>
            <w:right w:w="11" w:type="dxa"/>
          </w:tblCellMar>
        </w:tblPrEx>
        <w:trPr>
          <w:trHeight w:val="23" w:hRule="atLeast"/>
          <w:jc w:val="center"/>
        </w:trPr>
        <w:tc>
          <w:tcPr>
            <w:tcW w:w="668" w:type="dxa"/>
            <w:noWrap w:val="0"/>
            <w:tcMar>
              <w:top w:w="0" w:type="dxa"/>
              <w:left w:w="57" w:type="dxa"/>
              <w:bottom w:w="0" w:type="dxa"/>
              <w:right w:w="57" w:type="dxa"/>
            </w:tcMar>
            <w:vAlign w:val="center"/>
          </w:tcPr>
          <w:p w14:paraId="5CB515B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2441" w:type="dxa"/>
            <w:noWrap w:val="0"/>
            <w:tcMar>
              <w:top w:w="0" w:type="dxa"/>
              <w:left w:w="57" w:type="dxa"/>
              <w:bottom w:w="0" w:type="dxa"/>
              <w:right w:w="57" w:type="dxa"/>
            </w:tcMar>
            <w:vAlign w:val="center"/>
          </w:tcPr>
          <w:p w14:paraId="23D333B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绿篱修剪机</w:t>
            </w:r>
          </w:p>
        </w:tc>
        <w:tc>
          <w:tcPr>
            <w:tcW w:w="2823" w:type="dxa"/>
            <w:noWrap w:val="0"/>
            <w:tcMar>
              <w:top w:w="0" w:type="dxa"/>
              <w:left w:w="57" w:type="dxa"/>
              <w:bottom w:w="0" w:type="dxa"/>
              <w:right w:w="57" w:type="dxa"/>
            </w:tcMar>
            <w:vAlign w:val="center"/>
          </w:tcPr>
          <w:p w14:paraId="4E21F6C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≥3890W</w:t>
            </w:r>
          </w:p>
        </w:tc>
        <w:tc>
          <w:tcPr>
            <w:tcW w:w="845" w:type="dxa"/>
            <w:noWrap w:val="0"/>
            <w:tcMar>
              <w:top w:w="0" w:type="dxa"/>
              <w:left w:w="57" w:type="dxa"/>
              <w:bottom w:w="0" w:type="dxa"/>
              <w:right w:w="57" w:type="dxa"/>
            </w:tcMar>
            <w:vAlign w:val="center"/>
          </w:tcPr>
          <w:p w14:paraId="1787129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1台</w:t>
            </w:r>
          </w:p>
        </w:tc>
        <w:tc>
          <w:tcPr>
            <w:tcW w:w="1473" w:type="dxa"/>
            <w:noWrap w:val="0"/>
            <w:tcMar>
              <w:top w:w="0" w:type="dxa"/>
              <w:left w:w="57" w:type="dxa"/>
              <w:bottom w:w="0" w:type="dxa"/>
              <w:right w:w="57" w:type="dxa"/>
            </w:tcMar>
            <w:vAlign w:val="center"/>
          </w:tcPr>
          <w:p w14:paraId="79006BE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绿篱修剪</w:t>
            </w:r>
          </w:p>
        </w:tc>
      </w:tr>
      <w:tr w14:paraId="0E307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 w:type="dxa"/>
            <w:bottom w:w="0" w:type="dxa"/>
            <w:right w:w="11" w:type="dxa"/>
          </w:tblCellMar>
        </w:tblPrEx>
        <w:trPr>
          <w:trHeight w:val="23" w:hRule="atLeast"/>
          <w:jc w:val="center"/>
        </w:trPr>
        <w:tc>
          <w:tcPr>
            <w:tcW w:w="668" w:type="dxa"/>
            <w:noWrap w:val="0"/>
            <w:tcMar>
              <w:top w:w="0" w:type="dxa"/>
              <w:left w:w="57" w:type="dxa"/>
              <w:bottom w:w="0" w:type="dxa"/>
              <w:right w:w="57" w:type="dxa"/>
            </w:tcMar>
            <w:vAlign w:val="center"/>
          </w:tcPr>
          <w:p w14:paraId="3FF523D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2441" w:type="dxa"/>
            <w:noWrap w:val="0"/>
            <w:tcMar>
              <w:top w:w="0" w:type="dxa"/>
              <w:left w:w="57" w:type="dxa"/>
              <w:bottom w:w="0" w:type="dxa"/>
              <w:right w:w="57" w:type="dxa"/>
            </w:tcMar>
            <w:vAlign w:val="center"/>
          </w:tcPr>
          <w:p w14:paraId="2CB2944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对讲机</w:t>
            </w:r>
          </w:p>
        </w:tc>
        <w:tc>
          <w:tcPr>
            <w:tcW w:w="2823" w:type="dxa"/>
            <w:noWrap w:val="0"/>
            <w:tcMar>
              <w:top w:w="0" w:type="dxa"/>
              <w:left w:w="57" w:type="dxa"/>
              <w:bottom w:w="0" w:type="dxa"/>
              <w:right w:w="57" w:type="dxa"/>
            </w:tcMar>
            <w:vAlign w:val="center"/>
          </w:tcPr>
          <w:p w14:paraId="66A7182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≥5Km</w:t>
            </w:r>
            <w:r>
              <w:rPr>
                <w:rFonts w:hint="eastAsia" w:ascii="宋体" w:hAnsi="宋体" w:eastAsia="宋体" w:cs="宋体"/>
                <w:sz w:val="24"/>
                <w:szCs w:val="24"/>
                <w:lang w:eastAsia="zh-CN"/>
              </w:rPr>
              <w:t>（</w:t>
            </w:r>
            <w:r>
              <w:rPr>
                <w:rFonts w:hint="eastAsia" w:ascii="宋体" w:hAnsi="宋体" w:eastAsia="宋体" w:cs="宋体"/>
                <w:sz w:val="24"/>
                <w:szCs w:val="24"/>
              </w:rPr>
              <w:t>对讲距离</w:t>
            </w:r>
            <w:r>
              <w:rPr>
                <w:rFonts w:hint="eastAsia" w:ascii="宋体" w:hAnsi="宋体" w:eastAsia="宋体" w:cs="宋体"/>
                <w:sz w:val="24"/>
                <w:szCs w:val="24"/>
                <w:lang w:eastAsia="zh-CN"/>
              </w:rPr>
              <w:t>）</w:t>
            </w:r>
          </w:p>
        </w:tc>
        <w:tc>
          <w:tcPr>
            <w:tcW w:w="845" w:type="dxa"/>
            <w:noWrap w:val="0"/>
            <w:tcMar>
              <w:top w:w="0" w:type="dxa"/>
              <w:left w:w="57" w:type="dxa"/>
              <w:bottom w:w="0" w:type="dxa"/>
              <w:right w:w="57" w:type="dxa"/>
            </w:tcMar>
            <w:vAlign w:val="center"/>
          </w:tcPr>
          <w:p w14:paraId="17A63B8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10部</w:t>
            </w:r>
          </w:p>
        </w:tc>
        <w:tc>
          <w:tcPr>
            <w:tcW w:w="1473" w:type="dxa"/>
            <w:noWrap w:val="0"/>
            <w:tcMar>
              <w:top w:w="0" w:type="dxa"/>
              <w:left w:w="57" w:type="dxa"/>
              <w:bottom w:w="0" w:type="dxa"/>
              <w:right w:w="57" w:type="dxa"/>
            </w:tcMar>
            <w:vAlign w:val="center"/>
          </w:tcPr>
          <w:p w14:paraId="75D710A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安保执勤</w:t>
            </w:r>
          </w:p>
        </w:tc>
      </w:tr>
      <w:tr w14:paraId="5DF4B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 w:type="dxa"/>
            <w:bottom w:w="0" w:type="dxa"/>
            <w:right w:w="11" w:type="dxa"/>
          </w:tblCellMar>
        </w:tblPrEx>
        <w:trPr>
          <w:trHeight w:val="23" w:hRule="atLeast"/>
          <w:jc w:val="center"/>
        </w:trPr>
        <w:tc>
          <w:tcPr>
            <w:tcW w:w="668" w:type="dxa"/>
            <w:noWrap w:val="0"/>
            <w:tcMar>
              <w:top w:w="0" w:type="dxa"/>
              <w:left w:w="57" w:type="dxa"/>
              <w:bottom w:w="0" w:type="dxa"/>
              <w:right w:w="57" w:type="dxa"/>
            </w:tcMar>
            <w:vAlign w:val="center"/>
          </w:tcPr>
          <w:p w14:paraId="0A219DC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7</w:t>
            </w:r>
          </w:p>
        </w:tc>
        <w:tc>
          <w:tcPr>
            <w:tcW w:w="2441" w:type="dxa"/>
            <w:noWrap w:val="0"/>
            <w:tcMar>
              <w:top w:w="0" w:type="dxa"/>
              <w:left w:w="57" w:type="dxa"/>
              <w:bottom w:w="0" w:type="dxa"/>
              <w:right w:w="57" w:type="dxa"/>
            </w:tcMar>
            <w:vAlign w:val="center"/>
          </w:tcPr>
          <w:p w14:paraId="3574CF0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钢叉、盾牌、</w:t>
            </w:r>
            <w:r>
              <w:rPr>
                <w:rFonts w:hint="eastAsia" w:ascii="宋体" w:hAnsi="宋体" w:eastAsia="宋体" w:cs="宋体"/>
                <w:sz w:val="24"/>
                <w:szCs w:val="24"/>
                <w:lang w:eastAsia="zh-CN"/>
              </w:rPr>
              <w:t>防暴</w:t>
            </w:r>
            <w:r>
              <w:rPr>
                <w:rFonts w:hint="eastAsia" w:ascii="宋体" w:hAnsi="宋体" w:eastAsia="宋体" w:cs="宋体"/>
                <w:sz w:val="24"/>
                <w:szCs w:val="24"/>
              </w:rPr>
              <w:t>钢盔</w:t>
            </w:r>
          </w:p>
        </w:tc>
        <w:tc>
          <w:tcPr>
            <w:tcW w:w="2823" w:type="dxa"/>
            <w:noWrap w:val="0"/>
            <w:tcMar>
              <w:top w:w="0" w:type="dxa"/>
              <w:left w:w="57" w:type="dxa"/>
              <w:bottom w:w="0" w:type="dxa"/>
              <w:right w:w="57" w:type="dxa"/>
            </w:tcMar>
            <w:vAlign w:val="center"/>
          </w:tcPr>
          <w:p w14:paraId="30E3934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w:t>
            </w:r>
          </w:p>
        </w:tc>
        <w:tc>
          <w:tcPr>
            <w:tcW w:w="845" w:type="dxa"/>
            <w:noWrap w:val="0"/>
            <w:tcMar>
              <w:top w:w="0" w:type="dxa"/>
              <w:left w:w="57" w:type="dxa"/>
              <w:bottom w:w="0" w:type="dxa"/>
              <w:right w:w="57" w:type="dxa"/>
            </w:tcMar>
            <w:vAlign w:val="center"/>
          </w:tcPr>
          <w:p w14:paraId="38E7230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套</w:t>
            </w:r>
          </w:p>
        </w:tc>
        <w:tc>
          <w:tcPr>
            <w:tcW w:w="1473" w:type="dxa"/>
            <w:noWrap w:val="0"/>
            <w:tcMar>
              <w:top w:w="0" w:type="dxa"/>
              <w:left w:w="57" w:type="dxa"/>
              <w:bottom w:w="0" w:type="dxa"/>
              <w:right w:w="57" w:type="dxa"/>
            </w:tcMar>
            <w:vAlign w:val="center"/>
          </w:tcPr>
          <w:p w14:paraId="4EADDC1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安保执勤</w:t>
            </w:r>
          </w:p>
        </w:tc>
      </w:tr>
      <w:tr w14:paraId="7846B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 w:type="dxa"/>
            <w:bottom w:w="0" w:type="dxa"/>
            <w:right w:w="11" w:type="dxa"/>
          </w:tblCellMar>
        </w:tblPrEx>
        <w:trPr>
          <w:trHeight w:val="23" w:hRule="atLeast"/>
          <w:jc w:val="center"/>
        </w:trPr>
        <w:tc>
          <w:tcPr>
            <w:tcW w:w="668" w:type="dxa"/>
            <w:noWrap w:val="0"/>
            <w:tcMar>
              <w:top w:w="0" w:type="dxa"/>
              <w:left w:w="57" w:type="dxa"/>
              <w:bottom w:w="0" w:type="dxa"/>
              <w:right w:w="57" w:type="dxa"/>
            </w:tcMar>
            <w:vAlign w:val="center"/>
          </w:tcPr>
          <w:p w14:paraId="0D45CFF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2441" w:type="dxa"/>
            <w:noWrap w:val="0"/>
            <w:tcMar>
              <w:top w:w="0" w:type="dxa"/>
              <w:left w:w="57" w:type="dxa"/>
              <w:bottom w:w="0" w:type="dxa"/>
              <w:right w:w="57" w:type="dxa"/>
            </w:tcMar>
            <w:vAlign w:val="center"/>
          </w:tcPr>
          <w:p w14:paraId="4236676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四轮巡逻车</w:t>
            </w:r>
          </w:p>
        </w:tc>
        <w:tc>
          <w:tcPr>
            <w:tcW w:w="2823" w:type="dxa"/>
            <w:noWrap w:val="0"/>
            <w:tcMar>
              <w:top w:w="0" w:type="dxa"/>
              <w:left w:w="57" w:type="dxa"/>
              <w:bottom w:w="0" w:type="dxa"/>
              <w:right w:w="57" w:type="dxa"/>
            </w:tcMar>
            <w:vAlign w:val="center"/>
          </w:tcPr>
          <w:p w14:paraId="6F0E36A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载客数</w:t>
            </w:r>
            <w:r>
              <w:rPr>
                <w:rFonts w:hint="eastAsia" w:ascii="宋体" w:hAnsi="宋体" w:eastAsia="宋体" w:cs="宋体"/>
                <w:sz w:val="24"/>
                <w:szCs w:val="24"/>
                <w:lang w:eastAsia="zh-CN"/>
              </w:rPr>
              <w:t>：</w:t>
            </w:r>
            <w:r>
              <w:rPr>
                <w:rFonts w:hint="eastAsia" w:ascii="宋体" w:hAnsi="宋体" w:eastAsia="宋体" w:cs="宋体"/>
                <w:sz w:val="24"/>
                <w:szCs w:val="24"/>
              </w:rPr>
              <w:t>4-5人，额定载重</w:t>
            </w:r>
            <w:r>
              <w:rPr>
                <w:rFonts w:hint="eastAsia" w:ascii="宋体" w:hAnsi="宋体" w:eastAsia="宋体" w:cs="宋体"/>
                <w:sz w:val="24"/>
                <w:szCs w:val="24"/>
                <w:lang w:eastAsia="zh-CN"/>
              </w:rPr>
              <w:t>：</w:t>
            </w:r>
            <w:r>
              <w:rPr>
                <w:rFonts w:hint="eastAsia" w:ascii="宋体" w:hAnsi="宋体" w:eastAsia="宋体" w:cs="宋体"/>
                <w:sz w:val="24"/>
                <w:szCs w:val="24"/>
              </w:rPr>
              <w:t>320kg，最大爬坡度</w:t>
            </w:r>
            <w:r>
              <w:rPr>
                <w:rFonts w:hint="eastAsia" w:ascii="宋体" w:hAnsi="宋体" w:eastAsia="宋体" w:cs="宋体"/>
                <w:sz w:val="24"/>
                <w:szCs w:val="24"/>
                <w:lang w:eastAsia="zh-CN"/>
              </w:rPr>
              <w:t>（</w:t>
            </w:r>
            <w:r>
              <w:rPr>
                <w:rFonts w:hint="eastAsia" w:ascii="宋体" w:hAnsi="宋体" w:eastAsia="宋体" w:cs="宋体"/>
                <w:sz w:val="24"/>
                <w:szCs w:val="24"/>
              </w:rPr>
              <w:t>满载</w:t>
            </w:r>
            <w:r>
              <w:rPr>
                <w:rFonts w:hint="eastAsia" w:ascii="宋体" w:hAnsi="宋体" w:eastAsia="宋体" w:cs="宋体"/>
                <w:sz w:val="24"/>
                <w:szCs w:val="24"/>
                <w:lang w:eastAsia="zh-CN"/>
              </w:rPr>
              <w:t>）：</w:t>
            </w:r>
            <w:r>
              <w:rPr>
                <w:rFonts w:hint="eastAsia" w:ascii="宋体" w:hAnsi="宋体" w:eastAsia="宋体" w:cs="宋体"/>
                <w:sz w:val="24"/>
                <w:szCs w:val="24"/>
              </w:rPr>
              <w:t>30%，续驶里程</w:t>
            </w:r>
            <w:r>
              <w:rPr>
                <w:rFonts w:hint="eastAsia" w:ascii="宋体" w:hAnsi="宋体" w:eastAsia="宋体" w:cs="宋体"/>
                <w:sz w:val="24"/>
                <w:szCs w:val="24"/>
                <w:lang w:eastAsia="zh-CN"/>
              </w:rPr>
              <w:t>：</w:t>
            </w:r>
            <w:r>
              <w:rPr>
                <w:rFonts w:hint="eastAsia" w:ascii="宋体" w:hAnsi="宋体" w:eastAsia="宋体" w:cs="宋体"/>
                <w:sz w:val="24"/>
                <w:szCs w:val="24"/>
              </w:rPr>
              <w:t>80-100km</w:t>
            </w:r>
          </w:p>
        </w:tc>
        <w:tc>
          <w:tcPr>
            <w:tcW w:w="845" w:type="dxa"/>
            <w:noWrap w:val="0"/>
            <w:tcMar>
              <w:top w:w="0" w:type="dxa"/>
              <w:left w:w="57" w:type="dxa"/>
              <w:bottom w:w="0" w:type="dxa"/>
              <w:right w:w="57" w:type="dxa"/>
            </w:tcMar>
            <w:vAlign w:val="center"/>
          </w:tcPr>
          <w:p w14:paraId="14C1737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1辆</w:t>
            </w:r>
          </w:p>
        </w:tc>
        <w:tc>
          <w:tcPr>
            <w:tcW w:w="1473" w:type="dxa"/>
            <w:noWrap w:val="0"/>
            <w:tcMar>
              <w:top w:w="0" w:type="dxa"/>
              <w:left w:w="57" w:type="dxa"/>
              <w:bottom w:w="0" w:type="dxa"/>
              <w:right w:w="57" w:type="dxa"/>
            </w:tcMar>
            <w:vAlign w:val="center"/>
          </w:tcPr>
          <w:p w14:paraId="4B84326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校园巡逻及突发事件应急处置</w:t>
            </w:r>
          </w:p>
        </w:tc>
      </w:tr>
    </w:tbl>
    <w:p w14:paraId="72985D9E">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2" w:firstLineChars="200"/>
        <w:jc w:val="both"/>
        <w:textAlignment w:val="auto"/>
        <w:rPr>
          <w:rFonts w:hint="eastAsia" w:ascii="宋体" w:hAnsi="宋体" w:eastAsia="宋体" w:cs="宋体"/>
          <w:sz w:val="24"/>
          <w:szCs w:val="24"/>
        </w:rPr>
      </w:pPr>
      <w:r>
        <w:rPr>
          <w:rFonts w:hint="eastAsia" w:ascii="宋体" w:hAnsi="宋体" w:eastAsia="宋体" w:cs="宋体"/>
          <w:b/>
          <w:sz w:val="24"/>
          <w:szCs w:val="24"/>
          <w:lang w:val="en-US" w:eastAsia="zh-CN"/>
        </w:rPr>
        <w:t>1.</w:t>
      </w:r>
      <w:r>
        <w:rPr>
          <w:rFonts w:hint="eastAsia" w:ascii="宋体" w:hAnsi="宋体" w:eastAsia="宋体" w:cs="宋体"/>
          <w:b/>
          <w:sz w:val="24"/>
          <w:szCs w:val="24"/>
        </w:rPr>
        <w:t>设备进场验收</w:t>
      </w:r>
      <w:r>
        <w:rPr>
          <w:rFonts w:hint="eastAsia" w:ascii="宋体" w:hAnsi="宋体" w:eastAsia="宋体" w:cs="宋体"/>
          <w:sz w:val="24"/>
          <w:szCs w:val="24"/>
        </w:rPr>
        <w:t>：中标人须在本合同签订后10个工作日内，将所有拟投入设备运至项目现场，甲乙双方按</w:t>
      </w:r>
      <w:r>
        <w:rPr>
          <w:rFonts w:hint="eastAsia" w:ascii="宋体" w:hAnsi="宋体" w:eastAsia="宋体" w:cs="宋体"/>
          <w:sz w:val="24"/>
          <w:szCs w:val="24"/>
          <w:lang w:val="en-US" w:eastAsia="zh-CN"/>
        </w:rPr>
        <w:t>磋商</w:t>
      </w:r>
      <w:r>
        <w:rPr>
          <w:rFonts w:hint="eastAsia" w:ascii="宋体" w:hAnsi="宋体" w:eastAsia="宋体" w:cs="宋体"/>
          <w:sz w:val="24"/>
          <w:szCs w:val="24"/>
        </w:rPr>
        <w:t>文件约定的规格参数进行现场验收，签署《设备进场验收确认单》，验收不合格的，中标人须在3个工作日内更换，直至验收合格。逾期未更换的，每逾期一日，采购人有权扣除履约保证金总额的1%，直至更换合格为止。同一设备累计逾期超过10日的，采购人有权自行采购同规格设备，相关费用由中标人承担。</w:t>
      </w:r>
    </w:p>
    <w:p w14:paraId="74C0DC56">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2" w:firstLineChars="200"/>
        <w:jc w:val="both"/>
        <w:textAlignment w:val="auto"/>
        <w:rPr>
          <w:rFonts w:hint="eastAsia" w:ascii="宋体" w:hAnsi="宋体" w:eastAsia="宋体" w:cs="宋体"/>
          <w:sz w:val="24"/>
          <w:szCs w:val="24"/>
        </w:rPr>
      </w:pPr>
      <w:r>
        <w:rPr>
          <w:rFonts w:hint="eastAsia" w:ascii="宋体" w:hAnsi="宋体" w:eastAsia="宋体" w:cs="宋体"/>
          <w:b/>
          <w:sz w:val="24"/>
          <w:szCs w:val="24"/>
          <w:lang w:val="en-US" w:eastAsia="zh-CN"/>
        </w:rPr>
        <w:t>2.</w:t>
      </w:r>
      <w:r>
        <w:rPr>
          <w:rFonts w:hint="eastAsia" w:ascii="宋体" w:hAnsi="宋体" w:eastAsia="宋体" w:cs="宋体"/>
          <w:b/>
          <w:sz w:val="24"/>
          <w:szCs w:val="24"/>
        </w:rPr>
        <w:t>日常维保</w:t>
      </w:r>
      <w:r>
        <w:rPr>
          <w:rFonts w:hint="eastAsia" w:ascii="宋体" w:hAnsi="宋体" w:eastAsia="宋体" w:cs="宋体"/>
          <w:sz w:val="24"/>
          <w:szCs w:val="24"/>
        </w:rPr>
        <w:t>：中标人须建立设备日常维保台账，每月对设备进行一次全面检修，每季度向采购人提交设备维保记录；设备因使用、维保不当出现故障的，中标人须在24小时内修复，无法及时修复的，须提供备用设备，否则由此造成的服务中断由中标人承担全部责任。</w:t>
      </w:r>
    </w:p>
    <w:p w14:paraId="1D00D85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2" w:firstLineChars="200"/>
        <w:jc w:val="both"/>
        <w:textAlignment w:val="auto"/>
        <w:rPr>
          <w:rFonts w:hint="eastAsia" w:ascii="宋体" w:hAnsi="宋体" w:eastAsia="宋体" w:cs="宋体"/>
          <w:sz w:val="24"/>
          <w:szCs w:val="24"/>
        </w:rPr>
      </w:pPr>
      <w:r>
        <w:rPr>
          <w:rFonts w:hint="eastAsia" w:ascii="宋体" w:hAnsi="宋体" w:eastAsia="宋体" w:cs="宋体"/>
          <w:b/>
          <w:sz w:val="24"/>
          <w:szCs w:val="24"/>
        </w:rPr>
        <w:t>3.设备权属及处置</w:t>
      </w:r>
      <w:r>
        <w:rPr>
          <w:rFonts w:hint="eastAsia" w:ascii="宋体" w:hAnsi="宋体" w:eastAsia="宋体" w:cs="宋体"/>
          <w:sz w:val="24"/>
          <w:szCs w:val="24"/>
        </w:rPr>
        <w:t>：本合同项下中标人投入的设备权属归中标人所有，合同终止或解除后，中标人须在5个工作日内将设备撤离项目现场，撤离过程中不得损坏采购人物业及设施，否则须照价赔偿；若中标人逾期撤离，每逾期1天，按合同总金额的0.5%向采购人支付违约金。</w:t>
      </w:r>
    </w:p>
    <w:p w14:paraId="3709CD7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2" w:firstLineChars="200"/>
        <w:jc w:val="both"/>
        <w:textAlignment w:val="auto"/>
        <w:outlineLvl w:val="3"/>
        <w:rPr>
          <w:rFonts w:hint="eastAsia" w:ascii="宋体" w:hAnsi="宋体" w:eastAsia="宋体" w:cs="宋体"/>
          <w:b/>
          <w:bCs w:val="0"/>
          <w:sz w:val="24"/>
          <w:szCs w:val="24"/>
        </w:rPr>
      </w:pPr>
      <w:r>
        <w:rPr>
          <w:rFonts w:hint="eastAsia" w:ascii="宋体" w:hAnsi="宋体" w:eastAsia="宋体" w:cs="宋体"/>
          <w:b/>
          <w:bCs w:val="0"/>
          <w:sz w:val="24"/>
          <w:szCs w:val="24"/>
          <w:lang w:val="en-US" w:eastAsia="zh-CN"/>
        </w:rPr>
        <w:t>（五）</w:t>
      </w:r>
      <w:r>
        <w:rPr>
          <w:rFonts w:hint="eastAsia" w:ascii="宋体" w:hAnsi="宋体" w:eastAsia="宋体" w:cs="宋体"/>
          <w:b/>
          <w:bCs w:val="0"/>
          <w:sz w:val="24"/>
          <w:szCs w:val="24"/>
        </w:rPr>
        <w:t>管理服务要求</w:t>
      </w:r>
    </w:p>
    <w:p w14:paraId="159B2D6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2" w:firstLineChars="200"/>
        <w:jc w:val="both"/>
        <w:textAlignment w:val="auto"/>
        <w:outlineLvl w:val="3"/>
        <w:rPr>
          <w:rFonts w:hint="eastAsia" w:ascii="宋体" w:hAnsi="宋体" w:eastAsia="宋体" w:cs="宋体"/>
          <w:b/>
          <w:bCs w:val="0"/>
          <w:sz w:val="24"/>
          <w:szCs w:val="24"/>
        </w:rPr>
      </w:pPr>
      <w:r>
        <w:rPr>
          <w:rFonts w:hint="eastAsia" w:ascii="宋体" w:hAnsi="宋体" w:eastAsia="宋体" w:cs="宋体"/>
          <w:b/>
          <w:bCs w:val="0"/>
          <w:sz w:val="24"/>
          <w:szCs w:val="24"/>
          <w:lang w:val="en-US" w:eastAsia="zh-CN"/>
        </w:rPr>
        <w:t>1.</w:t>
      </w:r>
      <w:r>
        <w:rPr>
          <w:rFonts w:hint="eastAsia" w:ascii="宋体" w:hAnsi="宋体" w:eastAsia="宋体" w:cs="宋体"/>
          <w:b/>
          <w:bCs w:val="0"/>
          <w:sz w:val="24"/>
          <w:szCs w:val="24"/>
        </w:rPr>
        <w:t>宿舍管理员工作服务要求</w:t>
      </w:r>
    </w:p>
    <w:p w14:paraId="4B25C94F">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确保每天24小时值班，做好值班记录，按规定时间准时交接班。</w:t>
      </w:r>
    </w:p>
    <w:p w14:paraId="12BC86E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（2）上班时间</w:t>
      </w:r>
      <w:r>
        <w:rPr>
          <w:rFonts w:hint="eastAsia" w:ascii="宋体" w:hAnsi="宋体" w:eastAsia="宋体" w:cs="宋体"/>
          <w:sz w:val="24"/>
          <w:szCs w:val="24"/>
        </w:rPr>
        <w:t>注重仪表，佩戴胸卡，工作期间不得做与本职工作无关的事情。</w:t>
      </w:r>
    </w:p>
    <w:p w14:paraId="03E458A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负责所辖宿舍楼的安全和学生日常行为规范的督查，加强楼层巡查，保证设施、财产的完好状况。杜绝撬门扭锁的偷盗事件发生，防止突发事件。如有异常情况应及时妥善处理，并立即报告。</w:t>
      </w:r>
    </w:p>
    <w:p w14:paraId="758045D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（4）</w:t>
      </w:r>
      <w:r>
        <w:rPr>
          <w:rFonts w:hint="eastAsia" w:ascii="宋体" w:hAnsi="宋体" w:eastAsia="宋体" w:cs="宋体"/>
          <w:sz w:val="24"/>
          <w:szCs w:val="24"/>
        </w:rPr>
        <w:t>重点关注开水器、消防、配电房、三角间、显示屏、路灯等设施运行是否正常，发现有异常，应立即报告。</w:t>
      </w:r>
    </w:p>
    <w:p w14:paraId="0F3854E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（5）</w:t>
      </w:r>
      <w:r>
        <w:rPr>
          <w:rFonts w:hint="eastAsia" w:ascii="宋体" w:hAnsi="宋体" w:eastAsia="宋体" w:cs="宋体"/>
          <w:sz w:val="24"/>
          <w:szCs w:val="24"/>
        </w:rPr>
        <w:t>做好学生退宿的财产验收、门锁调换工作。</w:t>
      </w:r>
    </w:p>
    <w:p w14:paraId="354743A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（6）</w:t>
      </w:r>
      <w:r>
        <w:rPr>
          <w:rFonts w:hint="eastAsia" w:ascii="宋体" w:hAnsi="宋体" w:eastAsia="宋体" w:cs="宋体"/>
          <w:sz w:val="24"/>
          <w:szCs w:val="24"/>
        </w:rPr>
        <w:t>发现学生离开寝室未关门、关电、钥匙挂在门上等情况，应立即处理，并张贴“安全提示单”。</w:t>
      </w:r>
    </w:p>
    <w:p w14:paraId="6EC9BA7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（7）</w:t>
      </w:r>
      <w:r>
        <w:rPr>
          <w:rFonts w:hint="eastAsia" w:ascii="宋体" w:hAnsi="宋体" w:eastAsia="宋体" w:cs="宋体"/>
          <w:sz w:val="24"/>
          <w:szCs w:val="24"/>
        </w:rPr>
        <w:t>对每间寝室每周至少检查一遍，检查是否有违章用电、私接电线等情况，发现后应立即收缴并登记，报采购人。</w:t>
      </w:r>
    </w:p>
    <w:p w14:paraId="3A80425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（8）</w:t>
      </w:r>
      <w:r>
        <w:rPr>
          <w:rFonts w:hint="eastAsia" w:ascii="宋体" w:hAnsi="宋体" w:eastAsia="宋体" w:cs="宋体"/>
          <w:sz w:val="24"/>
          <w:szCs w:val="24"/>
        </w:rPr>
        <w:t>检查宿舍区公共卫生情况，不达标应通知相关人员立即整改。</w:t>
      </w:r>
    </w:p>
    <w:p w14:paraId="2E9A22E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（9）</w:t>
      </w:r>
      <w:r>
        <w:rPr>
          <w:rFonts w:hint="eastAsia" w:ascii="宋体" w:hAnsi="宋体" w:eastAsia="宋体" w:cs="宋体"/>
          <w:sz w:val="24"/>
          <w:szCs w:val="24"/>
        </w:rPr>
        <w:t>不得私拿或使用学生物品。</w:t>
      </w:r>
    </w:p>
    <w:p w14:paraId="62DA753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（10）</w:t>
      </w:r>
      <w:r>
        <w:rPr>
          <w:rFonts w:hint="eastAsia" w:ascii="宋体" w:hAnsi="宋体" w:eastAsia="宋体" w:cs="宋体"/>
          <w:sz w:val="24"/>
          <w:szCs w:val="24"/>
        </w:rPr>
        <w:t>在学生集中考试和学校举办大型活动等大部分学生离开寝室期间，加强巡查。</w:t>
      </w:r>
    </w:p>
    <w:p w14:paraId="2874E5CF">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（11）</w:t>
      </w:r>
      <w:r>
        <w:rPr>
          <w:rFonts w:hint="eastAsia" w:ascii="宋体" w:hAnsi="宋体" w:eastAsia="宋体" w:cs="宋体"/>
          <w:sz w:val="24"/>
          <w:szCs w:val="24"/>
        </w:rPr>
        <w:t>配合学校和学生干部开展各项检查工作。</w:t>
      </w:r>
    </w:p>
    <w:p w14:paraId="62D3C8B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（12）</w:t>
      </w:r>
      <w:r>
        <w:rPr>
          <w:rFonts w:hint="eastAsia" w:ascii="宋体" w:hAnsi="宋体" w:eastAsia="宋体" w:cs="宋体"/>
          <w:sz w:val="24"/>
          <w:szCs w:val="24"/>
        </w:rPr>
        <w:t>协助做好本片区的维修工作。</w:t>
      </w:r>
    </w:p>
    <w:p w14:paraId="44649A9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（13）</w:t>
      </w:r>
      <w:r>
        <w:rPr>
          <w:rFonts w:hint="eastAsia" w:ascii="宋体" w:hAnsi="宋体" w:eastAsia="宋体" w:cs="宋体"/>
          <w:sz w:val="24"/>
          <w:szCs w:val="24"/>
        </w:rPr>
        <w:t>负责毕业生离校后门锁的调换工作。</w:t>
      </w:r>
    </w:p>
    <w:p w14:paraId="7C0A1F9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2" w:firstLineChars="200"/>
        <w:jc w:val="both"/>
        <w:textAlignment w:val="auto"/>
        <w:outlineLvl w:val="3"/>
        <w:rPr>
          <w:rFonts w:hint="eastAsia" w:ascii="宋体" w:hAnsi="宋体" w:eastAsia="宋体" w:cs="宋体"/>
          <w:b/>
          <w:bCs w:val="0"/>
          <w:sz w:val="24"/>
          <w:szCs w:val="24"/>
        </w:rPr>
      </w:pPr>
      <w:r>
        <w:rPr>
          <w:rFonts w:hint="eastAsia" w:ascii="宋体" w:hAnsi="宋体" w:eastAsia="宋体" w:cs="宋体"/>
          <w:b/>
          <w:bCs w:val="0"/>
          <w:sz w:val="24"/>
          <w:szCs w:val="24"/>
          <w:lang w:val="en-US" w:eastAsia="zh-CN"/>
        </w:rPr>
        <w:t>2.</w:t>
      </w:r>
      <w:r>
        <w:rPr>
          <w:rFonts w:hint="eastAsia" w:ascii="宋体" w:hAnsi="宋体" w:eastAsia="宋体" w:cs="宋体"/>
          <w:b/>
          <w:bCs w:val="0"/>
          <w:sz w:val="24"/>
          <w:szCs w:val="24"/>
        </w:rPr>
        <w:t>水电维修工工作服务要求</w:t>
      </w:r>
    </w:p>
    <w:p w14:paraId="3C71E7B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负责小型水电泥木故障维修，必须持证上岗。</w:t>
      </w:r>
    </w:p>
    <w:p w14:paraId="601BC61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必须按规程操作，更换物品应与学校原样一致。</w:t>
      </w:r>
    </w:p>
    <w:p w14:paraId="40B3242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不得替换学校维修材料。</w:t>
      </w:r>
    </w:p>
    <w:p w14:paraId="0E34D84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（4）</w:t>
      </w:r>
      <w:r>
        <w:rPr>
          <w:rFonts w:hint="eastAsia" w:ascii="宋体" w:hAnsi="宋体" w:eastAsia="宋体" w:cs="宋体"/>
          <w:sz w:val="24"/>
          <w:szCs w:val="24"/>
        </w:rPr>
        <w:t>水电维修应在12小时内维修好。</w:t>
      </w:r>
    </w:p>
    <w:p w14:paraId="0C196C4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（5）</w:t>
      </w:r>
      <w:r>
        <w:rPr>
          <w:rFonts w:hint="eastAsia" w:ascii="宋体" w:hAnsi="宋体" w:eastAsia="宋体" w:cs="宋体"/>
          <w:sz w:val="24"/>
          <w:szCs w:val="24"/>
        </w:rPr>
        <w:t>负责门锁加润滑油（每学期开学前一周内完成）。</w:t>
      </w:r>
    </w:p>
    <w:p w14:paraId="04F2DAD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（6）</w:t>
      </w:r>
      <w:r>
        <w:rPr>
          <w:rFonts w:hint="eastAsia" w:ascii="宋体" w:hAnsi="宋体" w:eastAsia="宋体" w:cs="宋体"/>
          <w:sz w:val="24"/>
          <w:szCs w:val="24"/>
        </w:rPr>
        <w:t>发生停电、停水等故障时，接到通知后在上班期间</w:t>
      </w:r>
      <w:r>
        <w:rPr>
          <w:rFonts w:hint="eastAsia" w:ascii="宋体" w:hAnsi="宋体" w:eastAsia="宋体" w:cs="宋体"/>
          <w:sz w:val="24"/>
          <w:szCs w:val="24"/>
          <w:lang w:eastAsia="zh-CN"/>
        </w:rPr>
        <w:t>应在</w:t>
      </w:r>
      <w:r>
        <w:rPr>
          <w:rFonts w:hint="eastAsia" w:ascii="宋体" w:hAnsi="宋体" w:eastAsia="宋体" w:cs="宋体"/>
          <w:sz w:val="24"/>
          <w:szCs w:val="24"/>
        </w:rPr>
        <w:t>5分钟内到场，非工作期间应在20分钟内到场。</w:t>
      </w:r>
    </w:p>
    <w:p w14:paraId="69BF4EF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（7）</w:t>
      </w:r>
      <w:r>
        <w:rPr>
          <w:rFonts w:hint="eastAsia" w:ascii="宋体" w:hAnsi="宋体" w:eastAsia="宋体" w:cs="宋体"/>
          <w:sz w:val="24"/>
          <w:szCs w:val="24"/>
        </w:rPr>
        <w:t>不得使用或损坏公共和学生物品。</w:t>
      </w:r>
    </w:p>
    <w:p w14:paraId="2F2D26C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（8）</w:t>
      </w:r>
      <w:r>
        <w:rPr>
          <w:rFonts w:hint="eastAsia" w:ascii="宋体" w:hAnsi="宋体" w:eastAsia="宋体" w:cs="宋体"/>
          <w:sz w:val="24"/>
          <w:szCs w:val="24"/>
        </w:rPr>
        <w:t>协助完成毕业生离校后门锁的调换工作。</w:t>
      </w:r>
    </w:p>
    <w:p w14:paraId="3EB48B5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（9）</w:t>
      </w:r>
      <w:r>
        <w:rPr>
          <w:rFonts w:hint="eastAsia" w:ascii="宋体" w:hAnsi="宋体" w:eastAsia="宋体" w:cs="宋体"/>
          <w:sz w:val="24"/>
          <w:szCs w:val="24"/>
        </w:rPr>
        <w:t>未经采购人允许不得将维修材料作为</w:t>
      </w:r>
      <w:r>
        <w:rPr>
          <w:rFonts w:hint="eastAsia" w:ascii="宋体" w:hAnsi="宋体" w:eastAsia="宋体" w:cs="宋体"/>
          <w:sz w:val="24"/>
          <w:szCs w:val="24"/>
          <w:lang w:eastAsia="zh-CN"/>
        </w:rPr>
        <w:t>他</w:t>
      </w:r>
      <w:r>
        <w:rPr>
          <w:rFonts w:hint="eastAsia" w:ascii="宋体" w:hAnsi="宋体" w:eastAsia="宋体" w:cs="宋体"/>
          <w:sz w:val="24"/>
          <w:szCs w:val="24"/>
        </w:rPr>
        <w:t>用。</w:t>
      </w:r>
    </w:p>
    <w:p w14:paraId="42286A7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（10）</w:t>
      </w:r>
      <w:r>
        <w:rPr>
          <w:rFonts w:hint="eastAsia" w:ascii="宋体" w:hAnsi="宋体" w:eastAsia="宋体" w:cs="宋体"/>
          <w:sz w:val="24"/>
          <w:szCs w:val="24"/>
        </w:rPr>
        <w:t>完成采购人安排的</w:t>
      </w:r>
      <w:r>
        <w:rPr>
          <w:rFonts w:hint="eastAsia" w:ascii="宋体" w:hAnsi="宋体" w:eastAsia="宋体" w:cs="宋体"/>
          <w:sz w:val="24"/>
          <w:szCs w:val="24"/>
          <w:lang w:eastAsia="zh-CN"/>
        </w:rPr>
        <w:t>其他</w:t>
      </w:r>
      <w:r>
        <w:rPr>
          <w:rFonts w:hint="eastAsia" w:ascii="宋体" w:hAnsi="宋体" w:eastAsia="宋体" w:cs="宋体"/>
          <w:sz w:val="24"/>
          <w:szCs w:val="24"/>
        </w:rPr>
        <w:t>维修工作。</w:t>
      </w:r>
    </w:p>
    <w:p w14:paraId="4B7BD00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（11）</w:t>
      </w:r>
      <w:r>
        <w:rPr>
          <w:rFonts w:hint="eastAsia" w:ascii="宋体" w:hAnsi="宋体" w:eastAsia="宋体" w:cs="宋体"/>
          <w:sz w:val="24"/>
          <w:szCs w:val="24"/>
        </w:rPr>
        <w:t>以上所涉及的水电维修工等维护维修项目，维修工具由</w:t>
      </w:r>
      <w:r>
        <w:rPr>
          <w:rFonts w:hint="eastAsia" w:ascii="宋体" w:hAnsi="宋体" w:eastAsia="宋体" w:cs="宋体"/>
          <w:sz w:val="24"/>
          <w:szCs w:val="24"/>
          <w:lang w:val="en-US" w:eastAsia="zh-CN"/>
        </w:rPr>
        <w:t>中标人</w:t>
      </w:r>
      <w:r>
        <w:rPr>
          <w:rFonts w:hint="eastAsia" w:ascii="宋体" w:hAnsi="宋体" w:eastAsia="宋体" w:cs="宋体"/>
          <w:sz w:val="24"/>
          <w:szCs w:val="24"/>
        </w:rPr>
        <w:t>负责，维修所需配件</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材料</w:t>
      </w:r>
      <w:r>
        <w:rPr>
          <w:rFonts w:hint="eastAsia" w:ascii="宋体" w:hAnsi="宋体" w:eastAsia="宋体" w:cs="宋体"/>
          <w:sz w:val="24"/>
          <w:szCs w:val="24"/>
        </w:rPr>
        <w:t>由采购人负责。</w:t>
      </w:r>
    </w:p>
    <w:p w14:paraId="524CC03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2" w:firstLineChars="200"/>
        <w:jc w:val="both"/>
        <w:textAlignment w:val="auto"/>
        <w:outlineLvl w:val="3"/>
        <w:rPr>
          <w:rFonts w:hint="eastAsia" w:ascii="宋体" w:hAnsi="宋体" w:eastAsia="宋体" w:cs="宋体"/>
          <w:b/>
          <w:bCs w:val="0"/>
          <w:sz w:val="24"/>
          <w:szCs w:val="24"/>
        </w:rPr>
      </w:pPr>
      <w:r>
        <w:rPr>
          <w:rFonts w:hint="eastAsia" w:ascii="宋体" w:hAnsi="宋体" w:eastAsia="宋体" w:cs="宋体"/>
          <w:b/>
          <w:bCs w:val="0"/>
          <w:sz w:val="24"/>
          <w:szCs w:val="24"/>
          <w:lang w:val="en-US" w:eastAsia="zh-CN"/>
        </w:rPr>
        <w:t>3.</w:t>
      </w:r>
      <w:r>
        <w:rPr>
          <w:rFonts w:hint="eastAsia" w:ascii="宋体" w:hAnsi="宋体" w:eastAsia="宋体" w:cs="宋体"/>
          <w:b/>
          <w:bCs w:val="0"/>
          <w:sz w:val="24"/>
          <w:szCs w:val="24"/>
        </w:rPr>
        <w:t>校园门卫工作服务要求</w:t>
      </w:r>
    </w:p>
    <w:p w14:paraId="21160EC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门卫必须24小时在岗，不得擅离职守。</w:t>
      </w:r>
    </w:p>
    <w:p w14:paraId="7E1038D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外来人员出入校门必须询问事由，认真履行登记手续。</w:t>
      </w:r>
    </w:p>
    <w:p w14:paraId="3ABF7DA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外来车辆一律不准进入校内，确需进入需请示有关领导同意后，履行登记手续（载明驾驶员姓名、车牌号及事由），引导停放指定区域。外单位机动车辆出门时应做必要检查（尤</w:t>
      </w:r>
      <w:r>
        <w:rPr>
          <w:rFonts w:hint="eastAsia" w:ascii="宋体" w:hAnsi="宋体" w:eastAsia="宋体" w:cs="宋体"/>
          <w:sz w:val="24"/>
          <w:szCs w:val="24"/>
          <w:lang w:eastAsia="zh-CN"/>
        </w:rPr>
        <w:t>其是</w:t>
      </w:r>
      <w:r>
        <w:rPr>
          <w:rFonts w:hint="eastAsia" w:ascii="宋体" w:hAnsi="宋体" w:eastAsia="宋体" w:cs="宋体"/>
          <w:sz w:val="24"/>
          <w:szCs w:val="24"/>
        </w:rPr>
        <w:t>货车）。</w:t>
      </w:r>
    </w:p>
    <w:p w14:paraId="5A49AA5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（4）</w:t>
      </w:r>
      <w:r>
        <w:rPr>
          <w:rFonts w:hint="eastAsia" w:ascii="宋体" w:hAnsi="宋体" w:eastAsia="宋体" w:cs="宋体"/>
          <w:sz w:val="24"/>
          <w:szCs w:val="24"/>
        </w:rPr>
        <w:t>疏通车辆和人员进出，维护门口交通秩序，保证车辆及行人安全，使门前畅通无阻。</w:t>
      </w:r>
    </w:p>
    <w:p w14:paraId="730DAC6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（5）</w:t>
      </w:r>
      <w:r>
        <w:rPr>
          <w:rFonts w:hint="eastAsia" w:ascii="宋体" w:hAnsi="宋体" w:eastAsia="宋体" w:cs="宋体"/>
          <w:sz w:val="24"/>
          <w:szCs w:val="24"/>
        </w:rPr>
        <w:t>严格制止闲杂人员、小商贩、推销人员等进入校区。</w:t>
      </w:r>
    </w:p>
    <w:p w14:paraId="33D0A6E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（6）</w:t>
      </w:r>
      <w:r>
        <w:rPr>
          <w:rFonts w:hint="eastAsia" w:ascii="宋体" w:hAnsi="宋体" w:eastAsia="宋体" w:cs="宋体"/>
          <w:sz w:val="24"/>
          <w:szCs w:val="24"/>
        </w:rPr>
        <w:t>提高警惕，发现可疑人员和事情后应及时处理并迅速报告领导。</w:t>
      </w:r>
    </w:p>
    <w:p w14:paraId="054437A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（7）</w:t>
      </w:r>
      <w:r>
        <w:rPr>
          <w:rFonts w:hint="eastAsia" w:ascii="宋体" w:hAnsi="宋体" w:eastAsia="宋体" w:cs="宋体"/>
          <w:sz w:val="24"/>
          <w:szCs w:val="24"/>
        </w:rPr>
        <w:t>认真履行值班登记制度，详细记录值班中所发生、处理的各种情况。</w:t>
      </w:r>
    </w:p>
    <w:p w14:paraId="31D1159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（8）</w:t>
      </w:r>
      <w:r>
        <w:rPr>
          <w:rFonts w:hint="eastAsia" w:ascii="宋体" w:hAnsi="宋体" w:eastAsia="宋体" w:cs="宋体"/>
          <w:sz w:val="24"/>
          <w:szCs w:val="24"/>
        </w:rPr>
        <w:t>积极配合其他保安员，做好防火、防盗等各项安全防范工作，把好管理区域的大门关。</w:t>
      </w:r>
    </w:p>
    <w:p w14:paraId="3C2F356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（9）</w:t>
      </w:r>
      <w:r>
        <w:rPr>
          <w:rFonts w:hint="eastAsia" w:ascii="宋体" w:hAnsi="宋体" w:eastAsia="宋体" w:cs="宋体"/>
          <w:sz w:val="24"/>
          <w:szCs w:val="24"/>
        </w:rPr>
        <w:t>为来访客人提供校内物业引导服务（指明方向位置）。</w:t>
      </w:r>
    </w:p>
    <w:p w14:paraId="6820E3A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（10）</w:t>
      </w:r>
      <w:r>
        <w:rPr>
          <w:rFonts w:hint="eastAsia" w:ascii="宋体" w:hAnsi="宋体" w:eastAsia="宋体" w:cs="宋体"/>
          <w:sz w:val="24"/>
          <w:szCs w:val="24"/>
        </w:rPr>
        <w:t>值班台和值班室严禁违章用电，严禁在楼宇内使用明火，严禁在楼宇内炒菜做饭，严禁在楼宇外晾晒衣物。不在楼宇内捡拾和存放废品。不得利用职务之便向学院、师生和其他人员索取财物。</w:t>
      </w:r>
    </w:p>
    <w:p w14:paraId="2386BDC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2" w:firstLineChars="200"/>
        <w:jc w:val="both"/>
        <w:textAlignment w:val="auto"/>
        <w:outlineLvl w:val="3"/>
        <w:rPr>
          <w:rFonts w:hint="eastAsia" w:ascii="宋体" w:hAnsi="宋体" w:eastAsia="宋体" w:cs="宋体"/>
          <w:b/>
          <w:bCs w:val="0"/>
          <w:sz w:val="24"/>
          <w:szCs w:val="24"/>
        </w:rPr>
      </w:pPr>
      <w:bookmarkStart w:id="35" w:name="heading_25"/>
      <w:r>
        <w:rPr>
          <w:rFonts w:hint="eastAsia" w:ascii="宋体" w:hAnsi="宋体" w:eastAsia="宋体" w:cs="宋体"/>
          <w:b/>
          <w:bCs w:val="0"/>
          <w:sz w:val="24"/>
          <w:szCs w:val="24"/>
          <w:lang w:val="en-US" w:eastAsia="zh-CN"/>
        </w:rPr>
        <w:t>4.</w:t>
      </w:r>
      <w:r>
        <w:rPr>
          <w:rFonts w:hint="eastAsia" w:ascii="宋体" w:hAnsi="宋体" w:eastAsia="宋体" w:cs="宋体"/>
          <w:b/>
          <w:bCs w:val="0"/>
          <w:sz w:val="24"/>
          <w:szCs w:val="24"/>
        </w:rPr>
        <w:t>保洁工作服务要求</w:t>
      </w:r>
      <w:bookmarkEnd w:id="35"/>
    </w:p>
    <w:p w14:paraId="5776DF2C">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（1）</w:t>
      </w:r>
      <w:r>
        <w:rPr>
          <w:rFonts w:hint="eastAsia" w:ascii="宋体" w:hAnsi="宋体" w:eastAsia="宋体" w:cs="宋体"/>
          <w:b w:val="0"/>
          <w:bCs/>
          <w:sz w:val="24"/>
          <w:szCs w:val="24"/>
        </w:rPr>
        <w:t>学生宿舍楼保洁工作服务要求</w:t>
      </w:r>
    </w:p>
    <w:p w14:paraId="427F1CE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a.</w:t>
      </w:r>
      <w:r>
        <w:rPr>
          <w:rFonts w:hint="eastAsia" w:ascii="宋体" w:hAnsi="宋体" w:eastAsia="宋体" w:cs="宋体"/>
          <w:sz w:val="24"/>
          <w:szCs w:val="24"/>
        </w:rPr>
        <w:t>及时清扫宿舍周边卫生，要求无垃圾，无乱张贴物，水沟通畅清洁，树叶灰尘清扫干净，其余时间保持清洁。</w:t>
      </w:r>
    </w:p>
    <w:p w14:paraId="18D6185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b.</w:t>
      </w:r>
      <w:r>
        <w:rPr>
          <w:rFonts w:hint="eastAsia" w:ascii="宋体" w:hAnsi="宋体" w:eastAsia="宋体" w:cs="宋体"/>
          <w:sz w:val="24"/>
          <w:szCs w:val="24"/>
        </w:rPr>
        <w:t>走廊过道拖擦干净（不得用水冲洗），无油污痕迹。</w:t>
      </w:r>
    </w:p>
    <w:p w14:paraId="73C725D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c.</w:t>
      </w:r>
      <w:r>
        <w:rPr>
          <w:rFonts w:hint="eastAsia" w:ascii="宋体" w:hAnsi="宋体" w:eastAsia="宋体" w:cs="宋体"/>
          <w:sz w:val="24"/>
          <w:szCs w:val="24"/>
        </w:rPr>
        <w:t>楼梯扶手每天要擦拭干净，手抚无灰尘。</w:t>
      </w:r>
    </w:p>
    <w:p w14:paraId="00209FF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d.</w:t>
      </w:r>
      <w:r>
        <w:rPr>
          <w:rFonts w:hint="eastAsia" w:ascii="宋体" w:hAnsi="宋体" w:eastAsia="宋体" w:cs="宋体"/>
          <w:sz w:val="24"/>
          <w:szCs w:val="24"/>
        </w:rPr>
        <w:t>墙面每天要擦拭干净，无张贴物，无灰尘，瓷板上沿无灰尘。</w:t>
      </w:r>
    </w:p>
    <w:p w14:paraId="575C9E3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e.</w:t>
      </w:r>
      <w:r>
        <w:rPr>
          <w:rFonts w:hint="eastAsia" w:ascii="宋体" w:hAnsi="宋体" w:eastAsia="宋体" w:cs="宋体"/>
          <w:sz w:val="24"/>
          <w:szCs w:val="24"/>
        </w:rPr>
        <w:t>垃圾及时</w:t>
      </w:r>
      <w:r>
        <w:rPr>
          <w:rFonts w:hint="eastAsia" w:ascii="宋体" w:hAnsi="宋体" w:eastAsia="宋体" w:cs="宋体"/>
          <w:sz w:val="24"/>
          <w:szCs w:val="24"/>
          <w:lang w:val="en-US" w:eastAsia="zh-CN"/>
        </w:rPr>
        <w:t>清理</w:t>
      </w:r>
      <w:r>
        <w:rPr>
          <w:rFonts w:hint="eastAsia" w:ascii="宋体" w:hAnsi="宋体" w:eastAsia="宋体" w:cs="宋体"/>
          <w:sz w:val="24"/>
          <w:szCs w:val="24"/>
        </w:rPr>
        <w:t>、清洗，垃圾桶摆放在指定位置。</w:t>
      </w:r>
    </w:p>
    <w:p w14:paraId="042C55F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f.</w:t>
      </w:r>
      <w:r>
        <w:rPr>
          <w:rFonts w:hint="eastAsia" w:ascii="宋体" w:hAnsi="宋体" w:eastAsia="宋体" w:cs="宋体"/>
          <w:sz w:val="24"/>
          <w:szCs w:val="24"/>
        </w:rPr>
        <w:t>每天擦拭宣传栏、橱窗、消防箱等公共物品，要求无积灰，无张贴物。</w:t>
      </w:r>
    </w:p>
    <w:p w14:paraId="109D79E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g.</w:t>
      </w:r>
      <w:r>
        <w:rPr>
          <w:rFonts w:hint="eastAsia" w:ascii="宋体" w:hAnsi="宋体" w:eastAsia="宋体" w:cs="宋体"/>
          <w:sz w:val="24"/>
          <w:szCs w:val="24"/>
        </w:rPr>
        <w:t>走廊、过道、天花板等处无蜘蛛网，无积灰。</w:t>
      </w:r>
    </w:p>
    <w:p w14:paraId="53EE8E1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h.</w:t>
      </w:r>
      <w:r>
        <w:rPr>
          <w:rFonts w:hint="eastAsia" w:ascii="宋体" w:hAnsi="宋体" w:eastAsia="宋体" w:cs="宋体"/>
          <w:sz w:val="24"/>
          <w:szCs w:val="24"/>
        </w:rPr>
        <w:t>屋顶无杂物，无积水，干净整洁。</w:t>
      </w:r>
    </w:p>
    <w:p w14:paraId="1696445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i.</w:t>
      </w:r>
      <w:r>
        <w:rPr>
          <w:rFonts w:hint="eastAsia" w:ascii="宋体" w:hAnsi="宋体" w:eastAsia="宋体" w:cs="宋体"/>
          <w:sz w:val="24"/>
          <w:szCs w:val="24"/>
        </w:rPr>
        <w:t>公共出入口、大门及墙壁上无张贴物，无灰尘。</w:t>
      </w:r>
    </w:p>
    <w:p w14:paraId="1F5BC09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j.</w:t>
      </w:r>
      <w:r>
        <w:rPr>
          <w:rFonts w:hint="eastAsia" w:ascii="宋体" w:hAnsi="宋体" w:eastAsia="宋体" w:cs="宋体"/>
          <w:sz w:val="24"/>
          <w:szCs w:val="24"/>
        </w:rPr>
        <w:t>协助采购人做好宿舍的调整、搬迁工作，2天内对空置的宿舍进行全面清扫和消毒工作（毕业离校时7天内清理完）。</w:t>
      </w:r>
    </w:p>
    <w:p w14:paraId="27E19DA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k.</w:t>
      </w:r>
      <w:r>
        <w:rPr>
          <w:rFonts w:hint="eastAsia" w:ascii="宋体" w:hAnsi="宋体" w:eastAsia="宋体" w:cs="宋体"/>
          <w:sz w:val="24"/>
          <w:szCs w:val="24"/>
        </w:rPr>
        <w:t>宿舍区不准存放所收集的废品。</w:t>
      </w:r>
    </w:p>
    <w:p w14:paraId="6C9E4A5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l.</w:t>
      </w:r>
      <w:r>
        <w:rPr>
          <w:rFonts w:hint="eastAsia" w:ascii="宋体" w:hAnsi="宋体" w:eastAsia="宋体" w:cs="宋体"/>
          <w:sz w:val="24"/>
          <w:szCs w:val="24"/>
        </w:rPr>
        <w:t>大厅、楼梯窗户要求通透，无张贴物、无灰尘。</w:t>
      </w:r>
    </w:p>
    <w:p w14:paraId="0FC500A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m.</w:t>
      </w:r>
      <w:r>
        <w:rPr>
          <w:rFonts w:hint="eastAsia" w:ascii="宋体" w:hAnsi="宋体" w:eastAsia="宋体" w:cs="宋体"/>
          <w:sz w:val="24"/>
          <w:szCs w:val="24"/>
        </w:rPr>
        <w:t>完成采购人安排的</w:t>
      </w:r>
      <w:r>
        <w:rPr>
          <w:rFonts w:hint="eastAsia" w:ascii="宋体" w:hAnsi="宋体" w:eastAsia="宋体" w:cs="宋体"/>
          <w:sz w:val="24"/>
          <w:szCs w:val="24"/>
          <w:lang w:eastAsia="zh-CN"/>
        </w:rPr>
        <w:t>其他</w:t>
      </w:r>
      <w:r>
        <w:rPr>
          <w:rFonts w:hint="eastAsia" w:ascii="宋体" w:hAnsi="宋体" w:eastAsia="宋体" w:cs="宋体"/>
          <w:sz w:val="24"/>
          <w:szCs w:val="24"/>
        </w:rPr>
        <w:t>保洁工作。</w:t>
      </w:r>
    </w:p>
    <w:p w14:paraId="6793804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rPr>
      </w:pPr>
      <w:r>
        <w:rPr>
          <w:rFonts w:hint="eastAsia" w:ascii="宋体" w:hAnsi="宋体" w:eastAsia="宋体" w:cs="宋体"/>
          <w:b w:val="0"/>
          <w:bCs/>
          <w:sz w:val="24"/>
          <w:szCs w:val="24"/>
          <w:lang w:eastAsia="zh-CN"/>
        </w:rPr>
        <w:t>（</w:t>
      </w:r>
      <w:r>
        <w:rPr>
          <w:rFonts w:hint="eastAsia" w:ascii="宋体" w:hAnsi="宋体" w:eastAsia="宋体" w:cs="宋体"/>
          <w:b w:val="0"/>
          <w:bCs/>
          <w:sz w:val="24"/>
          <w:szCs w:val="24"/>
        </w:rPr>
        <w:t>2</w:t>
      </w:r>
      <w:r>
        <w:rPr>
          <w:rFonts w:hint="eastAsia" w:ascii="宋体" w:hAnsi="宋体" w:eastAsia="宋体" w:cs="宋体"/>
          <w:b w:val="0"/>
          <w:bCs/>
          <w:sz w:val="24"/>
          <w:szCs w:val="24"/>
          <w:lang w:eastAsia="zh-CN"/>
        </w:rPr>
        <w:t>）</w:t>
      </w:r>
      <w:r>
        <w:rPr>
          <w:rFonts w:hint="eastAsia" w:ascii="宋体" w:hAnsi="宋体" w:eastAsia="宋体" w:cs="宋体"/>
          <w:b w:val="0"/>
          <w:bCs/>
          <w:sz w:val="24"/>
          <w:szCs w:val="24"/>
        </w:rPr>
        <w:t>教学楼、行政办公楼保洁工作服务要求</w:t>
      </w:r>
    </w:p>
    <w:tbl>
      <w:tblPr>
        <w:tblStyle w:val="15"/>
        <w:tblW w:w="84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16"/>
        <w:gridCol w:w="1212"/>
        <w:gridCol w:w="2757"/>
        <w:gridCol w:w="3881"/>
      </w:tblGrid>
      <w:tr w14:paraId="462FC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blHeader/>
          <w:jc w:val="center"/>
        </w:trPr>
        <w:tc>
          <w:tcPr>
            <w:tcW w:w="616" w:type="dxa"/>
            <w:noWrap w:val="0"/>
            <w:vAlign w:val="center"/>
          </w:tcPr>
          <w:p w14:paraId="2F83660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级别</w:t>
            </w:r>
          </w:p>
        </w:tc>
        <w:tc>
          <w:tcPr>
            <w:tcW w:w="1212" w:type="dxa"/>
            <w:noWrap w:val="0"/>
            <w:vAlign w:val="center"/>
          </w:tcPr>
          <w:p w14:paraId="3ABF5B1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项目</w:t>
            </w:r>
          </w:p>
        </w:tc>
        <w:tc>
          <w:tcPr>
            <w:tcW w:w="2757" w:type="dxa"/>
            <w:noWrap w:val="0"/>
            <w:vAlign w:val="center"/>
          </w:tcPr>
          <w:p w14:paraId="4F1F342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工作要求</w:t>
            </w:r>
          </w:p>
        </w:tc>
        <w:tc>
          <w:tcPr>
            <w:tcW w:w="3881" w:type="dxa"/>
            <w:noWrap w:val="0"/>
            <w:vAlign w:val="center"/>
          </w:tcPr>
          <w:p w14:paraId="03B30BF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质量标准</w:t>
            </w:r>
          </w:p>
        </w:tc>
      </w:tr>
      <w:tr w14:paraId="1976C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19B6D15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212" w:type="dxa"/>
            <w:noWrap w:val="0"/>
            <w:vAlign w:val="center"/>
          </w:tcPr>
          <w:p w14:paraId="4D205E6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大厅</w:t>
            </w:r>
          </w:p>
        </w:tc>
        <w:tc>
          <w:tcPr>
            <w:tcW w:w="2757" w:type="dxa"/>
            <w:noWrap w:val="0"/>
            <w:vAlign w:val="center"/>
          </w:tcPr>
          <w:p w14:paraId="1E4233D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每天上午一拖（有特殊情况或雨天、南风天时，上、下午各一拖）。</w:t>
            </w:r>
          </w:p>
        </w:tc>
        <w:tc>
          <w:tcPr>
            <w:tcW w:w="3881" w:type="dxa"/>
            <w:noWrap w:val="0"/>
            <w:vAlign w:val="center"/>
          </w:tcPr>
          <w:p w14:paraId="096DC3C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地面光洁有亮泽，无明显灰尘、脚印，无痰迹无口香糖等污迹，无积水无杂物。</w:t>
            </w:r>
          </w:p>
        </w:tc>
      </w:tr>
      <w:tr w14:paraId="39F5B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7FD806B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212" w:type="dxa"/>
            <w:noWrap w:val="0"/>
            <w:vAlign w:val="center"/>
          </w:tcPr>
          <w:p w14:paraId="6E2F1DD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卫生间</w:t>
            </w:r>
          </w:p>
        </w:tc>
        <w:tc>
          <w:tcPr>
            <w:tcW w:w="2757" w:type="dxa"/>
            <w:noWrap w:val="0"/>
            <w:vAlign w:val="center"/>
          </w:tcPr>
          <w:p w14:paraId="61FE0F2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每天上午、下午各一次重点冲洗，另各两次简单冲洗。</w:t>
            </w:r>
          </w:p>
        </w:tc>
        <w:tc>
          <w:tcPr>
            <w:tcW w:w="3881" w:type="dxa"/>
            <w:noWrap w:val="0"/>
            <w:vAlign w:val="center"/>
          </w:tcPr>
          <w:p w14:paraId="4EBE47F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无异味，地面干燥、洁净，蹲位、小便池没有便迹、尿垢，无粪便堆积。</w:t>
            </w:r>
          </w:p>
        </w:tc>
      </w:tr>
      <w:tr w14:paraId="6771F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4127D0B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212" w:type="dxa"/>
            <w:noWrap w:val="0"/>
            <w:vAlign w:val="center"/>
          </w:tcPr>
          <w:p w14:paraId="4120960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洗手池</w:t>
            </w:r>
          </w:p>
        </w:tc>
        <w:tc>
          <w:tcPr>
            <w:tcW w:w="2757" w:type="dxa"/>
            <w:noWrap w:val="0"/>
            <w:vAlign w:val="center"/>
          </w:tcPr>
          <w:p w14:paraId="3B92695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每天上下午各清洁一次。</w:t>
            </w:r>
          </w:p>
        </w:tc>
        <w:tc>
          <w:tcPr>
            <w:tcW w:w="3881" w:type="dxa"/>
            <w:noWrap w:val="0"/>
            <w:vAlign w:val="center"/>
          </w:tcPr>
          <w:p w14:paraId="2BAC25A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台面干燥、洁净；池内没有污垢、杂物；台底部干净，无污垢、无杂物；镜面明亮、无水迹。</w:t>
            </w:r>
          </w:p>
        </w:tc>
      </w:tr>
      <w:tr w14:paraId="2C42E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52A9633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212" w:type="dxa"/>
            <w:noWrap w:val="0"/>
            <w:vAlign w:val="center"/>
          </w:tcPr>
          <w:p w14:paraId="6A53BD7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隔断顶</w:t>
            </w:r>
          </w:p>
        </w:tc>
        <w:tc>
          <w:tcPr>
            <w:tcW w:w="2757" w:type="dxa"/>
            <w:noWrap w:val="0"/>
            <w:vAlign w:val="center"/>
          </w:tcPr>
          <w:p w14:paraId="7685664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每天一擦。</w:t>
            </w:r>
          </w:p>
        </w:tc>
        <w:tc>
          <w:tcPr>
            <w:tcW w:w="3881" w:type="dxa"/>
            <w:noWrap w:val="0"/>
            <w:vAlign w:val="center"/>
          </w:tcPr>
          <w:p w14:paraId="63A2D05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光洁、无灰迹。</w:t>
            </w:r>
          </w:p>
        </w:tc>
      </w:tr>
      <w:tr w14:paraId="4F5E9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2152D11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212" w:type="dxa"/>
            <w:noWrap w:val="0"/>
            <w:vAlign w:val="center"/>
          </w:tcPr>
          <w:p w14:paraId="4AC7271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主楼梯</w:t>
            </w:r>
          </w:p>
        </w:tc>
        <w:tc>
          <w:tcPr>
            <w:tcW w:w="2757" w:type="dxa"/>
            <w:noWrap w:val="0"/>
            <w:vAlign w:val="center"/>
          </w:tcPr>
          <w:p w14:paraId="0068122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每天一扫一拖。</w:t>
            </w:r>
          </w:p>
        </w:tc>
        <w:tc>
          <w:tcPr>
            <w:tcW w:w="3881" w:type="dxa"/>
            <w:noWrap w:val="0"/>
            <w:vAlign w:val="center"/>
          </w:tcPr>
          <w:p w14:paraId="2DA3D9D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无明显尘土、泥沙、脚印、积水；无痰迹和口香糖；墙面无污迹、脚印。</w:t>
            </w:r>
          </w:p>
        </w:tc>
      </w:tr>
      <w:tr w14:paraId="5E4F3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6122AD1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212" w:type="dxa"/>
            <w:noWrap w:val="0"/>
            <w:vAlign w:val="center"/>
          </w:tcPr>
          <w:p w14:paraId="4135784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过道</w:t>
            </w:r>
          </w:p>
        </w:tc>
        <w:tc>
          <w:tcPr>
            <w:tcW w:w="2757" w:type="dxa"/>
            <w:noWrap w:val="0"/>
            <w:vAlign w:val="center"/>
          </w:tcPr>
          <w:p w14:paraId="7087E29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每天上午一拖。</w:t>
            </w:r>
          </w:p>
        </w:tc>
        <w:tc>
          <w:tcPr>
            <w:tcW w:w="3881" w:type="dxa"/>
            <w:noWrap w:val="0"/>
            <w:vAlign w:val="center"/>
          </w:tcPr>
          <w:p w14:paraId="299207A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地面光洁；无明显尘土、泥沙、脚印、积水；无痰迹和口香糖；无杂物。</w:t>
            </w:r>
          </w:p>
        </w:tc>
      </w:tr>
      <w:tr w14:paraId="25362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77B9F56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212" w:type="dxa"/>
            <w:noWrap w:val="0"/>
            <w:vAlign w:val="center"/>
          </w:tcPr>
          <w:p w14:paraId="5F630F4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小型办公室</w:t>
            </w:r>
          </w:p>
        </w:tc>
        <w:tc>
          <w:tcPr>
            <w:tcW w:w="2757" w:type="dxa"/>
            <w:noWrap w:val="0"/>
            <w:vAlign w:val="center"/>
          </w:tcPr>
          <w:p w14:paraId="52D196D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每天上午清洁一次。</w:t>
            </w:r>
          </w:p>
        </w:tc>
        <w:tc>
          <w:tcPr>
            <w:tcW w:w="3881" w:type="dxa"/>
            <w:noWrap w:val="0"/>
            <w:vAlign w:val="center"/>
          </w:tcPr>
          <w:p w14:paraId="2AB5352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地面光洁；桌面干净，无灰尘；垃圾桶清理干净。</w:t>
            </w:r>
          </w:p>
        </w:tc>
      </w:tr>
      <w:tr w14:paraId="0999A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24EC340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212" w:type="dxa"/>
            <w:noWrap w:val="0"/>
            <w:vAlign w:val="center"/>
          </w:tcPr>
          <w:p w14:paraId="6D484AE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小会议室</w:t>
            </w:r>
          </w:p>
        </w:tc>
        <w:tc>
          <w:tcPr>
            <w:tcW w:w="2757" w:type="dxa"/>
            <w:noWrap w:val="0"/>
            <w:vAlign w:val="center"/>
          </w:tcPr>
          <w:p w14:paraId="37189F1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每天上午清洁一次。</w:t>
            </w:r>
          </w:p>
        </w:tc>
        <w:tc>
          <w:tcPr>
            <w:tcW w:w="3881" w:type="dxa"/>
            <w:noWrap w:val="0"/>
            <w:vAlign w:val="center"/>
          </w:tcPr>
          <w:p w14:paraId="69472C3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地面光洁；桌面干净，无灰尘；垃圾桶清理干净；接待茶具清洗干净。</w:t>
            </w:r>
          </w:p>
        </w:tc>
      </w:tr>
      <w:tr w14:paraId="2EC6C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4A4E0BF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212" w:type="dxa"/>
            <w:noWrap w:val="0"/>
            <w:vAlign w:val="center"/>
          </w:tcPr>
          <w:p w14:paraId="748D088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纸篓、茶叶桶</w:t>
            </w:r>
          </w:p>
        </w:tc>
        <w:tc>
          <w:tcPr>
            <w:tcW w:w="2757" w:type="dxa"/>
            <w:noWrap w:val="0"/>
            <w:vAlign w:val="center"/>
          </w:tcPr>
          <w:p w14:paraId="387773C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每天上午、下午各一次清理。</w:t>
            </w:r>
          </w:p>
        </w:tc>
        <w:tc>
          <w:tcPr>
            <w:tcW w:w="3881" w:type="dxa"/>
            <w:noWrap w:val="0"/>
            <w:vAlign w:val="center"/>
          </w:tcPr>
          <w:p w14:paraId="2E72DEC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纸篓干净、茶叶桶篮内不堆积过多茶叶。</w:t>
            </w:r>
          </w:p>
        </w:tc>
      </w:tr>
      <w:tr w14:paraId="05B7E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52E708A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212" w:type="dxa"/>
            <w:noWrap w:val="0"/>
            <w:vAlign w:val="center"/>
          </w:tcPr>
          <w:p w14:paraId="4FF3BB4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桶装垃圾</w:t>
            </w:r>
          </w:p>
        </w:tc>
        <w:tc>
          <w:tcPr>
            <w:tcW w:w="2757" w:type="dxa"/>
            <w:noWrap w:val="0"/>
            <w:vAlign w:val="center"/>
          </w:tcPr>
          <w:p w14:paraId="43A18BC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每天一倒或两倒。</w:t>
            </w:r>
          </w:p>
        </w:tc>
        <w:tc>
          <w:tcPr>
            <w:tcW w:w="3881" w:type="dxa"/>
            <w:noWrap w:val="0"/>
            <w:vAlign w:val="center"/>
          </w:tcPr>
          <w:p w14:paraId="181E27C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垃圾不过夜，无异味。</w:t>
            </w:r>
          </w:p>
        </w:tc>
      </w:tr>
      <w:tr w14:paraId="27A71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2A4BF0F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二级</w:t>
            </w:r>
          </w:p>
        </w:tc>
        <w:tc>
          <w:tcPr>
            <w:tcW w:w="1212" w:type="dxa"/>
            <w:noWrap w:val="0"/>
            <w:vAlign w:val="center"/>
          </w:tcPr>
          <w:p w14:paraId="4243BF0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次楼梯</w:t>
            </w:r>
          </w:p>
        </w:tc>
        <w:tc>
          <w:tcPr>
            <w:tcW w:w="2757" w:type="dxa"/>
            <w:noWrap w:val="0"/>
            <w:vAlign w:val="center"/>
          </w:tcPr>
          <w:p w14:paraId="3CCF1A5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每天一扫；每隔一至两天拖一次。</w:t>
            </w:r>
          </w:p>
        </w:tc>
        <w:tc>
          <w:tcPr>
            <w:tcW w:w="3881" w:type="dxa"/>
            <w:noWrap w:val="0"/>
            <w:vAlign w:val="center"/>
          </w:tcPr>
          <w:p w14:paraId="4E89EC4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无明显尘土、泥沙、脚印、积水；无痰迹和口香糖；墙面无污迹、脚印。</w:t>
            </w:r>
          </w:p>
        </w:tc>
      </w:tr>
      <w:tr w14:paraId="6AD79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5B65EC3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二级</w:t>
            </w:r>
          </w:p>
        </w:tc>
        <w:tc>
          <w:tcPr>
            <w:tcW w:w="1212" w:type="dxa"/>
            <w:noWrap w:val="0"/>
            <w:vAlign w:val="center"/>
          </w:tcPr>
          <w:p w14:paraId="212EDB3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大厅立柱、</w:t>
            </w:r>
            <w:r>
              <w:rPr>
                <w:rFonts w:hint="eastAsia" w:ascii="宋体" w:hAnsi="宋体" w:eastAsia="宋体" w:cs="宋体"/>
                <w:sz w:val="24"/>
                <w:szCs w:val="24"/>
                <w:lang w:eastAsia="zh-CN"/>
              </w:rPr>
              <w:t>标识牌</w:t>
            </w:r>
          </w:p>
        </w:tc>
        <w:tc>
          <w:tcPr>
            <w:tcW w:w="2757" w:type="dxa"/>
            <w:noWrap w:val="0"/>
            <w:vAlign w:val="center"/>
          </w:tcPr>
          <w:p w14:paraId="37913A5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每隔一天擦一次。</w:t>
            </w:r>
          </w:p>
        </w:tc>
        <w:tc>
          <w:tcPr>
            <w:tcW w:w="3881" w:type="dxa"/>
            <w:noWrap w:val="0"/>
            <w:vAlign w:val="center"/>
          </w:tcPr>
          <w:p w14:paraId="4A842EB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干净、无尘，无胶纸印，无广告纸。</w:t>
            </w:r>
          </w:p>
        </w:tc>
      </w:tr>
      <w:tr w14:paraId="66267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17F1CFB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二级</w:t>
            </w:r>
          </w:p>
        </w:tc>
        <w:tc>
          <w:tcPr>
            <w:tcW w:w="1212" w:type="dxa"/>
            <w:noWrap w:val="0"/>
            <w:vAlign w:val="center"/>
          </w:tcPr>
          <w:p w14:paraId="68DDD7F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大厅玻璃门</w:t>
            </w:r>
          </w:p>
        </w:tc>
        <w:tc>
          <w:tcPr>
            <w:tcW w:w="2757" w:type="dxa"/>
            <w:noWrap w:val="0"/>
            <w:vAlign w:val="center"/>
          </w:tcPr>
          <w:p w14:paraId="476169D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每隔一天擦一次。</w:t>
            </w:r>
          </w:p>
        </w:tc>
        <w:tc>
          <w:tcPr>
            <w:tcW w:w="3881" w:type="dxa"/>
            <w:noWrap w:val="0"/>
            <w:vAlign w:val="center"/>
          </w:tcPr>
          <w:p w14:paraId="35FE985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玻璃面明亮，无水印；门顶无灰；门拉手洁净；门轴处没有油垢。</w:t>
            </w:r>
          </w:p>
        </w:tc>
      </w:tr>
      <w:tr w14:paraId="35A68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5D69FBC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二级</w:t>
            </w:r>
          </w:p>
        </w:tc>
        <w:tc>
          <w:tcPr>
            <w:tcW w:w="1212" w:type="dxa"/>
            <w:noWrap w:val="0"/>
            <w:vAlign w:val="center"/>
          </w:tcPr>
          <w:p w14:paraId="05EF175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栏杆扶手</w:t>
            </w:r>
          </w:p>
        </w:tc>
        <w:tc>
          <w:tcPr>
            <w:tcW w:w="2757" w:type="dxa"/>
            <w:noWrap w:val="0"/>
            <w:vAlign w:val="center"/>
          </w:tcPr>
          <w:p w14:paraId="44F8DC0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隔一天一次，每周三次。</w:t>
            </w:r>
          </w:p>
        </w:tc>
        <w:tc>
          <w:tcPr>
            <w:tcW w:w="3881" w:type="dxa"/>
            <w:noWrap w:val="0"/>
            <w:vAlign w:val="center"/>
          </w:tcPr>
          <w:p w14:paraId="101D274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无灰，无污水印，无蜘蛛网。</w:t>
            </w:r>
          </w:p>
        </w:tc>
      </w:tr>
      <w:tr w14:paraId="16138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09FE7EE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二级</w:t>
            </w:r>
          </w:p>
        </w:tc>
        <w:tc>
          <w:tcPr>
            <w:tcW w:w="1212" w:type="dxa"/>
            <w:noWrap w:val="0"/>
            <w:vAlign w:val="center"/>
          </w:tcPr>
          <w:p w14:paraId="28B10B9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大台阶</w:t>
            </w:r>
          </w:p>
        </w:tc>
        <w:tc>
          <w:tcPr>
            <w:tcW w:w="2757" w:type="dxa"/>
            <w:noWrap w:val="0"/>
            <w:vAlign w:val="center"/>
          </w:tcPr>
          <w:p w14:paraId="48D22F8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隔一天清扫一次（主要位置一天一次，一周须拖两次）。</w:t>
            </w:r>
          </w:p>
        </w:tc>
        <w:tc>
          <w:tcPr>
            <w:tcW w:w="3881" w:type="dxa"/>
            <w:noWrap w:val="0"/>
            <w:vAlign w:val="center"/>
          </w:tcPr>
          <w:p w14:paraId="0216F10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干净无泥沙，无杂物。</w:t>
            </w:r>
          </w:p>
        </w:tc>
      </w:tr>
      <w:tr w14:paraId="18D8E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3BACC89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二级</w:t>
            </w:r>
          </w:p>
        </w:tc>
        <w:tc>
          <w:tcPr>
            <w:tcW w:w="1212" w:type="dxa"/>
            <w:noWrap w:val="0"/>
            <w:vAlign w:val="center"/>
          </w:tcPr>
          <w:p w14:paraId="314F3AD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调速器、开关板</w:t>
            </w:r>
          </w:p>
        </w:tc>
        <w:tc>
          <w:tcPr>
            <w:tcW w:w="2757" w:type="dxa"/>
            <w:noWrap w:val="0"/>
            <w:vAlign w:val="center"/>
          </w:tcPr>
          <w:p w14:paraId="62CFFC4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隔一天擦一次。</w:t>
            </w:r>
          </w:p>
        </w:tc>
        <w:tc>
          <w:tcPr>
            <w:tcW w:w="3881" w:type="dxa"/>
            <w:noWrap w:val="0"/>
            <w:vAlign w:val="center"/>
          </w:tcPr>
          <w:p w14:paraId="7A07400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干净无灰尘。</w:t>
            </w:r>
          </w:p>
        </w:tc>
      </w:tr>
      <w:tr w14:paraId="6049D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193402C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4064664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蹲位供水管</w:t>
            </w:r>
          </w:p>
        </w:tc>
        <w:tc>
          <w:tcPr>
            <w:tcW w:w="2757" w:type="dxa"/>
            <w:noWrap w:val="0"/>
            <w:vAlign w:val="center"/>
          </w:tcPr>
          <w:p w14:paraId="4F45CAB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每周二次。</w:t>
            </w:r>
          </w:p>
        </w:tc>
        <w:tc>
          <w:tcPr>
            <w:tcW w:w="3881" w:type="dxa"/>
            <w:noWrap w:val="0"/>
            <w:vAlign w:val="center"/>
          </w:tcPr>
          <w:p w14:paraId="3EEE481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干净无灰，无蜘蛛网。</w:t>
            </w:r>
          </w:p>
        </w:tc>
      </w:tr>
      <w:tr w14:paraId="4F2C1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0E1F05C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7EE3831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小便斗内外</w:t>
            </w:r>
          </w:p>
        </w:tc>
        <w:tc>
          <w:tcPr>
            <w:tcW w:w="2757" w:type="dxa"/>
            <w:noWrap w:val="0"/>
            <w:vAlign w:val="center"/>
          </w:tcPr>
          <w:p w14:paraId="17F0B8A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每周二次。</w:t>
            </w:r>
          </w:p>
        </w:tc>
        <w:tc>
          <w:tcPr>
            <w:tcW w:w="3881" w:type="dxa"/>
            <w:noWrap w:val="0"/>
            <w:vAlign w:val="center"/>
          </w:tcPr>
          <w:p w14:paraId="2158C07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干净无灰迹，无尿迹污垢，无蜘蛛网。</w:t>
            </w:r>
          </w:p>
        </w:tc>
      </w:tr>
      <w:tr w14:paraId="52CF7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4ED7033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694A4F7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卫生间窗</w:t>
            </w:r>
          </w:p>
        </w:tc>
        <w:tc>
          <w:tcPr>
            <w:tcW w:w="2757" w:type="dxa"/>
            <w:noWrap w:val="0"/>
            <w:vAlign w:val="center"/>
          </w:tcPr>
          <w:p w14:paraId="7E1E0FB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每周二次。</w:t>
            </w:r>
          </w:p>
        </w:tc>
        <w:tc>
          <w:tcPr>
            <w:tcW w:w="3881" w:type="dxa"/>
            <w:noWrap w:val="0"/>
            <w:vAlign w:val="center"/>
          </w:tcPr>
          <w:p w14:paraId="062C817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干净无灰，无蜘蛛网。</w:t>
            </w:r>
          </w:p>
        </w:tc>
      </w:tr>
      <w:tr w14:paraId="2264E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28DC197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60BCAF1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洗拖把池</w:t>
            </w:r>
          </w:p>
        </w:tc>
        <w:tc>
          <w:tcPr>
            <w:tcW w:w="2757" w:type="dxa"/>
            <w:noWrap w:val="0"/>
            <w:vAlign w:val="center"/>
          </w:tcPr>
          <w:p w14:paraId="4B50E4D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外壁每周二次，内壁每天一次。</w:t>
            </w:r>
          </w:p>
        </w:tc>
        <w:tc>
          <w:tcPr>
            <w:tcW w:w="3881" w:type="dxa"/>
            <w:noWrap w:val="0"/>
            <w:vAlign w:val="center"/>
          </w:tcPr>
          <w:p w14:paraId="29BAF15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池内、外壁干净无污迹；池内无杂物无堵塞。</w:t>
            </w:r>
          </w:p>
        </w:tc>
      </w:tr>
      <w:tr w14:paraId="32E21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2987A65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4379654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消火栓、灭火器箱</w:t>
            </w:r>
          </w:p>
        </w:tc>
        <w:tc>
          <w:tcPr>
            <w:tcW w:w="2757" w:type="dxa"/>
            <w:noWrap w:val="0"/>
            <w:vAlign w:val="center"/>
          </w:tcPr>
          <w:p w14:paraId="63D03F8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每周二次。</w:t>
            </w:r>
          </w:p>
        </w:tc>
        <w:tc>
          <w:tcPr>
            <w:tcW w:w="3881" w:type="dxa"/>
            <w:noWrap w:val="0"/>
            <w:vAlign w:val="center"/>
          </w:tcPr>
          <w:p w14:paraId="71FC661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消火栓四周无灰，门表面、灭火器箱平面无灰。</w:t>
            </w:r>
          </w:p>
        </w:tc>
      </w:tr>
      <w:tr w14:paraId="5C4C3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6503E2C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472301E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通道、屋面</w:t>
            </w:r>
          </w:p>
        </w:tc>
        <w:tc>
          <w:tcPr>
            <w:tcW w:w="2757" w:type="dxa"/>
            <w:noWrap w:val="0"/>
            <w:vAlign w:val="center"/>
          </w:tcPr>
          <w:p w14:paraId="2D1670E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每周二次。</w:t>
            </w:r>
          </w:p>
        </w:tc>
        <w:tc>
          <w:tcPr>
            <w:tcW w:w="3881" w:type="dxa"/>
            <w:noWrap w:val="0"/>
            <w:vAlign w:val="center"/>
          </w:tcPr>
          <w:p w14:paraId="2E15D35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地面干净无杂物，无积水，排水孔四周无杂物不堵塞；天棚无蜘蛛网。</w:t>
            </w:r>
          </w:p>
        </w:tc>
      </w:tr>
      <w:tr w14:paraId="03529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772481D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3EE1F17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车库</w:t>
            </w:r>
          </w:p>
        </w:tc>
        <w:tc>
          <w:tcPr>
            <w:tcW w:w="2757" w:type="dxa"/>
            <w:noWrap w:val="0"/>
            <w:vAlign w:val="center"/>
          </w:tcPr>
          <w:p w14:paraId="0CA02BF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每周二次。</w:t>
            </w:r>
          </w:p>
        </w:tc>
        <w:tc>
          <w:tcPr>
            <w:tcW w:w="3881" w:type="dxa"/>
            <w:noWrap w:val="0"/>
            <w:vAlign w:val="center"/>
          </w:tcPr>
          <w:p w14:paraId="0E3E2FB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地面干净无杂物，无积水，天棚无蜘蛛网。</w:t>
            </w:r>
          </w:p>
        </w:tc>
      </w:tr>
      <w:tr w14:paraId="59745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0F14C85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28ED2D1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天棚</w:t>
            </w:r>
          </w:p>
        </w:tc>
        <w:tc>
          <w:tcPr>
            <w:tcW w:w="2757" w:type="dxa"/>
            <w:noWrap w:val="0"/>
            <w:vAlign w:val="center"/>
          </w:tcPr>
          <w:p w14:paraId="786FFA8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每周一次，季节性增加次数。</w:t>
            </w:r>
          </w:p>
        </w:tc>
        <w:tc>
          <w:tcPr>
            <w:tcW w:w="3881" w:type="dxa"/>
            <w:noWrap w:val="0"/>
            <w:vAlign w:val="center"/>
          </w:tcPr>
          <w:p w14:paraId="0F8EBCD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楼栋内各处无蜘蛛网。</w:t>
            </w:r>
          </w:p>
        </w:tc>
      </w:tr>
      <w:tr w14:paraId="09DD7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0B357DD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3C61194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过道、楼梯墙面</w:t>
            </w:r>
          </w:p>
        </w:tc>
        <w:tc>
          <w:tcPr>
            <w:tcW w:w="2757" w:type="dxa"/>
            <w:noWrap w:val="0"/>
            <w:vAlign w:val="center"/>
          </w:tcPr>
          <w:p w14:paraId="24E0CF1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每周二次。</w:t>
            </w:r>
          </w:p>
        </w:tc>
        <w:tc>
          <w:tcPr>
            <w:tcW w:w="3881" w:type="dxa"/>
            <w:noWrap w:val="0"/>
            <w:vAlign w:val="center"/>
          </w:tcPr>
          <w:p w14:paraId="74DA3CB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无污迹、无脚印。</w:t>
            </w:r>
          </w:p>
        </w:tc>
      </w:tr>
      <w:tr w14:paraId="4A378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3B1CE7F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0A780A8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玻璃墙</w:t>
            </w:r>
          </w:p>
        </w:tc>
        <w:tc>
          <w:tcPr>
            <w:tcW w:w="2757" w:type="dxa"/>
            <w:noWrap w:val="0"/>
            <w:vAlign w:val="center"/>
          </w:tcPr>
          <w:p w14:paraId="49B598D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44F64AD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干净、明亮，无手印、无污水迹，无广告纸、胶贴印。</w:t>
            </w:r>
          </w:p>
        </w:tc>
      </w:tr>
      <w:tr w14:paraId="43BCF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0FB8D2D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24BDF59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推拉门、教室门、梯间门、办公室门</w:t>
            </w:r>
          </w:p>
        </w:tc>
        <w:tc>
          <w:tcPr>
            <w:tcW w:w="2757" w:type="dxa"/>
            <w:noWrap w:val="0"/>
            <w:vAlign w:val="center"/>
          </w:tcPr>
          <w:p w14:paraId="19EC57E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0EF5F5A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干净无灰尘，无蜘蛛网、无粉笔等字迹，无广告纸粘贴。</w:t>
            </w:r>
          </w:p>
        </w:tc>
      </w:tr>
      <w:tr w14:paraId="3BF77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54225E9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76A8ED3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信报箱、门牌、宣传栏板、玻璃面</w:t>
            </w:r>
          </w:p>
        </w:tc>
        <w:tc>
          <w:tcPr>
            <w:tcW w:w="2757" w:type="dxa"/>
            <w:noWrap w:val="0"/>
            <w:vAlign w:val="center"/>
          </w:tcPr>
          <w:p w14:paraId="383E339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05438ED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干净无灰尘，玻璃面干净、明亮无</w:t>
            </w:r>
            <w:r>
              <w:rPr>
                <w:rFonts w:hint="eastAsia" w:ascii="宋体" w:hAnsi="宋体" w:eastAsia="宋体" w:cs="宋体"/>
                <w:sz w:val="24"/>
                <w:szCs w:val="24"/>
                <w:lang w:eastAsia="zh-CN"/>
              </w:rPr>
              <w:t>污</w:t>
            </w:r>
            <w:r>
              <w:rPr>
                <w:rFonts w:hint="eastAsia" w:ascii="宋体" w:hAnsi="宋体" w:eastAsia="宋体" w:cs="宋体"/>
                <w:sz w:val="24"/>
                <w:szCs w:val="24"/>
              </w:rPr>
              <w:t>迹和手印，无蜘蛛网。</w:t>
            </w:r>
          </w:p>
        </w:tc>
      </w:tr>
      <w:tr w14:paraId="1C1E3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63778C8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43944E2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蹲位门、塑钢门</w:t>
            </w:r>
          </w:p>
        </w:tc>
        <w:tc>
          <w:tcPr>
            <w:tcW w:w="2757" w:type="dxa"/>
            <w:noWrap w:val="0"/>
            <w:vAlign w:val="center"/>
          </w:tcPr>
          <w:p w14:paraId="0FD7397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34BD1F5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干净无灰尘，无广告纸，无字迹，无蜘蛛网。</w:t>
            </w:r>
          </w:p>
        </w:tc>
      </w:tr>
      <w:tr w14:paraId="70665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005AC24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604C787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大厅</w:t>
            </w:r>
            <w:r>
              <w:rPr>
                <w:rFonts w:hint="eastAsia" w:ascii="宋体" w:hAnsi="宋体" w:eastAsia="宋体" w:cs="宋体"/>
                <w:sz w:val="24"/>
                <w:szCs w:val="24"/>
                <w:lang w:eastAsia="zh-CN"/>
              </w:rPr>
              <w:t>瓷砖</w:t>
            </w:r>
            <w:r>
              <w:rPr>
                <w:rFonts w:hint="eastAsia" w:ascii="宋体" w:hAnsi="宋体" w:eastAsia="宋体" w:cs="宋体"/>
                <w:sz w:val="24"/>
                <w:szCs w:val="24"/>
              </w:rPr>
              <w:t>面</w:t>
            </w:r>
          </w:p>
        </w:tc>
        <w:tc>
          <w:tcPr>
            <w:tcW w:w="2757" w:type="dxa"/>
            <w:noWrap w:val="0"/>
            <w:vAlign w:val="center"/>
          </w:tcPr>
          <w:p w14:paraId="33CB8CE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0082205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干净无明显灰尘，无蜘蛛网。</w:t>
            </w:r>
          </w:p>
        </w:tc>
      </w:tr>
      <w:tr w14:paraId="3144B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1D8FC16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6F19E47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卫生间</w:t>
            </w:r>
            <w:r>
              <w:rPr>
                <w:rFonts w:hint="eastAsia" w:ascii="宋体" w:hAnsi="宋体" w:eastAsia="宋体" w:cs="宋体"/>
                <w:sz w:val="24"/>
                <w:szCs w:val="24"/>
                <w:lang w:eastAsia="zh-CN"/>
              </w:rPr>
              <w:t>瓷砖</w:t>
            </w:r>
            <w:r>
              <w:rPr>
                <w:rFonts w:hint="eastAsia" w:ascii="宋体" w:hAnsi="宋体" w:eastAsia="宋体" w:cs="宋体"/>
                <w:sz w:val="24"/>
                <w:szCs w:val="24"/>
              </w:rPr>
              <w:t>面</w:t>
            </w:r>
          </w:p>
        </w:tc>
        <w:tc>
          <w:tcPr>
            <w:tcW w:w="2757" w:type="dxa"/>
            <w:noWrap w:val="0"/>
            <w:vAlign w:val="center"/>
          </w:tcPr>
          <w:p w14:paraId="2DAE7D8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2F0022D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干净无明显灰尘，无蜘蛛网。</w:t>
            </w:r>
          </w:p>
        </w:tc>
      </w:tr>
      <w:tr w14:paraId="102BC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74B760B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0B6BA63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楼梯窗、过道窗</w:t>
            </w:r>
          </w:p>
        </w:tc>
        <w:tc>
          <w:tcPr>
            <w:tcW w:w="2757" w:type="dxa"/>
            <w:noWrap w:val="0"/>
            <w:vAlign w:val="center"/>
          </w:tcPr>
          <w:p w14:paraId="70DBE1C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0655C95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干净明亮，窗槽干净无积尘，无蜘蛛网。</w:t>
            </w:r>
          </w:p>
        </w:tc>
      </w:tr>
      <w:tr w14:paraId="01803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5DB44CC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2596E0D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大厅窗、回廊窗、卫生间窗</w:t>
            </w:r>
          </w:p>
        </w:tc>
        <w:tc>
          <w:tcPr>
            <w:tcW w:w="2757" w:type="dxa"/>
            <w:noWrap w:val="0"/>
            <w:vAlign w:val="center"/>
          </w:tcPr>
          <w:p w14:paraId="32FAE6B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32CC2E5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干净明亮，窗槽干净无积尘，无蜘蛛网。</w:t>
            </w:r>
          </w:p>
        </w:tc>
      </w:tr>
      <w:tr w14:paraId="0F62C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5B4ED87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212" w:type="dxa"/>
            <w:noWrap w:val="0"/>
            <w:vAlign w:val="center"/>
          </w:tcPr>
          <w:p w14:paraId="038EB38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一楼外窗、明沟、散水</w:t>
            </w:r>
          </w:p>
        </w:tc>
        <w:tc>
          <w:tcPr>
            <w:tcW w:w="2757" w:type="dxa"/>
            <w:noWrap w:val="0"/>
            <w:vAlign w:val="center"/>
          </w:tcPr>
          <w:p w14:paraId="2EEF5A9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74FDB8C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外窗干净无灰，无蜘蛛网，明沟内及散水无杂物和杂草。</w:t>
            </w:r>
          </w:p>
        </w:tc>
      </w:tr>
      <w:tr w14:paraId="552BE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09D5494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四级</w:t>
            </w:r>
          </w:p>
        </w:tc>
        <w:tc>
          <w:tcPr>
            <w:tcW w:w="1212" w:type="dxa"/>
            <w:noWrap w:val="0"/>
            <w:vAlign w:val="center"/>
          </w:tcPr>
          <w:p w14:paraId="4215112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外走廊、楼梯及天棚</w:t>
            </w:r>
          </w:p>
        </w:tc>
        <w:tc>
          <w:tcPr>
            <w:tcW w:w="2757" w:type="dxa"/>
            <w:noWrap w:val="0"/>
            <w:vAlign w:val="center"/>
          </w:tcPr>
          <w:p w14:paraId="651CDFC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4F3AD5B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地面干净无积水及积水印、无杂物，天棚无蜘蛛网。</w:t>
            </w:r>
          </w:p>
        </w:tc>
      </w:tr>
      <w:tr w14:paraId="2BA4C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2E66166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四级</w:t>
            </w:r>
          </w:p>
        </w:tc>
        <w:tc>
          <w:tcPr>
            <w:tcW w:w="1212" w:type="dxa"/>
            <w:noWrap w:val="0"/>
            <w:vAlign w:val="center"/>
          </w:tcPr>
          <w:p w14:paraId="237A7E8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消火栓、灭火器内部</w:t>
            </w:r>
          </w:p>
        </w:tc>
        <w:tc>
          <w:tcPr>
            <w:tcW w:w="2757" w:type="dxa"/>
            <w:noWrap w:val="0"/>
            <w:vAlign w:val="center"/>
          </w:tcPr>
          <w:p w14:paraId="1196AFC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0815998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箱内整洁，干净无灰尘。</w:t>
            </w:r>
          </w:p>
        </w:tc>
      </w:tr>
      <w:tr w14:paraId="67E62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0C1532C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四级</w:t>
            </w:r>
          </w:p>
        </w:tc>
        <w:tc>
          <w:tcPr>
            <w:tcW w:w="1212" w:type="dxa"/>
            <w:noWrap w:val="0"/>
            <w:vAlign w:val="center"/>
          </w:tcPr>
          <w:p w14:paraId="7DC17C7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普通教室全面清洁</w:t>
            </w:r>
          </w:p>
        </w:tc>
        <w:tc>
          <w:tcPr>
            <w:tcW w:w="2757" w:type="dxa"/>
            <w:noWrap w:val="0"/>
            <w:vAlign w:val="center"/>
          </w:tcPr>
          <w:p w14:paraId="6EB9FA8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14BF942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干净、整洁。</w:t>
            </w:r>
          </w:p>
        </w:tc>
      </w:tr>
      <w:tr w14:paraId="4BD22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39AF454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四级</w:t>
            </w:r>
          </w:p>
        </w:tc>
        <w:tc>
          <w:tcPr>
            <w:tcW w:w="1212" w:type="dxa"/>
            <w:noWrap w:val="0"/>
            <w:vAlign w:val="center"/>
          </w:tcPr>
          <w:p w14:paraId="19BD4A7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大会议室</w:t>
            </w:r>
          </w:p>
        </w:tc>
        <w:tc>
          <w:tcPr>
            <w:tcW w:w="2757" w:type="dxa"/>
            <w:noWrap w:val="0"/>
            <w:vAlign w:val="center"/>
          </w:tcPr>
          <w:p w14:paraId="535FC7E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3881" w:type="dxa"/>
            <w:noWrap w:val="0"/>
            <w:vAlign w:val="center"/>
          </w:tcPr>
          <w:p w14:paraId="4EDCC0A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地面光洁；桌面及座椅干净，无灰尘；接待茶具清洗干净。</w:t>
            </w:r>
          </w:p>
        </w:tc>
      </w:tr>
      <w:tr w14:paraId="420A1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0F77B20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四级</w:t>
            </w:r>
          </w:p>
        </w:tc>
        <w:tc>
          <w:tcPr>
            <w:tcW w:w="1212" w:type="dxa"/>
            <w:noWrap w:val="0"/>
            <w:vAlign w:val="center"/>
          </w:tcPr>
          <w:p w14:paraId="430FB24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报告厅</w:t>
            </w:r>
          </w:p>
        </w:tc>
        <w:tc>
          <w:tcPr>
            <w:tcW w:w="2757" w:type="dxa"/>
            <w:noWrap w:val="0"/>
            <w:vAlign w:val="center"/>
          </w:tcPr>
          <w:p w14:paraId="3829404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每次使用前清扫一次。</w:t>
            </w:r>
          </w:p>
        </w:tc>
        <w:tc>
          <w:tcPr>
            <w:tcW w:w="3881" w:type="dxa"/>
            <w:noWrap w:val="0"/>
            <w:vAlign w:val="center"/>
          </w:tcPr>
          <w:p w14:paraId="1377B25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地面光洁；桌面及座椅干净，无灰尘。</w:t>
            </w:r>
          </w:p>
        </w:tc>
      </w:tr>
      <w:tr w14:paraId="5F851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5EC9F37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五级</w:t>
            </w:r>
          </w:p>
        </w:tc>
        <w:tc>
          <w:tcPr>
            <w:tcW w:w="1212" w:type="dxa"/>
            <w:noWrap w:val="0"/>
            <w:vAlign w:val="center"/>
          </w:tcPr>
          <w:p w14:paraId="63040BC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各教学楼、场馆灯、扇</w:t>
            </w:r>
          </w:p>
        </w:tc>
        <w:tc>
          <w:tcPr>
            <w:tcW w:w="2757" w:type="dxa"/>
            <w:noWrap w:val="0"/>
            <w:vAlign w:val="center"/>
          </w:tcPr>
          <w:p w14:paraId="182EF0B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每年一次。</w:t>
            </w:r>
          </w:p>
        </w:tc>
        <w:tc>
          <w:tcPr>
            <w:tcW w:w="3881" w:type="dxa"/>
            <w:noWrap w:val="0"/>
            <w:vAlign w:val="center"/>
          </w:tcPr>
          <w:p w14:paraId="7983FCD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干净、整洁。</w:t>
            </w:r>
          </w:p>
        </w:tc>
      </w:tr>
    </w:tbl>
    <w:p w14:paraId="5945C87F">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rPr>
      </w:pPr>
      <w:r>
        <w:rPr>
          <w:rFonts w:hint="eastAsia" w:ascii="宋体" w:hAnsi="宋体" w:eastAsia="宋体" w:cs="宋体"/>
          <w:b w:val="0"/>
          <w:bCs/>
          <w:sz w:val="24"/>
          <w:szCs w:val="24"/>
          <w:lang w:eastAsia="zh-CN"/>
        </w:rPr>
        <w:t>（</w:t>
      </w:r>
      <w:r>
        <w:rPr>
          <w:rFonts w:hint="eastAsia" w:ascii="宋体" w:hAnsi="宋体" w:eastAsia="宋体" w:cs="宋体"/>
          <w:b w:val="0"/>
          <w:bCs/>
          <w:sz w:val="24"/>
          <w:szCs w:val="24"/>
          <w:lang w:val="en-US" w:eastAsia="zh-CN"/>
        </w:rPr>
        <w:t>3</w:t>
      </w:r>
      <w:r>
        <w:rPr>
          <w:rFonts w:hint="eastAsia" w:ascii="宋体" w:hAnsi="宋体" w:eastAsia="宋体" w:cs="宋体"/>
          <w:b w:val="0"/>
          <w:bCs/>
          <w:sz w:val="24"/>
          <w:szCs w:val="24"/>
          <w:lang w:eastAsia="zh-CN"/>
        </w:rPr>
        <w:t>）</w:t>
      </w:r>
      <w:r>
        <w:rPr>
          <w:rFonts w:hint="eastAsia" w:ascii="宋体" w:hAnsi="宋体" w:eastAsia="宋体" w:cs="宋体"/>
          <w:b w:val="0"/>
          <w:bCs/>
          <w:sz w:val="24"/>
          <w:szCs w:val="24"/>
        </w:rPr>
        <w:t>室外保洁工作服务要求</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16"/>
        <w:gridCol w:w="1823"/>
        <w:gridCol w:w="2677"/>
        <w:gridCol w:w="3231"/>
      </w:tblGrid>
      <w:tr w14:paraId="71A79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blHeader/>
          <w:jc w:val="center"/>
        </w:trPr>
        <w:tc>
          <w:tcPr>
            <w:tcW w:w="616" w:type="dxa"/>
            <w:noWrap w:val="0"/>
            <w:vAlign w:val="center"/>
          </w:tcPr>
          <w:p w14:paraId="59E5DAF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级别</w:t>
            </w:r>
          </w:p>
        </w:tc>
        <w:tc>
          <w:tcPr>
            <w:tcW w:w="1823" w:type="dxa"/>
            <w:noWrap w:val="0"/>
            <w:vAlign w:val="center"/>
          </w:tcPr>
          <w:p w14:paraId="097047D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项目</w:t>
            </w:r>
          </w:p>
        </w:tc>
        <w:tc>
          <w:tcPr>
            <w:tcW w:w="2677" w:type="dxa"/>
            <w:noWrap w:val="0"/>
            <w:vAlign w:val="center"/>
          </w:tcPr>
          <w:p w14:paraId="5AABC0C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工作要求</w:t>
            </w:r>
          </w:p>
        </w:tc>
        <w:tc>
          <w:tcPr>
            <w:tcW w:w="3231" w:type="dxa"/>
            <w:noWrap w:val="0"/>
            <w:vAlign w:val="center"/>
          </w:tcPr>
          <w:p w14:paraId="5302A86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质量要求</w:t>
            </w:r>
          </w:p>
        </w:tc>
      </w:tr>
      <w:tr w14:paraId="71A3C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679126F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823" w:type="dxa"/>
            <w:noWrap w:val="0"/>
            <w:vAlign w:val="center"/>
          </w:tcPr>
          <w:p w14:paraId="1E1233B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主干道、中心广场</w:t>
            </w:r>
          </w:p>
        </w:tc>
        <w:tc>
          <w:tcPr>
            <w:tcW w:w="2677" w:type="dxa"/>
            <w:noWrap w:val="0"/>
            <w:vAlign w:val="center"/>
          </w:tcPr>
          <w:p w14:paraId="52180AC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每天上、下午各小扫一次。</w:t>
            </w:r>
          </w:p>
        </w:tc>
        <w:tc>
          <w:tcPr>
            <w:tcW w:w="3231" w:type="dxa"/>
            <w:noWrap w:val="0"/>
            <w:vAlign w:val="center"/>
          </w:tcPr>
          <w:p w14:paraId="69C165B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路面无泥沙、树叶和杂物；雨后无积水；水面无树叶、杂物。</w:t>
            </w:r>
          </w:p>
        </w:tc>
      </w:tr>
      <w:tr w14:paraId="2314F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636B74B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823" w:type="dxa"/>
            <w:noWrap w:val="0"/>
            <w:vAlign w:val="center"/>
          </w:tcPr>
          <w:p w14:paraId="04EC3EF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人行干道、次干道</w:t>
            </w:r>
          </w:p>
        </w:tc>
        <w:tc>
          <w:tcPr>
            <w:tcW w:w="2677" w:type="dxa"/>
            <w:noWrap w:val="0"/>
            <w:vAlign w:val="center"/>
          </w:tcPr>
          <w:p w14:paraId="4615DC8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每天上、下午各小扫一次；每周一大扫。</w:t>
            </w:r>
          </w:p>
        </w:tc>
        <w:tc>
          <w:tcPr>
            <w:tcW w:w="3231" w:type="dxa"/>
            <w:noWrap w:val="0"/>
            <w:vAlign w:val="center"/>
          </w:tcPr>
          <w:p w14:paraId="404BC2D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路面无泥沙、树叶和杂物；地砖缝内无杂草；雨后无积水。</w:t>
            </w:r>
          </w:p>
        </w:tc>
      </w:tr>
      <w:tr w14:paraId="5ECDB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6266BF6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823" w:type="dxa"/>
            <w:noWrap w:val="0"/>
            <w:vAlign w:val="center"/>
          </w:tcPr>
          <w:p w14:paraId="3670A8B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绿地</w:t>
            </w:r>
          </w:p>
        </w:tc>
        <w:tc>
          <w:tcPr>
            <w:tcW w:w="2677" w:type="dxa"/>
            <w:noWrap w:val="0"/>
            <w:vAlign w:val="center"/>
          </w:tcPr>
          <w:p w14:paraId="0567511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每天上、下午清除白色垃圾。</w:t>
            </w:r>
          </w:p>
        </w:tc>
        <w:tc>
          <w:tcPr>
            <w:tcW w:w="3231" w:type="dxa"/>
            <w:noWrap w:val="0"/>
            <w:vAlign w:val="center"/>
          </w:tcPr>
          <w:p w14:paraId="48FF61C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主干道两侧绿地无白色垃圾。</w:t>
            </w:r>
          </w:p>
        </w:tc>
      </w:tr>
      <w:tr w14:paraId="59F38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344F72A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823" w:type="dxa"/>
            <w:noWrap w:val="0"/>
            <w:vAlign w:val="center"/>
          </w:tcPr>
          <w:p w14:paraId="22D18D7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广场、台阶</w:t>
            </w:r>
          </w:p>
        </w:tc>
        <w:tc>
          <w:tcPr>
            <w:tcW w:w="2677" w:type="dxa"/>
            <w:noWrap w:val="0"/>
            <w:vAlign w:val="center"/>
          </w:tcPr>
          <w:p w14:paraId="68E8DD9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每天上、下午各小扫一次；每周一大扫。</w:t>
            </w:r>
          </w:p>
        </w:tc>
        <w:tc>
          <w:tcPr>
            <w:tcW w:w="3231" w:type="dxa"/>
            <w:noWrap w:val="0"/>
            <w:vAlign w:val="center"/>
          </w:tcPr>
          <w:p w14:paraId="1F2B529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地面无泥沙、树叶和杂物；雨后无积水。</w:t>
            </w:r>
          </w:p>
        </w:tc>
      </w:tr>
      <w:tr w14:paraId="5BF77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4DF4912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823" w:type="dxa"/>
            <w:noWrap w:val="0"/>
            <w:vAlign w:val="center"/>
          </w:tcPr>
          <w:p w14:paraId="78B49D4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园林内路面</w:t>
            </w:r>
          </w:p>
        </w:tc>
        <w:tc>
          <w:tcPr>
            <w:tcW w:w="2677" w:type="dxa"/>
            <w:noWrap w:val="0"/>
            <w:vAlign w:val="center"/>
          </w:tcPr>
          <w:p w14:paraId="5DCB35D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每天清扫。</w:t>
            </w:r>
          </w:p>
        </w:tc>
        <w:tc>
          <w:tcPr>
            <w:tcW w:w="3231" w:type="dxa"/>
            <w:noWrap w:val="0"/>
            <w:vAlign w:val="center"/>
          </w:tcPr>
          <w:p w14:paraId="21DCFB0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路面无泥沙、树叶和杂物，地砖缝内无杂草；雨后无积水。</w:t>
            </w:r>
          </w:p>
        </w:tc>
      </w:tr>
      <w:tr w14:paraId="7C605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13EEF7B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823" w:type="dxa"/>
            <w:noWrap w:val="0"/>
            <w:vAlign w:val="center"/>
          </w:tcPr>
          <w:p w14:paraId="17FF882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垃圾桶</w:t>
            </w:r>
          </w:p>
        </w:tc>
        <w:tc>
          <w:tcPr>
            <w:tcW w:w="2677" w:type="dxa"/>
            <w:noWrap w:val="0"/>
            <w:vAlign w:val="center"/>
          </w:tcPr>
          <w:p w14:paraId="7D05612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每天清理。</w:t>
            </w:r>
          </w:p>
        </w:tc>
        <w:tc>
          <w:tcPr>
            <w:tcW w:w="3231" w:type="dxa"/>
            <w:noWrap w:val="0"/>
            <w:vAlign w:val="center"/>
          </w:tcPr>
          <w:p w14:paraId="5F9F695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桶内垃圾无堆积、发臭现象。</w:t>
            </w:r>
          </w:p>
        </w:tc>
      </w:tr>
      <w:tr w14:paraId="03CA2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45A881F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w:t>
            </w:r>
          </w:p>
        </w:tc>
        <w:tc>
          <w:tcPr>
            <w:tcW w:w="1823" w:type="dxa"/>
            <w:noWrap w:val="0"/>
            <w:vAlign w:val="center"/>
          </w:tcPr>
          <w:p w14:paraId="49EDF54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生活垃圾外运</w:t>
            </w:r>
          </w:p>
        </w:tc>
        <w:tc>
          <w:tcPr>
            <w:tcW w:w="2677" w:type="dxa"/>
            <w:noWrap w:val="0"/>
            <w:vAlign w:val="center"/>
          </w:tcPr>
          <w:p w14:paraId="0B88575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每天及时清运。</w:t>
            </w:r>
          </w:p>
        </w:tc>
        <w:tc>
          <w:tcPr>
            <w:tcW w:w="3231" w:type="dxa"/>
            <w:noWrap w:val="0"/>
            <w:vAlign w:val="center"/>
          </w:tcPr>
          <w:p w14:paraId="4C3103C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清运及时，不囤积。</w:t>
            </w:r>
          </w:p>
        </w:tc>
      </w:tr>
      <w:tr w14:paraId="0F0AC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41EFB4F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二级</w:t>
            </w:r>
          </w:p>
        </w:tc>
        <w:tc>
          <w:tcPr>
            <w:tcW w:w="1823" w:type="dxa"/>
            <w:noWrap w:val="0"/>
            <w:vAlign w:val="center"/>
          </w:tcPr>
          <w:p w14:paraId="0D7D61E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绿地</w:t>
            </w:r>
          </w:p>
        </w:tc>
        <w:tc>
          <w:tcPr>
            <w:tcW w:w="2677" w:type="dxa"/>
            <w:noWrap w:val="0"/>
            <w:vAlign w:val="center"/>
          </w:tcPr>
          <w:p w14:paraId="069D53E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非落叶季节有少量树叶时，需清除。</w:t>
            </w:r>
          </w:p>
        </w:tc>
        <w:tc>
          <w:tcPr>
            <w:tcW w:w="3231" w:type="dxa"/>
            <w:noWrap w:val="0"/>
            <w:vAlign w:val="center"/>
          </w:tcPr>
          <w:p w14:paraId="76CB0A0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非落叶季节，没有树叶。</w:t>
            </w:r>
          </w:p>
        </w:tc>
      </w:tr>
      <w:tr w14:paraId="671C6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40E8910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二级</w:t>
            </w:r>
          </w:p>
        </w:tc>
        <w:tc>
          <w:tcPr>
            <w:tcW w:w="1823" w:type="dxa"/>
            <w:noWrap w:val="0"/>
            <w:vAlign w:val="center"/>
          </w:tcPr>
          <w:p w14:paraId="65EEBAA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垃圾桶面</w:t>
            </w:r>
          </w:p>
        </w:tc>
        <w:tc>
          <w:tcPr>
            <w:tcW w:w="2677" w:type="dxa"/>
            <w:noWrap w:val="0"/>
            <w:vAlign w:val="center"/>
          </w:tcPr>
          <w:p w14:paraId="609D772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定期清洁。</w:t>
            </w:r>
          </w:p>
        </w:tc>
        <w:tc>
          <w:tcPr>
            <w:tcW w:w="3231" w:type="dxa"/>
            <w:noWrap w:val="0"/>
            <w:vAlign w:val="center"/>
          </w:tcPr>
          <w:p w14:paraId="58015A8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桶面无污迹、桶盖无灰尘及污迹。</w:t>
            </w:r>
          </w:p>
        </w:tc>
      </w:tr>
      <w:tr w14:paraId="1A455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475939F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二级</w:t>
            </w:r>
          </w:p>
        </w:tc>
        <w:tc>
          <w:tcPr>
            <w:tcW w:w="1823" w:type="dxa"/>
            <w:noWrap w:val="0"/>
            <w:vAlign w:val="center"/>
          </w:tcPr>
          <w:p w14:paraId="633575B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观景亭台</w:t>
            </w:r>
          </w:p>
        </w:tc>
        <w:tc>
          <w:tcPr>
            <w:tcW w:w="2677" w:type="dxa"/>
            <w:noWrap w:val="0"/>
            <w:vAlign w:val="center"/>
          </w:tcPr>
          <w:p w14:paraId="61849F6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每周清洁两次。</w:t>
            </w:r>
          </w:p>
        </w:tc>
        <w:tc>
          <w:tcPr>
            <w:tcW w:w="3231" w:type="dxa"/>
            <w:noWrap w:val="0"/>
            <w:vAlign w:val="center"/>
          </w:tcPr>
          <w:p w14:paraId="37DA23B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亭台凳面、栏杆等干净，无污迹、无积灰。</w:t>
            </w:r>
          </w:p>
        </w:tc>
      </w:tr>
      <w:tr w14:paraId="4405B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02E0E11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二级</w:t>
            </w:r>
          </w:p>
        </w:tc>
        <w:tc>
          <w:tcPr>
            <w:tcW w:w="1823" w:type="dxa"/>
            <w:noWrap w:val="0"/>
            <w:vAlign w:val="center"/>
          </w:tcPr>
          <w:p w14:paraId="5747367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白蚁、虫鼠灭治</w:t>
            </w:r>
          </w:p>
        </w:tc>
        <w:tc>
          <w:tcPr>
            <w:tcW w:w="2677" w:type="dxa"/>
            <w:noWrap w:val="0"/>
            <w:vAlign w:val="center"/>
          </w:tcPr>
          <w:p w14:paraId="725DE94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根据情况定期或不定期。</w:t>
            </w:r>
          </w:p>
        </w:tc>
        <w:tc>
          <w:tcPr>
            <w:tcW w:w="3231" w:type="dxa"/>
            <w:noWrap w:val="0"/>
            <w:vAlign w:val="center"/>
          </w:tcPr>
          <w:p w14:paraId="58D3AE7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白蚁灭治随时、蚊虫鼠消杀每月。</w:t>
            </w:r>
          </w:p>
        </w:tc>
      </w:tr>
      <w:tr w14:paraId="4D628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0C1F500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823" w:type="dxa"/>
            <w:noWrap w:val="0"/>
            <w:vAlign w:val="center"/>
          </w:tcPr>
          <w:p w14:paraId="4206A07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装修垃圾</w:t>
            </w:r>
          </w:p>
        </w:tc>
        <w:tc>
          <w:tcPr>
            <w:tcW w:w="2677" w:type="dxa"/>
            <w:noWrap w:val="0"/>
            <w:vAlign w:val="center"/>
          </w:tcPr>
          <w:p w14:paraId="078CC93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定期清理、外运。</w:t>
            </w:r>
          </w:p>
        </w:tc>
        <w:tc>
          <w:tcPr>
            <w:tcW w:w="3231" w:type="dxa"/>
            <w:noWrap w:val="0"/>
            <w:vAlign w:val="center"/>
          </w:tcPr>
          <w:p w14:paraId="602F088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清运及时，不囤积。</w:t>
            </w:r>
          </w:p>
        </w:tc>
      </w:tr>
      <w:tr w14:paraId="37CDA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6" w:type="dxa"/>
            <w:noWrap w:val="0"/>
            <w:vAlign w:val="center"/>
          </w:tcPr>
          <w:p w14:paraId="63A61D4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三级</w:t>
            </w:r>
          </w:p>
        </w:tc>
        <w:tc>
          <w:tcPr>
            <w:tcW w:w="1823" w:type="dxa"/>
            <w:noWrap w:val="0"/>
            <w:vAlign w:val="center"/>
          </w:tcPr>
          <w:p w14:paraId="579F786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垃圾桶</w:t>
            </w:r>
          </w:p>
        </w:tc>
        <w:tc>
          <w:tcPr>
            <w:tcW w:w="2677" w:type="dxa"/>
            <w:noWrap w:val="0"/>
            <w:vAlign w:val="center"/>
          </w:tcPr>
          <w:p w14:paraId="43771ED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每周桶内清洁一次。</w:t>
            </w:r>
          </w:p>
        </w:tc>
        <w:tc>
          <w:tcPr>
            <w:tcW w:w="3231" w:type="dxa"/>
            <w:noWrap w:val="0"/>
            <w:vAlign w:val="center"/>
          </w:tcPr>
          <w:p w14:paraId="42A5253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桶内无大块污迹、无遗留污物。</w:t>
            </w:r>
          </w:p>
        </w:tc>
      </w:tr>
    </w:tbl>
    <w:p w14:paraId="59398CB3">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2" w:firstLineChars="200"/>
        <w:jc w:val="both"/>
        <w:textAlignment w:val="auto"/>
        <w:outlineLvl w:val="3"/>
        <w:rPr>
          <w:rFonts w:hint="eastAsia" w:ascii="宋体" w:hAnsi="宋体" w:eastAsia="宋体" w:cs="宋体"/>
          <w:b/>
          <w:bCs w:val="0"/>
          <w:sz w:val="24"/>
          <w:szCs w:val="24"/>
          <w:lang w:eastAsia="zh-CN"/>
        </w:rPr>
      </w:pPr>
      <w:bookmarkStart w:id="36" w:name="heading_26"/>
      <w:r>
        <w:rPr>
          <w:rFonts w:hint="eastAsia" w:ascii="宋体" w:hAnsi="宋体" w:eastAsia="宋体" w:cs="宋体"/>
          <w:b/>
          <w:bCs w:val="0"/>
          <w:sz w:val="24"/>
          <w:szCs w:val="24"/>
          <w:lang w:val="en-US" w:eastAsia="zh-CN"/>
        </w:rPr>
        <w:t>5.</w:t>
      </w:r>
      <w:r>
        <w:rPr>
          <w:rFonts w:hint="eastAsia" w:ascii="宋体" w:hAnsi="宋体" w:eastAsia="宋体" w:cs="宋体"/>
          <w:b/>
          <w:bCs w:val="0"/>
          <w:sz w:val="24"/>
          <w:szCs w:val="24"/>
          <w:lang w:eastAsia="zh-CN"/>
        </w:rPr>
        <w:t>消防监控值班员工作服务要求</w:t>
      </w:r>
      <w:bookmarkEnd w:id="36"/>
    </w:p>
    <w:p w14:paraId="1265365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24小时在岗值守，做好交接记录，不脱岗。规范填写值班、巡检等台账，做好资料归档。</w:t>
      </w:r>
    </w:p>
    <w:p w14:paraId="7300E6D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熟练操作监控、报警设备，定时巡检，故障及时上报处理。</w:t>
      </w:r>
    </w:p>
    <w:p w14:paraId="3AE082D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实时监控校园重点区域，制止消防违规行为，排查隐患。</w:t>
      </w:r>
    </w:p>
    <w:p w14:paraId="7E9873AF">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（4）</w:t>
      </w:r>
      <w:r>
        <w:rPr>
          <w:rFonts w:hint="eastAsia" w:ascii="宋体" w:hAnsi="宋体" w:eastAsia="宋体" w:cs="宋体"/>
          <w:sz w:val="24"/>
          <w:szCs w:val="24"/>
        </w:rPr>
        <w:t>熟悉应急预案，参与消防培训与演练，提升应急能力。</w:t>
      </w:r>
    </w:p>
    <w:p w14:paraId="3B721AF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（5）</w:t>
      </w:r>
      <w:r>
        <w:rPr>
          <w:rFonts w:hint="eastAsia" w:ascii="宋体" w:hAnsi="宋体" w:eastAsia="宋体" w:cs="宋体"/>
          <w:sz w:val="24"/>
          <w:szCs w:val="24"/>
        </w:rPr>
        <w:t>严守保密规定，不泄露监控及人员隐私信息。</w:t>
      </w:r>
    </w:p>
    <w:p w14:paraId="136D10D3">
      <w:pPr>
        <w:keepNext w:val="0"/>
        <w:keepLines w:val="0"/>
        <w:pageBreakBefore w:val="0"/>
        <w:widowControl w:val="0"/>
        <w:kinsoku/>
        <w:wordWrap/>
        <w:overflowPunct/>
        <w:topLinePunct w:val="0"/>
        <w:autoSpaceDE/>
        <w:autoSpaceDN/>
        <w:bidi w:val="0"/>
        <w:adjustRightInd w:val="0"/>
        <w:snapToGrid w:val="0"/>
        <w:spacing w:line="560" w:lineRule="exact"/>
        <w:ind w:left="0" w:leftChars="0"/>
        <w:jc w:val="both"/>
        <w:textAlignment w:val="auto"/>
        <w:outlineLvl w:val="3"/>
        <w:rPr>
          <w:rFonts w:hint="eastAsia" w:ascii="宋体" w:hAnsi="宋体" w:eastAsia="宋体" w:cs="宋体"/>
          <w:b w:val="0"/>
          <w:bCs/>
          <w:sz w:val="24"/>
          <w:szCs w:val="24"/>
          <w:lang w:eastAsia="zh-CN"/>
        </w:rPr>
      </w:pPr>
      <w:bookmarkStart w:id="37" w:name="heading_27"/>
      <w:r>
        <w:rPr>
          <w:rFonts w:hint="eastAsia" w:ascii="宋体" w:hAnsi="宋体" w:eastAsia="宋体" w:cs="宋体"/>
          <w:b w:val="0"/>
          <w:bCs/>
          <w:sz w:val="24"/>
          <w:szCs w:val="24"/>
          <w:lang w:val="en-US" w:eastAsia="zh-CN"/>
        </w:rPr>
        <w:t>6.</w:t>
      </w:r>
      <w:r>
        <w:rPr>
          <w:rFonts w:hint="eastAsia" w:ascii="宋体" w:hAnsi="宋体" w:eastAsia="宋体" w:cs="宋体"/>
          <w:b w:val="0"/>
          <w:bCs/>
          <w:sz w:val="24"/>
          <w:szCs w:val="24"/>
          <w:lang w:eastAsia="zh-CN"/>
        </w:rPr>
        <w:t>绿化养护工作服务要求</w:t>
      </w:r>
      <w:bookmarkEnd w:id="37"/>
    </w:p>
    <w:p w14:paraId="02DFA79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（1）</w:t>
      </w:r>
      <w:r>
        <w:rPr>
          <w:rFonts w:hint="eastAsia" w:ascii="宋体" w:hAnsi="宋体" w:eastAsia="宋体" w:cs="宋体"/>
          <w:b w:val="0"/>
          <w:bCs/>
          <w:sz w:val="24"/>
          <w:szCs w:val="24"/>
        </w:rPr>
        <w:t>基本要求</w:t>
      </w:r>
    </w:p>
    <w:p w14:paraId="1EC0122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a.</w:t>
      </w:r>
      <w:r>
        <w:rPr>
          <w:rFonts w:hint="eastAsia" w:ascii="宋体" w:hAnsi="宋体" w:eastAsia="宋体" w:cs="宋体"/>
          <w:sz w:val="24"/>
          <w:szCs w:val="24"/>
        </w:rPr>
        <w:t>按要求及时完成乔木（灌木）养护、绿篱、草坪养护、水生植物养护（荷花养护）、修剪、绿篱、草坪补植、施肥、病虫害防治、松土浇水、除草、补种、绿地保洁、养护区域内清理保洁（绿地养护造成的生产垃圾清扫清运、落叶和浮土清扫清运、养护区域内垃圾广告的清除等养护工作；防偷盗、防采摘、防火灾；养护区域内排水沟的清理）。</w:t>
      </w:r>
    </w:p>
    <w:p w14:paraId="6027B6A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b.</w:t>
      </w:r>
      <w:r>
        <w:rPr>
          <w:rFonts w:hint="eastAsia" w:ascii="宋体" w:hAnsi="宋体" w:eastAsia="宋体" w:cs="宋体"/>
          <w:sz w:val="24"/>
          <w:szCs w:val="24"/>
        </w:rPr>
        <w:t>中标人须每周对校园绿化植物进行一次全面巡查，发现死株、枯株后，须在3个工作日内清理完毕，并在15个工作日内完成补植，补植的植物品种、规格须与原植物一致；若中标人未按要求清理或补植，每逾期1天，扣减当月考核分2分，逾期超过30天的，采购人有权自行安排补植，产生的费用由中标人承担，并从当季度服务费中扣除。</w:t>
      </w:r>
    </w:p>
    <w:p w14:paraId="460BB86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c.</w:t>
      </w:r>
      <w:r>
        <w:rPr>
          <w:rFonts w:hint="eastAsia" w:ascii="宋体" w:hAnsi="宋体" w:eastAsia="宋体" w:cs="宋体"/>
          <w:sz w:val="24"/>
          <w:szCs w:val="24"/>
        </w:rPr>
        <w:t>协助学校做好重大活动或临时、突发工作时的绿化养护工作。</w:t>
      </w:r>
    </w:p>
    <w:p w14:paraId="74F03FB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d.</w:t>
      </w:r>
      <w:r>
        <w:rPr>
          <w:rFonts w:hint="eastAsia" w:ascii="宋体" w:hAnsi="宋体" w:eastAsia="宋体" w:cs="宋体"/>
          <w:sz w:val="24"/>
          <w:szCs w:val="24"/>
        </w:rPr>
        <w:t>做好校园内重点区域时令花卉种植工作（费用由采购人承担）。</w:t>
      </w:r>
    </w:p>
    <w:p w14:paraId="6B2A656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e.</w:t>
      </w:r>
      <w:r>
        <w:rPr>
          <w:rFonts w:hint="eastAsia" w:ascii="宋体" w:hAnsi="宋体" w:eastAsia="宋体" w:cs="宋体"/>
          <w:sz w:val="24"/>
          <w:szCs w:val="24"/>
        </w:rPr>
        <w:t>做好校园内重点区域绿植摆放工作（费用由采购人承担）。</w:t>
      </w:r>
    </w:p>
    <w:p w14:paraId="3BE7D00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f.</w:t>
      </w:r>
      <w:r>
        <w:rPr>
          <w:rFonts w:hint="eastAsia" w:ascii="宋体" w:hAnsi="宋体" w:eastAsia="宋体" w:cs="宋体"/>
          <w:sz w:val="24"/>
          <w:szCs w:val="24"/>
        </w:rPr>
        <w:t>全校区域树木每年刷白及施肥一次。</w:t>
      </w:r>
    </w:p>
    <w:p w14:paraId="304F16E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g.</w:t>
      </w:r>
      <w:r>
        <w:rPr>
          <w:rFonts w:hint="eastAsia" w:ascii="宋体" w:hAnsi="宋体" w:eastAsia="宋体" w:cs="宋体"/>
          <w:sz w:val="24"/>
          <w:szCs w:val="24"/>
        </w:rPr>
        <w:t>化粪池集中清掏（每年两次，超出部分费用由采购人承担），若化粪池、检查井出现堵塞，须及时清掏（费用由采购人承担）。</w:t>
      </w:r>
    </w:p>
    <w:p w14:paraId="68F0A6A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h.</w:t>
      </w:r>
      <w:r>
        <w:rPr>
          <w:rFonts w:hint="eastAsia" w:ascii="宋体" w:hAnsi="宋体" w:eastAsia="宋体" w:cs="宋体"/>
          <w:sz w:val="24"/>
          <w:szCs w:val="24"/>
        </w:rPr>
        <w:t>养护服务标准参照中华人民共和国住房和城乡建设部2018年11月7日发布的《园林绿化养护标准》及《赣州市城市园林绿化养护管理标准》中的二级养护标准执行。</w:t>
      </w:r>
    </w:p>
    <w:p w14:paraId="7530A48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（2）</w:t>
      </w:r>
      <w:r>
        <w:rPr>
          <w:rFonts w:hint="eastAsia" w:ascii="宋体" w:hAnsi="宋体" w:eastAsia="宋体" w:cs="宋体"/>
          <w:b w:val="0"/>
          <w:bCs/>
          <w:sz w:val="24"/>
          <w:szCs w:val="24"/>
        </w:rPr>
        <w:t>草坪和地被植物的养护管理</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026"/>
        <w:gridCol w:w="3029"/>
        <w:gridCol w:w="4281"/>
      </w:tblGrid>
      <w:tr w14:paraId="36ECC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1026" w:type="dxa"/>
            <w:noWrap w:val="0"/>
            <w:vAlign w:val="center"/>
          </w:tcPr>
          <w:p w14:paraId="3DAD910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服务项目</w:t>
            </w:r>
          </w:p>
        </w:tc>
        <w:tc>
          <w:tcPr>
            <w:tcW w:w="3029" w:type="dxa"/>
            <w:noWrap w:val="0"/>
            <w:vAlign w:val="center"/>
          </w:tcPr>
          <w:p w14:paraId="33F55A5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服务内容</w:t>
            </w:r>
          </w:p>
        </w:tc>
        <w:tc>
          <w:tcPr>
            <w:tcW w:w="4281" w:type="dxa"/>
            <w:noWrap w:val="0"/>
            <w:vAlign w:val="center"/>
          </w:tcPr>
          <w:p w14:paraId="18B40BE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标准</w:t>
            </w:r>
          </w:p>
        </w:tc>
      </w:tr>
      <w:tr w14:paraId="6D33C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026" w:type="dxa"/>
            <w:noWrap w:val="0"/>
            <w:vAlign w:val="center"/>
          </w:tcPr>
          <w:p w14:paraId="4B8C2A7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浇水</w:t>
            </w:r>
          </w:p>
        </w:tc>
        <w:tc>
          <w:tcPr>
            <w:tcW w:w="3029" w:type="dxa"/>
            <w:noWrap w:val="0"/>
            <w:vAlign w:val="center"/>
          </w:tcPr>
          <w:p w14:paraId="3E0E6D0D">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1.正常生长草坪：每年春季发芽前、入冬前各浇一次透水；生长季节根据情况定期浇水；</w:t>
            </w:r>
          </w:p>
          <w:p w14:paraId="2B5269D8">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jc w:val="both"/>
              <w:textAlignment w:val="auto"/>
              <w:rPr>
                <w:rFonts w:hint="eastAsia" w:ascii="宋体" w:hAnsi="宋体" w:eastAsia="宋体" w:cs="宋体"/>
                <w:sz w:val="24"/>
                <w:szCs w:val="24"/>
              </w:rPr>
            </w:pPr>
            <w:r>
              <w:rPr>
                <w:rFonts w:hint="eastAsia" w:ascii="宋体" w:hAnsi="宋体" w:eastAsia="宋体" w:cs="宋体"/>
                <w:sz w:val="24"/>
                <w:szCs w:val="24"/>
              </w:rPr>
              <w:t>2.新植草坪：除雨季外，第1周每天浇1次，第2-3周每周2次，保证渗透深度达10cm。</w:t>
            </w:r>
          </w:p>
        </w:tc>
        <w:tc>
          <w:tcPr>
            <w:tcW w:w="4281" w:type="dxa"/>
            <w:noWrap w:val="0"/>
            <w:vAlign w:val="center"/>
          </w:tcPr>
          <w:p w14:paraId="7F45EBC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①生长旺盛，叶色浓绿，总体平整美观，无坑洼积水；②草坪覆盖率达90%以上；③路牙、井口、水沟、散水坡边整齐、草坪目视平整，长势良好，草坪绿郁；④无明显杂草，草地纯度在90%以上，树木底下土面层不板结，透气良好，抽查的草坪范围杂草率低于10%；⑤外力破坏后三天内修复，总体高度在5CM以下；⑥病虫危害率不超过8%；⑦每周不低于一次清扫草坪和乔灌木中落叶，保证植物丛中无明显的枯枝败叶；⑧交界处应做切边处理，且边缘清晰，线条流畅和顺，宽度不得大于15cm。</w:t>
            </w:r>
          </w:p>
        </w:tc>
      </w:tr>
      <w:tr w14:paraId="3AD6C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83" w:hRule="atLeast"/>
          <w:jc w:val="center"/>
        </w:trPr>
        <w:tc>
          <w:tcPr>
            <w:tcW w:w="1026" w:type="dxa"/>
            <w:noWrap w:val="0"/>
            <w:vAlign w:val="center"/>
          </w:tcPr>
          <w:p w14:paraId="5EA2781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修剪</w:t>
            </w:r>
          </w:p>
        </w:tc>
        <w:tc>
          <w:tcPr>
            <w:tcW w:w="3029" w:type="dxa"/>
            <w:noWrap w:val="0"/>
            <w:vAlign w:val="center"/>
          </w:tcPr>
          <w:p w14:paraId="07844D1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生长季节每月修剪2-3次，确保总体高度在5CM以下，草边切除整齐，不入路芽、花丛，大面积草坪平坦、整齐。</w:t>
            </w:r>
          </w:p>
        </w:tc>
        <w:tc>
          <w:tcPr>
            <w:tcW w:w="4281" w:type="dxa"/>
            <w:noWrap w:val="0"/>
            <w:vAlign w:val="center"/>
          </w:tcPr>
          <w:p w14:paraId="0850AA4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p>
        </w:tc>
      </w:tr>
      <w:tr w14:paraId="1DF16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026" w:type="dxa"/>
            <w:noWrap w:val="0"/>
            <w:vAlign w:val="center"/>
          </w:tcPr>
          <w:p w14:paraId="151F135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施肥</w:t>
            </w:r>
          </w:p>
        </w:tc>
        <w:tc>
          <w:tcPr>
            <w:tcW w:w="3029" w:type="dxa"/>
            <w:noWrap w:val="0"/>
            <w:vAlign w:val="center"/>
          </w:tcPr>
          <w:p w14:paraId="6B424C2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年至少进行3次整体施肥：1.3-4月以复合肥为主（可为复混肥），促进草坪返青；2.5月中下旬施一遍缓释肥（可为缓释复混肥），以保证草坪夏季养分充足及安全越冬；3.9月下旬—10月以有机复混肥为主或施缓释复混肥，以延长草坪的绿期及安全越冬。施肥过程要撒施均匀并立即浇水，保证草坪叶色浓绿，色泽一致。</w:t>
            </w:r>
          </w:p>
        </w:tc>
        <w:tc>
          <w:tcPr>
            <w:tcW w:w="4281" w:type="dxa"/>
            <w:noWrap w:val="0"/>
            <w:vAlign w:val="center"/>
          </w:tcPr>
          <w:p w14:paraId="3F7AAB8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p>
        </w:tc>
      </w:tr>
      <w:tr w14:paraId="22148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026" w:type="dxa"/>
            <w:noWrap w:val="0"/>
            <w:vAlign w:val="center"/>
          </w:tcPr>
          <w:p w14:paraId="3CF6C2D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除杂草</w:t>
            </w:r>
          </w:p>
        </w:tc>
        <w:tc>
          <w:tcPr>
            <w:tcW w:w="3029" w:type="dxa"/>
            <w:noWrap w:val="0"/>
            <w:vAlign w:val="center"/>
          </w:tcPr>
          <w:p w14:paraId="63F3BCF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每年生长季节随时除掉杂草。</w:t>
            </w:r>
          </w:p>
        </w:tc>
        <w:tc>
          <w:tcPr>
            <w:tcW w:w="4281" w:type="dxa"/>
            <w:noWrap w:val="0"/>
            <w:vAlign w:val="center"/>
          </w:tcPr>
          <w:p w14:paraId="3FDBDFE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p>
        </w:tc>
      </w:tr>
      <w:tr w14:paraId="1622E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026" w:type="dxa"/>
            <w:noWrap w:val="0"/>
            <w:vAlign w:val="center"/>
          </w:tcPr>
          <w:p w14:paraId="345DE60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病虫害防治</w:t>
            </w:r>
          </w:p>
        </w:tc>
        <w:tc>
          <w:tcPr>
            <w:tcW w:w="3029" w:type="dxa"/>
            <w:noWrap w:val="0"/>
            <w:vAlign w:val="center"/>
          </w:tcPr>
          <w:p w14:paraId="06C7894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根据实际情况适时喷洒农药，除病虫害。</w:t>
            </w:r>
          </w:p>
        </w:tc>
        <w:tc>
          <w:tcPr>
            <w:tcW w:w="4281" w:type="dxa"/>
            <w:noWrap w:val="0"/>
            <w:vAlign w:val="center"/>
          </w:tcPr>
          <w:p w14:paraId="63FD794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p>
        </w:tc>
      </w:tr>
      <w:tr w14:paraId="5701B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026" w:type="dxa"/>
            <w:noWrap w:val="0"/>
            <w:vAlign w:val="center"/>
          </w:tcPr>
          <w:p w14:paraId="27985EB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补栽补种</w:t>
            </w:r>
          </w:p>
        </w:tc>
        <w:tc>
          <w:tcPr>
            <w:tcW w:w="3029" w:type="dxa"/>
            <w:noWrap w:val="0"/>
            <w:vAlign w:val="center"/>
          </w:tcPr>
          <w:p w14:paraId="681C026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根据实际情况按时补栽草坪。</w:t>
            </w:r>
          </w:p>
        </w:tc>
        <w:tc>
          <w:tcPr>
            <w:tcW w:w="4281" w:type="dxa"/>
            <w:noWrap w:val="0"/>
            <w:vAlign w:val="center"/>
          </w:tcPr>
          <w:p w14:paraId="7CA7FB0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p>
        </w:tc>
      </w:tr>
    </w:tbl>
    <w:p w14:paraId="070582F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（3）</w:t>
      </w:r>
      <w:r>
        <w:rPr>
          <w:rFonts w:hint="eastAsia" w:ascii="宋体" w:hAnsi="宋体" w:eastAsia="宋体" w:cs="宋体"/>
          <w:b w:val="0"/>
          <w:bCs/>
          <w:sz w:val="24"/>
          <w:szCs w:val="24"/>
        </w:rPr>
        <w:t>乔木的养护管理</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63"/>
        <w:gridCol w:w="3005"/>
        <w:gridCol w:w="4368"/>
      </w:tblGrid>
      <w:tr w14:paraId="506B3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963" w:type="dxa"/>
            <w:noWrap w:val="0"/>
            <w:vAlign w:val="center"/>
          </w:tcPr>
          <w:p w14:paraId="6B858B8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服务项目</w:t>
            </w:r>
          </w:p>
        </w:tc>
        <w:tc>
          <w:tcPr>
            <w:tcW w:w="3005" w:type="dxa"/>
            <w:noWrap w:val="0"/>
            <w:vAlign w:val="center"/>
          </w:tcPr>
          <w:p w14:paraId="2CE3941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服务内容</w:t>
            </w:r>
          </w:p>
        </w:tc>
        <w:tc>
          <w:tcPr>
            <w:tcW w:w="4368" w:type="dxa"/>
            <w:noWrap w:val="0"/>
            <w:vAlign w:val="center"/>
          </w:tcPr>
          <w:p w14:paraId="2C41901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标准</w:t>
            </w:r>
          </w:p>
        </w:tc>
      </w:tr>
      <w:tr w14:paraId="0A198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963" w:type="dxa"/>
            <w:noWrap w:val="0"/>
            <w:vAlign w:val="center"/>
          </w:tcPr>
          <w:p w14:paraId="5964BEF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浇水</w:t>
            </w:r>
          </w:p>
        </w:tc>
        <w:tc>
          <w:tcPr>
            <w:tcW w:w="3005" w:type="dxa"/>
            <w:noWrap w:val="0"/>
            <w:vAlign w:val="center"/>
          </w:tcPr>
          <w:p w14:paraId="101072C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1.成活树木：于发芽前、封冻前各灌一次透水，生长季节每周浇水两次，确保生长旺盛，枝叶健壮，水分充足，无枯死；2.新栽树木：第一周每天浇一次透水，以后逐渐减少次数，确保树木成活。</w:t>
            </w:r>
          </w:p>
        </w:tc>
        <w:tc>
          <w:tcPr>
            <w:tcW w:w="4368" w:type="dxa"/>
            <w:noWrap w:val="0"/>
            <w:vAlign w:val="center"/>
          </w:tcPr>
          <w:p w14:paraId="7FD9FC6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①生长旺盛，枝叶健壮，水分充足，无枯死；②保持植物生长特性的树形，无明显徒长枝和过密的内膛枝；③无枯枝，树不阻碍车辆和行人通过，主侧枝分布均匀，下缘线高于2m；④新种植或胸径15cm以上的植株必须有桩，树桩基本无损坏残缺，绑扎完好有效，高度一致美观；⑤无明显枯枝、死</w:t>
            </w:r>
            <w:r>
              <w:rPr>
                <w:rFonts w:hint="eastAsia" w:ascii="宋体" w:hAnsi="宋体" w:eastAsia="宋体" w:cs="宋体"/>
                <w:sz w:val="24"/>
                <w:szCs w:val="24"/>
                <w:lang w:eastAsia="zh-CN"/>
              </w:rPr>
              <w:t>杈</w:t>
            </w:r>
            <w:r>
              <w:rPr>
                <w:rFonts w:hint="eastAsia" w:ascii="宋体" w:hAnsi="宋体" w:eastAsia="宋体" w:cs="宋体"/>
                <w:sz w:val="24"/>
                <w:szCs w:val="24"/>
              </w:rPr>
              <w:t>，有虫害枝条5%以下；⑥作好防风措施，受外力影响歪倒乔木在外力结束24小时内扶正，暴风雨过后12小时，无倒斜，断枝落叶在6小时内处理完毕；⑦每年保证施根肥2次，采用穴施或沟施，施肥、浇水及时，覆土平整，肥料不露出土面。</w:t>
            </w:r>
          </w:p>
        </w:tc>
      </w:tr>
      <w:tr w14:paraId="61DDF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963" w:type="dxa"/>
            <w:noWrap w:val="0"/>
            <w:vAlign w:val="center"/>
          </w:tcPr>
          <w:p w14:paraId="2BF67F5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修剪</w:t>
            </w:r>
          </w:p>
        </w:tc>
        <w:tc>
          <w:tcPr>
            <w:tcW w:w="3005" w:type="dxa"/>
            <w:noWrap w:val="0"/>
            <w:vAlign w:val="center"/>
          </w:tcPr>
          <w:p w14:paraId="0225D9B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1.每年于发芽前进行疏剪、短截，即整形修剪；2.生长季节除去病虫枝、枯死枝；入秋后进行重剪。每年至少修剪1次。</w:t>
            </w:r>
          </w:p>
        </w:tc>
        <w:tc>
          <w:tcPr>
            <w:tcW w:w="4368" w:type="dxa"/>
            <w:noWrap w:val="0"/>
            <w:vAlign w:val="center"/>
          </w:tcPr>
          <w:p w14:paraId="76EF14D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p>
        </w:tc>
      </w:tr>
      <w:tr w14:paraId="1AB0D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963" w:type="dxa"/>
            <w:noWrap w:val="0"/>
            <w:vAlign w:val="center"/>
          </w:tcPr>
          <w:p w14:paraId="2DDC1D6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施肥</w:t>
            </w:r>
          </w:p>
        </w:tc>
        <w:tc>
          <w:tcPr>
            <w:tcW w:w="3005" w:type="dxa"/>
            <w:noWrap w:val="0"/>
            <w:vAlign w:val="center"/>
          </w:tcPr>
          <w:p w14:paraId="6C72D20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每年4、9月各施根肥一次，生长季节配合打药进行几次叶面喷肥。</w:t>
            </w:r>
          </w:p>
        </w:tc>
        <w:tc>
          <w:tcPr>
            <w:tcW w:w="4368" w:type="dxa"/>
            <w:noWrap w:val="0"/>
            <w:vAlign w:val="center"/>
          </w:tcPr>
          <w:p w14:paraId="4825C77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p>
        </w:tc>
      </w:tr>
      <w:tr w14:paraId="7734D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963" w:type="dxa"/>
            <w:noWrap w:val="0"/>
            <w:vAlign w:val="center"/>
          </w:tcPr>
          <w:p w14:paraId="5B19801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病虫害防治</w:t>
            </w:r>
          </w:p>
        </w:tc>
        <w:tc>
          <w:tcPr>
            <w:tcW w:w="3005" w:type="dxa"/>
            <w:noWrap w:val="0"/>
            <w:vAlign w:val="center"/>
          </w:tcPr>
          <w:p w14:paraId="494B120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每年发芽前、落叶后各喷一次石硫合剂；2.生长季节根据消杀计划适时喷洒农药防治病虫害；3.每年11月份进行一次树干刷白，刷白高度为1.2米，石飞和硫磺的比例正确，不出现浓度不一的现象，刷白处的草绳和侧枝应剪除。</w:t>
            </w:r>
          </w:p>
        </w:tc>
        <w:tc>
          <w:tcPr>
            <w:tcW w:w="4368" w:type="dxa"/>
            <w:noWrap w:val="0"/>
            <w:vAlign w:val="center"/>
          </w:tcPr>
          <w:p w14:paraId="4D1ADE8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p>
        </w:tc>
      </w:tr>
      <w:tr w14:paraId="0A9FA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963" w:type="dxa"/>
            <w:noWrap w:val="0"/>
            <w:vAlign w:val="center"/>
          </w:tcPr>
          <w:p w14:paraId="1814F42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防台风</w:t>
            </w:r>
          </w:p>
        </w:tc>
        <w:tc>
          <w:tcPr>
            <w:tcW w:w="3005" w:type="dxa"/>
            <w:noWrap w:val="0"/>
            <w:vAlign w:val="center"/>
          </w:tcPr>
          <w:p w14:paraId="38B2643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1.暴风雨来临前合理修剪，加固护树架；2.暴风雨期间迅速清理倒树断枝，疏通道路；3.暴风雨后及时扶正倾斜树木，补植缺株，清除</w:t>
            </w:r>
            <w:r>
              <w:rPr>
                <w:rFonts w:hint="eastAsia" w:ascii="宋体" w:hAnsi="宋体" w:eastAsia="宋体" w:cs="宋体"/>
                <w:sz w:val="24"/>
                <w:szCs w:val="24"/>
                <w:lang w:eastAsia="zh-CN"/>
              </w:rPr>
              <w:t>断枝</w:t>
            </w:r>
            <w:r>
              <w:rPr>
                <w:rFonts w:hint="eastAsia" w:ascii="宋体" w:hAnsi="宋体" w:eastAsia="宋体" w:cs="宋体"/>
                <w:sz w:val="24"/>
                <w:szCs w:val="24"/>
              </w:rPr>
              <w:t>落叶和垃圾。</w:t>
            </w:r>
          </w:p>
        </w:tc>
        <w:tc>
          <w:tcPr>
            <w:tcW w:w="4368" w:type="dxa"/>
            <w:noWrap w:val="0"/>
            <w:vAlign w:val="center"/>
          </w:tcPr>
          <w:p w14:paraId="41DC935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p>
        </w:tc>
      </w:tr>
      <w:tr w14:paraId="09AE8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963" w:type="dxa"/>
            <w:noWrap w:val="0"/>
            <w:vAlign w:val="center"/>
          </w:tcPr>
          <w:p w14:paraId="7B82F61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补植</w:t>
            </w:r>
          </w:p>
        </w:tc>
        <w:tc>
          <w:tcPr>
            <w:tcW w:w="3005" w:type="dxa"/>
            <w:noWrap w:val="0"/>
            <w:vAlign w:val="center"/>
          </w:tcPr>
          <w:p w14:paraId="5D55A90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每年的春、秋植树季节按时对死亡的乔木进行更换，更换的品种和规格应与原品种、规格一致。</w:t>
            </w:r>
          </w:p>
        </w:tc>
        <w:tc>
          <w:tcPr>
            <w:tcW w:w="4368" w:type="dxa"/>
            <w:noWrap w:val="0"/>
            <w:vAlign w:val="center"/>
          </w:tcPr>
          <w:p w14:paraId="394CDC9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p>
        </w:tc>
      </w:tr>
    </w:tbl>
    <w:p w14:paraId="2B9B32AF">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（4）</w:t>
      </w:r>
      <w:r>
        <w:rPr>
          <w:rFonts w:hint="eastAsia" w:ascii="宋体" w:hAnsi="宋体" w:eastAsia="宋体" w:cs="宋体"/>
          <w:b w:val="0"/>
          <w:bCs/>
          <w:sz w:val="24"/>
          <w:szCs w:val="24"/>
        </w:rPr>
        <w:t>灌木和花卉的养护管理</w:t>
      </w:r>
    </w:p>
    <w:tbl>
      <w:tblPr>
        <w:tblStyle w:val="15"/>
        <w:tblW w:w="8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101"/>
        <w:gridCol w:w="3635"/>
        <w:gridCol w:w="3662"/>
      </w:tblGrid>
      <w:tr w14:paraId="6D462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101" w:type="dxa"/>
            <w:noWrap w:val="0"/>
            <w:vAlign w:val="center"/>
          </w:tcPr>
          <w:p w14:paraId="5AA02A5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服务项目</w:t>
            </w:r>
          </w:p>
        </w:tc>
        <w:tc>
          <w:tcPr>
            <w:tcW w:w="3635" w:type="dxa"/>
            <w:noWrap w:val="0"/>
            <w:vAlign w:val="center"/>
          </w:tcPr>
          <w:p w14:paraId="05BDD59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服务内容</w:t>
            </w:r>
          </w:p>
        </w:tc>
        <w:tc>
          <w:tcPr>
            <w:tcW w:w="3662" w:type="dxa"/>
            <w:noWrap w:val="0"/>
            <w:vAlign w:val="center"/>
          </w:tcPr>
          <w:p w14:paraId="6E11DF3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标准</w:t>
            </w:r>
          </w:p>
        </w:tc>
      </w:tr>
      <w:tr w14:paraId="066B4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101" w:type="dxa"/>
            <w:noWrap w:val="0"/>
            <w:vAlign w:val="center"/>
          </w:tcPr>
          <w:p w14:paraId="4BEFD67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浇水</w:t>
            </w:r>
          </w:p>
        </w:tc>
        <w:tc>
          <w:tcPr>
            <w:tcW w:w="3635" w:type="dxa"/>
            <w:noWrap w:val="0"/>
            <w:vAlign w:val="center"/>
          </w:tcPr>
          <w:p w14:paraId="60A76C36">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1.每年于发芽前、封冻前各灌一次透水；</w:t>
            </w:r>
          </w:p>
          <w:p w14:paraId="548A6D3D">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jc w:val="both"/>
              <w:textAlignment w:val="auto"/>
              <w:rPr>
                <w:rFonts w:hint="eastAsia" w:ascii="宋体" w:hAnsi="宋体" w:eastAsia="宋体" w:cs="宋体"/>
                <w:sz w:val="24"/>
                <w:szCs w:val="24"/>
              </w:rPr>
            </w:pPr>
            <w:r>
              <w:rPr>
                <w:rFonts w:hint="eastAsia" w:ascii="宋体" w:hAnsi="宋体" w:eastAsia="宋体" w:cs="宋体"/>
                <w:sz w:val="24"/>
                <w:szCs w:val="24"/>
              </w:rPr>
              <w:t>2.生长季节每周浇2次透水；</w:t>
            </w:r>
          </w:p>
          <w:p w14:paraId="72961E6A">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jc w:val="both"/>
              <w:textAlignment w:val="auto"/>
              <w:rPr>
                <w:rFonts w:hint="eastAsia" w:ascii="宋体" w:hAnsi="宋体" w:eastAsia="宋体" w:cs="宋体"/>
                <w:sz w:val="24"/>
                <w:szCs w:val="24"/>
              </w:rPr>
            </w:pPr>
            <w:r>
              <w:rPr>
                <w:rFonts w:hint="eastAsia" w:ascii="宋体" w:hAnsi="宋体" w:eastAsia="宋体" w:cs="宋体"/>
                <w:sz w:val="24"/>
                <w:szCs w:val="24"/>
              </w:rPr>
              <w:t>3.确保生长旺盛，枝叶健壮，无死树。</w:t>
            </w:r>
          </w:p>
        </w:tc>
        <w:tc>
          <w:tcPr>
            <w:tcW w:w="3662" w:type="dxa"/>
            <w:noWrap w:val="0"/>
            <w:vAlign w:val="center"/>
          </w:tcPr>
          <w:p w14:paraId="407293C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①生长旺盛，枝叶健壮，水分充足，无枯死；②病虫危害率不超过5%；③成型，造型美观，新长枝不超过15厘米；④采用穴施或沟施，施肥、浇水及时，覆土平整，肥料不露出土面；⑤预留观花的灌木，保证开花繁茂，枝条不过于杂乱；⑥暴风雨过后12小时，无倒斜，断枝落叶在6小时内处理完毕；⑦多种植物成片种植的轮廓线整齐、有层次，单体花坛线条清晰；⑧缺苗、死苗及时更换；⑨过密花丛及时分栽、老化花丛及时翻种。</w:t>
            </w:r>
          </w:p>
        </w:tc>
      </w:tr>
      <w:tr w14:paraId="262A5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101" w:type="dxa"/>
            <w:noWrap w:val="0"/>
            <w:vAlign w:val="center"/>
          </w:tcPr>
          <w:p w14:paraId="2C0D20D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修剪</w:t>
            </w:r>
          </w:p>
        </w:tc>
        <w:tc>
          <w:tcPr>
            <w:tcW w:w="3635" w:type="dxa"/>
            <w:noWrap w:val="0"/>
            <w:vAlign w:val="center"/>
          </w:tcPr>
          <w:p w14:paraId="248E238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常规修剪的单体灌木嫩梢不能超过15cm，绿篱及模纹不能超过10cm，修剪后要表面平整圆滑，不同植物间的界面清晰，修剪须符合植物的生长特性，开花植物能适时开花且花多色艳。</w:t>
            </w:r>
          </w:p>
        </w:tc>
        <w:tc>
          <w:tcPr>
            <w:tcW w:w="3662" w:type="dxa"/>
            <w:noWrap w:val="0"/>
            <w:vAlign w:val="center"/>
          </w:tcPr>
          <w:p w14:paraId="07082A2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p>
        </w:tc>
      </w:tr>
      <w:tr w14:paraId="76FB9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101" w:type="dxa"/>
            <w:noWrap w:val="0"/>
            <w:vAlign w:val="center"/>
          </w:tcPr>
          <w:p w14:paraId="34E68602">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施肥</w:t>
            </w:r>
          </w:p>
        </w:tc>
        <w:tc>
          <w:tcPr>
            <w:tcW w:w="3635" w:type="dxa"/>
            <w:noWrap w:val="0"/>
            <w:vAlign w:val="center"/>
          </w:tcPr>
          <w:p w14:paraId="598457E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每年4、9月各施肥一次，生长季节根据情况进行叶面喷肥，观花灌木花后与花芽分化期各追肥2次。</w:t>
            </w:r>
          </w:p>
        </w:tc>
        <w:tc>
          <w:tcPr>
            <w:tcW w:w="3662" w:type="dxa"/>
            <w:noWrap w:val="0"/>
            <w:vAlign w:val="center"/>
          </w:tcPr>
          <w:p w14:paraId="0CFBFD1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p>
        </w:tc>
      </w:tr>
      <w:tr w14:paraId="06D1C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101" w:type="dxa"/>
            <w:noWrap w:val="0"/>
            <w:vAlign w:val="center"/>
          </w:tcPr>
          <w:p w14:paraId="1F306C7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病虫害防治</w:t>
            </w:r>
          </w:p>
        </w:tc>
        <w:tc>
          <w:tcPr>
            <w:tcW w:w="3635" w:type="dxa"/>
            <w:noWrap w:val="0"/>
            <w:vAlign w:val="center"/>
          </w:tcPr>
          <w:p w14:paraId="584C834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根据实际情况适时喷洒农药，防治病虫害，虫害面积控制在8%以下。</w:t>
            </w:r>
          </w:p>
        </w:tc>
        <w:tc>
          <w:tcPr>
            <w:tcW w:w="3662" w:type="dxa"/>
            <w:noWrap w:val="0"/>
            <w:vAlign w:val="center"/>
          </w:tcPr>
          <w:p w14:paraId="3AF3399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p>
        </w:tc>
      </w:tr>
      <w:tr w14:paraId="7FFE6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101" w:type="dxa"/>
            <w:noWrap w:val="0"/>
            <w:vAlign w:val="center"/>
          </w:tcPr>
          <w:p w14:paraId="35D90CC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补栽补种</w:t>
            </w:r>
          </w:p>
        </w:tc>
        <w:tc>
          <w:tcPr>
            <w:tcW w:w="3635" w:type="dxa"/>
            <w:noWrap w:val="0"/>
            <w:vAlign w:val="center"/>
          </w:tcPr>
          <w:p w14:paraId="707BE03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及时清理死苗，按时对死亡的灌木花卉进行更换。</w:t>
            </w:r>
          </w:p>
        </w:tc>
        <w:tc>
          <w:tcPr>
            <w:tcW w:w="3662" w:type="dxa"/>
            <w:noWrap w:val="0"/>
            <w:vAlign w:val="center"/>
          </w:tcPr>
          <w:p w14:paraId="5497895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p>
        </w:tc>
      </w:tr>
    </w:tbl>
    <w:p w14:paraId="16BACF0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（5）</w:t>
      </w:r>
      <w:r>
        <w:rPr>
          <w:rFonts w:hint="eastAsia" w:ascii="宋体" w:hAnsi="宋体" w:eastAsia="宋体" w:cs="宋体"/>
          <w:b w:val="0"/>
          <w:bCs/>
          <w:sz w:val="24"/>
          <w:szCs w:val="24"/>
        </w:rPr>
        <w:t>水池、水域和水生植物的养护管理</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2760"/>
        <w:gridCol w:w="2760"/>
        <w:gridCol w:w="2760"/>
      </w:tblGrid>
      <w:tr w14:paraId="6B292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noWrap w:val="0"/>
            <w:tcMar>
              <w:top w:w="60" w:type="dxa"/>
              <w:left w:w="120" w:type="dxa"/>
              <w:bottom w:w="30" w:type="dxa"/>
              <w:right w:w="120" w:type="dxa"/>
            </w:tcMar>
            <w:vAlign w:val="center"/>
          </w:tcPr>
          <w:p w14:paraId="042005C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服务项目</w:t>
            </w:r>
          </w:p>
        </w:tc>
        <w:tc>
          <w:tcPr>
            <w:tcW w:w="2760" w:type="dxa"/>
            <w:noWrap w:val="0"/>
            <w:tcMar>
              <w:top w:w="60" w:type="dxa"/>
              <w:left w:w="120" w:type="dxa"/>
              <w:bottom w:w="30" w:type="dxa"/>
              <w:right w:w="120" w:type="dxa"/>
            </w:tcMar>
            <w:vAlign w:val="center"/>
          </w:tcPr>
          <w:p w14:paraId="6544F7C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服务内容</w:t>
            </w:r>
          </w:p>
        </w:tc>
        <w:tc>
          <w:tcPr>
            <w:tcW w:w="2760" w:type="dxa"/>
            <w:noWrap w:val="0"/>
            <w:tcMar>
              <w:top w:w="60" w:type="dxa"/>
              <w:left w:w="120" w:type="dxa"/>
              <w:bottom w:w="30" w:type="dxa"/>
              <w:right w:w="120" w:type="dxa"/>
            </w:tcMar>
            <w:vAlign w:val="center"/>
          </w:tcPr>
          <w:p w14:paraId="00A9556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标准</w:t>
            </w:r>
          </w:p>
        </w:tc>
      </w:tr>
      <w:tr w14:paraId="2C431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noWrap w:val="0"/>
            <w:tcMar>
              <w:top w:w="60" w:type="dxa"/>
              <w:left w:w="120" w:type="dxa"/>
              <w:bottom w:w="30" w:type="dxa"/>
              <w:right w:w="120" w:type="dxa"/>
            </w:tcMar>
            <w:vAlign w:val="center"/>
          </w:tcPr>
          <w:p w14:paraId="2A49DED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水生植物养护</w:t>
            </w:r>
          </w:p>
        </w:tc>
        <w:tc>
          <w:tcPr>
            <w:tcW w:w="2760" w:type="dxa"/>
            <w:noWrap w:val="0"/>
            <w:tcMar>
              <w:top w:w="60" w:type="dxa"/>
              <w:left w:w="120" w:type="dxa"/>
              <w:bottom w:w="30" w:type="dxa"/>
              <w:right w:w="120" w:type="dxa"/>
            </w:tcMar>
            <w:vAlign w:val="center"/>
          </w:tcPr>
          <w:p w14:paraId="58E1E1F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及时施肥、防病虫害，确保无病叶枯叶，适时开花且花多色艳。</w:t>
            </w:r>
          </w:p>
        </w:tc>
        <w:tc>
          <w:tcPr>
            <w:tcW w:w="2760" w:type="dxa"/>
            <w:noWrap w:val="0"/>
            <w:tcMar>
              <w:top w:w="60" w:type="dxa"/>
              <w:left w:w="120" w:type="dxa"/>
              <w:bottom w:w="30" w:type="dxa"/>
              <w:right w:w="120" w:type="dxa"/>
            </w:tcMar>
            <w:vAlign w:val="center"/>
          </w:tcPr>
          <w:p w14:paraId="44D009D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保持水生植物生长旺盛。</w:t>
            </w:r>
          </w:p>
        </w:tc>
      </w:tr>
    </w:tbl>
    <w:p w14:paraId="604278A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（6）</w:t>
      </w:r>
      <w:r>
        <w:rPr>
          <w:rFonts w:hint="eastAsia" w:ascii="宋体" w:hAnsi="宋体" w:eastAsia="宋体" w:cs="宋体"/>
          <w:b w:val="0"/>
          <w:bCs/>
          <w:sz w:val="24"/>
          <w:szCs w:val="24"/>
        </w:rPr>
        <w:t>绿地保洁管理</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1182"/>
        <w:gridCol w:w="3796"/>
        <w:gridCol w:w="3302"/>
      </w:tblGrid>
      <w:tr w14:paraId="421DC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1182" w:type="dxa"/>
            <w:noWrap w:val="0"/>
            <w:tcMar>
              <w:top w:w="60" w:type="dxa"/>
              <w:left w:w="120" w:type="dxa"/>
              <w:bottom w:w="30" w:type="dxa"/>
              <w:right w:w="120" w:type="dxa"/>
            </w:tcMar>
            <w:vAlign w:val="center"/>
          </w:tcPr>
          <w:p w14:paraId="37D15C0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服务项目</w:t>
            </w:r>
          </w:p>
        </w:tc>
        <w:tc>
          <w:tcPr>
            <w:tcW w:w="3796" w:type="dxa"/>
            <w:noWrap w:val="0"/>
            <w:tcMar>
              <w:top w:w="60" w:type="dxa"/>
              <w:left w:w="120" w:type="dxa"/>
              <w:bottom w:w="30" w:type="dxa"/>
              <w:right w:w="120" w:type="dxa"/>
            </w:tcMar>
            <w:vAlign w:val="center"/>
          </w:tcPr>
          <w:p w14:paraId="7339AD9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服务内容</w:t>
            </w:r>
          </w:p>
        </w:tc>
        <w:tc>
          <w:tcPr>
            <w:tcW w:w="3302" w:type="dxa"/>
            <w:noWrap w:val="0"/>
            <w:tcMar>
              <w:top w:w="60" w:type="dxa"/>
              <w:left w:w="120" w:type="dxa"/>
              <w:bottom w:w="30" w:type="dxa"/>
              <w:right w:w="120" w:type="dxa"/>
            </w:tcMar>
            <w:vAlign w:val="center"/>
          </w:tcPr>
          <w:p w14:paraId="13D1139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标准</w:t>
            </w:r>
          </w:p>
        </w:tc>
      </w:tr>
      <w:tr w14:paraId="5D382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182" w:type="dxa"/>
            <w:noWrap w:val="0"/>
            <w:tcMar>
              <w:top w:w="60" w:type="dxa"/>
              <w:left w:w="120" w:type="dxa"/>
              <w:bottom w:w="30" w:type="dxa"/>
              <w:right w:w="120" w:type="dxa"/>
            </w:tcMar>
            <w:vAlign w:val="center"/>
          </w:tcPr>
          <w:p w14:paraId="21ADE19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草坪保洁</w:t>
            </w:r>
          </w:p>
        </w:tc>
        <w:tc>
          <w:tcPr>
            <w:tcW w:w="3796" w:type="dxa"/>
            <w:noWrap w:val="0"/>
            <w:tcMar>
              <w:top w:w="60" w:type="dxa"/>
              <w:left w:w="120" w:type="dxa"/>
              <w:bottom w:w="30" w:type="dxa"/>
              <w:right w:w="120" w:type="dxa"/>
            </w:tcMar>
            <w:vAlign w:val="center"/>
          </w:tcPr>
          <w:p w14:paraId="61ACAC7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每天清扫一次并做好巡回保洁及时清扫落下的树叶和垃圾。</w:t>
            </w:r>
          </w:p>
        </w:tc>
        <w:tc>
          <w:tcPr>
            <w:tcW w:w="3302" w:type="dxa"/>
            <w:noWrap w:val="0"/>
            <w:tcMar>
              <w:top w:w="60" w:type="dxa"/>
              <w:left w:w="120" w:type="dxa"/>
              <w:bottom w:w="30" w:type="dxa"/>
              <w:right w:w="120" w:type="dxa"/>
            </w:tcMar>
            <w:vAlign w:val="center"/>
          </w:tcPr>
          <w:p w14:paraId="401A301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①非落叶季节每10平方米不超过5片树叶或零星物，落叶季节不超过10片树叶或零星物；②草坪内无枯枝或砖块等杂物；草坪无践踏现象。</w:t>
            </w:r>
          </w:p>
        </w:tc>
      </w:tr>
      <w:tr w14:paraId="59976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1182" w:type="dxa"/>
            <w:noWrap w:val="0"/>
            <w:tcMar>
              <w:top w:w="60" w:type="dxa"/>
              <w:left w:w="120" w:type="dxa"/>
              <w:bottom w:w="30" w:type="dxa"/>
              <w:right w:w="120" w:type="dxa"/>
            </w:tcMar>
            <w:vAlign w:val="center"/>
          </w:tcPr>
          <w:p w14:paraId="4BFE0F5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色带保洁</w:t>
            </w:r>
          </w:p>
        </w:tc>
        <w:tc>
          <w:tcPr>
            <w:tcW w:w="3796" w:type="dxa"/>
            <w:noWrap w:val="0"/>
            <w:tcMar>
              <w:top w:w="60" w:type="dxa"/>
              <w:left w:w="120" w:type="dxa"/>
              <w:bottom w:w="30" w:type="dxa"/>
              <w:right w:w="120" w:type="dxa"/>
            </w:tcMar>
            <w:vAlign w:val="center"/>
          </w:tcPr>
          <w:p w14:paraId="37CFF9F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每天清扫一次并做好巡回保洁及时清扫落下的树叶和垃圾。</w:t>
            </w:r>
          </w:p>
        </w:tc>
        <w:tc>
          <w:tcPr>
            <w:tcW w:w="3302" w:type="dxa"/>
            <w:noWrap w:val="0"/>
            <w:tcMar>
              <w:top w:w="60" w:type="dxa"/>
              <w:left w:w="120" w:type="dxa"/>
              <w:bottom w:w="30" w:type="dxa"/>
              <w:right w:w="120" w:type="dxa"/>
            </w:tcMar>
            <w:vAlign w:val="center"/>
          </w:tcPr>
          <w:p w14:paraId="63455616">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色带表面清爽干净无杂枝无有色垃圾，随时清理色带周围爬藤确保色带采光，严禁将清扫的垃圾和落叶倒至色带内部。</w:t>
            </w:r>
          </w:p>
        </w:tc>
      </w:tr>
      <w:tr w14:paraId="6AF5D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82" w:type="dxa"/>
            <w:noWrap w:val="0"/>
            <w:tcMar>
              <w:top w:w="60" w:type="dxa"/>
              <w:left w:w="120" w:type="dxa"/>
              <w:bottom w:w="30" w:type="dxa"/>
              <w:right w:w="120" w:type="dxa"/>
            </w:tcMar>
            <w:vAlign w:val="center"/>
          </w:tcPr>
          <w:p w14:paraId="131C32C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现场管理</w:t>
            </w:r>
          </w:p>
        </w:tc>
        <w:tc>
          <w:tcPr>
            <w:tcW w:w="3796" w:type="dxa"/>
            <w:noWrap w:val="0"/>
            <w:tcMar>
              <w:top w:w="60" w:type="dxa"/>
              <w:left w:w="120" w:type="dxa"/>
              <w:bottom w:w="30" w:type="dxa"/>
              <w:right w:w="120" w:type="dxa"/>
            </w:tcMar>
            <w:vAlign w:val="center"/>
          </w:tcPr>
          <w:p w14:paraId="784D22E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安全管理：①进行高空作业要系好安全带，操作时现场不得少于两人，并设危险警示牌；②进行修剪作业时要设立作业警示标志，避免人员受到伤害；③不能随意搬动、碰撞消防工程设备按键；④员工上岗前要进行消防常识的培训；⑤保持休息室卫生，桌椅摆放整齐；⑥仓库内严禁吸烟、饮食、睡觉；⑦下班前要检查是否有燃烧源，并关灯锁门。</w:t>
            </w:r>
          </w:p>
        </w:tc>
        <w:tc>
          <w:tcPr>
            <w:tcW w:w="3302" w:type="dxa"/>
            <w:noWrap w:val="0"/>
            <w:tcMar>
              <w:top w:w="60" w:type="dxa"/>
              <w:left w:w="120" w:type="dxa"/>
              <w:bottom w:w="30" w:type="dxa"/>
              <w:right w:w="120" w:type="dxa"/>
            </w:tcMar>
            <w:vAlign w:val="center"/>
          </w:tcPr>
          <w:p w14:paraId="6AA9F19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sz w:val="24"/>
                <w:szCs w:val="24"/>
              </w:rPr>
            </w:pPr>
          </w:p>
        </w:tc>
      </w:tr>
    </w:tbl>
    <w:p w14:paraId="2741ADF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bookmarkStart w:id="38" w:name="heading_28"/>
      <w:r>
        <w:rPr>
          <w:rFonts w:hint="eastAsia" w:ascii="宋体" w:hAnsi="宋体" w:eastAsia="宋体" w:cs="宋体"/>
          <w:b w:val="0"/>
          <w:bCs/>
          <w:sz w:val="24"/>
          <w:szCs w:val="24"/>
          <w:lang w:val="en-US" w:eastAsia="zh-CN"/>
        </w:rPr>
        <w:t>（7）四害防治作业要求</w:t>
      </w:r>
      <w:bookmarkEnd w:id="38"/>
    </w:p>
    <w:p w14:paraId="0E82C0A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作业单位必须对下水道、沙井、室内通风口、室外落水管等通道口、区域内垃圾、污水排放等疫情情况进行检查并进行相应处理，确保无四害。</w:t>
      </w:r>
    </w:p>
    <w:p w14:paraId="076DD20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a.灭鼠防治方法及要求</w:t>
      </w:r>
    </w:p>
    <w:p w14:paraId="7DBCA48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对外围周边、绿化带、垃圾场、采用毒饵定点投放。室内在走廊过道、楼梯口、杂物堆放处等位置定点投放。</w:t>
      </w:r>
    </w:p>
    <w:p w14:paraId="3BBD370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b.灭蚊防治方法及要求</w:t>
      </w:r>
    </w:p>
    <w:p w14:paraId="4562BB4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根据《爱卫办规范》的要求，灭蚊药物的使用必须“环保、高效”，处理过程中要根据虫害情况不定期轮番更换作业药物。</w:t>
      </w:r>
    </w:p>
    <w:p w14:paraId="14D7277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对孳生地的处理：对学校外围沙井、下水道、污水管道或不易清理的积水处投放灭蚊缓释药剂，污水管道用热烟雾机处理，如遇雨季视情况而定。每周全面投放不低于一次，每次投药需在采购人监督下进行。</w:t>
      </w:r>
    </w:p>
    <w:p w14:paraId="781CD1C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c.灭蝇防治方法及要求</w:t>
      </w:r>
    </w:p>
    <w:p w14:paraId="1031A0C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防止蝇滋生，及时处理垃圾收集点、果皮箱周边环境，采用菊酯类药物稀释的溶液喷洒每周实施不少于1次。</w:t>
      </w:r>
    </w:p>
    <w:p w14:paraId="388CC1C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楼道等公共区域的阴暗角落，采用菊酯类药物稀释的溶液喷洒每周实施不少于1次。</w:t>
      </w:r>
    </w:p>
    <w:p w14:paraId="36ACFB3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组织人员每次消杀时检查清理校内洗手间、外环境乱丢的垃圾、杂物，消除暴露的散在地上的孳生物。</w:t>
      </w:r>
    </w:p>
    <w:p w14:paraId="030B6D6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用菊酯类杀虫乳油作常量喷洒，重点范围在外围绿化带、蝇类活动栖息场所作滞留喷洒。每周实施不少于1次。</w:t>
      </w:r>
    </w:p>
    <w:p w14:paraId="1F66BE3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d.灭蟑螂防治方法及要求</w:t>
      </w:r>
    </w:p>
    <w:p w14:paraId="0432355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根据蟑螂喜欢栖息在温暖、潮湿环境的特点，灭蟑螂主要处理沙井、下水道、化粪池等区域。必须使用“环保、高效”的拟除虫菊酯药物、灭蟑胶饵及灭蟑粉剂进行消杀、毒饵处理。</w:t>
      </w:r>
    </w:p>
    <w:p w14:paraId="45A164B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外围沙井、下水道、化粪池，采用烟熏或常量滞留喷洒处理。每周实施不少于1次。</w:t>
      </w:r>
    </w:p>
    <w:p w14:paraId="5C25297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学校宿舍区域及绿化带，树木采用菊酯类杀虫乳油实施滞留喷洒，或施放灭蟑粉剂、灭蟑胶饵。每周实施不少于1次。</w:t>
      </w:r>
    </w:p>
    <w:p w14:paraId="2C07383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污水井、下水道等地方，一般无法深入喷洒药液，将采用热烟雾机由井口喷放烟雾，喷烟时先将入口密封只留进烟口，以防药烟外泄污染环境。</w:t>
      </w:r>
    </w:p>
    <w:p w14:paraId="193DB29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e.防治内容</w:t>
      </w:r>
    </w:p>
    <w:p w14:paraId="77CCD00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严格按照防治办法和区域进行喷药、防治。</w:t>
      </w:r>
    </w:p>
    <w:p w14:paraId="62D2B2F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与采购人人员保持联系。中标人每次开展四害消杀工作前，须提前24小时书面通知采购人，采购人有权安排人员现场监督；消杀工作完成后，中标人须在24小时内填写《四害消杀工作记录》，详细记录消杀时间、地点、药品、用量及效果，由采购人与中标人现场人员签字确认；《四害消杀工作记录》须按月整理成册，提交采购人备案存档，采购人有权随时查阅，若中标人未按要求记录或备案，每次扣减当月考核分5分，且采购人有权责令中标人重新消杀。</w:t>
      </w:r>
    </w:p>
    <w:p w14:paraId="377C369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所施药品应采用国家规定、安全高效低毒、残效期长、对人畜安全的产品，施药具体日期须提前通知，保证学校人员安全。</w:t>
      </w:r>
    </w:p>
    <w:p w14:paraId="02A6FF8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bookmarkStart w:id="39" w:name="heading_29"/>
      <w:r>
        <w:rPr>
          <w:rFonts w:hint="eastAsia" w:ascii="宋体" w:hAnsi="宋体" w:eastAsia="宋体" w:cs="宋体"/>
          <w:b w:val="0"/>
          <w:bCs/>
          <w:sz w:val="24"/>
          <w:szCs w:val="24"/>
          <w:lang w:val="en-US" w:eastAsia="zh-CN"/>
        </w:rPr>
        <w:t>（8）校园垃圾清运工作</w:t>
      </w:r>
      <w:bookmarkEnd w:id="39"/>
      <w:r>
        <w:rPr>
          <w:rFonts w:hint="eastAsia" w:ascii="宋体" w:hAnsi="宋体" w:eastAsia="宋体" w:cs="宋体"/>
          <w:b w:val="0"/>
          <w:bCs/>
          <w:sz w:val="24"/>
          <w:szCs w:val="24"/>
          <w:lang w:val="en-US" w:eastAsia="zh-CN"/>
        </w:rPr>
        <w:t>要求</w:t>
      </w:r>
    </w:p>
    <w:p w14:paraId="3A15939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a.保质保量完成采购人生活垃圾清运工作，应做到垃圾日产日清。清运的垃圾必须按照属地政府环保部门的要求和标准运送到指定的垃圾处理场，不得未经处理随意倾倒。因倾倒行为导致采购人被有关单位处罚、追偿的，则罚款和赔偿金由中标人承担。</w:t>
      </w:r>
    </w:p>
    <w:p w14:paraId="0D85846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b.每次清运后不得有“满箱和漏箱”现象，清运完毕后需将垃圾箱归位至指定位置。若中标人没有按时清运生活垃圾的，经采购人通知后，应及时派人到现场检查、督促清运到位。</w:t>
      </w:r>
    </w:p>
    <w:p w14:paraId="1563137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c.在清运过程中应采取有效安全措施防止车上垃圾在校园内抛、冒、滴、漏，如发生“落渣、漏渣”等现象时，须及时将现场清理干净。</w:t>
      </w:r>
    </w:p>
    <w:p w14:paraId="20A650B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d.在清运过程中有损坏其他公用设施的，中标人负责照价赔偿。</w:t>
      </w:r>
    </w:p>
    <w:p w14:paraId="30C530D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e.应指派专人检查、督促现场的生活垃圾清运情况，及时收集采购人的反馈意见。</w:t>
      </w:r>
    </w:p>
    <w:p w14:paraId="3543D81F">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b w:val="0"/>
          <w:bCs/>
          <w:sz w:val="24"/>
          <w:szCs w:val="24"/>
          <w:lang w:val="en-US" w:eastAsia="zh-CN"/>
        </w:rPr>
        <w:t>f.在垃圾清运工作时应做到安全、有序，自觉遵守采购人各项安全管理规章制度，低速行驶，降低噪音，确保安全行车。中标人所属人员在垃圾清运工作时，发生伤亡等安全事故，应由中标人承担全部责任，采购人不承担任何责任。</w:t>
      </w:r>
    </w:p>
    <w:p w14:paraId="48BFE40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color w:val="auto"/>
          <w:sz w:val="24"/>
          <w:szCs w:val="24"/>
        </w:rPr>
      </w:pPr>
      <w:bookmarkStart w:id="40" w:name="heading_5"/>
      <w:r>
        <w:rPr>
          <w:rFonts w:hint="eastAsia" w:ascii="宋体" w:hAnsi="宋体" w:eastAsia="宋体" w:cs="宋体"/>
          <w:b w:val="0"/>
          <w:bCs/>
          <w:color w:val="auto"/>
          <w:sz w:val="24"/>
          <w:szCs w:val="24"/>
        </w:rPr>
        <w:t>四、</w:t>
      </w:r>
      <w:bookmarkEnd w:id="40"/>
      <w:r>
        <w:rPr>
          <w:rFonts w:hint="eastAsia" w:ascii="宋体" w:hAnsi="宋体" w:eastAsia="宋体" w:cs="宋体"/>
          <w:b w:val="0"/>
          <w:bCs/>
          <w:color w:val="auto"/>
          <w:sz w:val="24"/>
          <w:szCs w:val="24"/>
        </w:rPr>
        <w:t>物业管理服务期限</w:t>
      </w:r>
    </w:p>
    <w:p w14:paraId="5AC90E6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合同期为</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年（2026年7月1日—202</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年6月30日）。</w:t>
      </w:r>
    </w:p>
    <w:p w14:paraId="4298BFC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outlineLvl w:val="1"/>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lang w:val="en-US" w:eastAsia="zh-CN"/>
        </w:rPr>
        <w:t>五</w:t>
      </w:r>
      <w:r>
        <w:rPr>
          <w:rFonts w:hint="eastAsia" w:ascii="宋体" w:hAnsi="宋体" w:eastAsia="宋体" w:cs="宋体"/>
          <w:b w:val="0"/>
          <w:bCs/>
          <w:color w:val="auto"/>
          <w:sz w:val="24"/>
          <w:szCs w:val="24"/>
        </w:rPr>
        <w:t>、付款方式</w:t>
      </w:r>
    </w:p>
    <w:p w14:paraId="534F1466">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本项目不预付款。物业服务费按季度支付。每季度末，经采购人依据合同及考核细则评估合格后，中标人应在次月15日前提供上季度服务费发票及履约证明材料，采购人在收到合格发票及全部资料后7个工作日内，支付当季度服务费用</w:t>
      </w: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rPr>
        <w:t>签订合同时，</w:t>
      </w:r>
      <w:r>
        <w:rPr>
          <w:rFonts w:hint="eastAsia" w:ascii="宋体" w:hAnsi="宋体" w:eastAsia="宋体" w:cs="宋体"/>
          <w:b w:val="0"/>
          <w:bCs/>
          <w:color w:val="auto"/>
          <w:sz w:val="24"/>
          <w:szCs w:val="24"/>
          <w:lang w:val="en-US" w:eastAsia="zh-CN"/>
        </w:rPr>
        <w:t>中标人向采购人支付</w:t>
      </w:r>
      <w:r>
        <w:rPr>
          <w:rFonts w:hint="eastAsia" w:ascii="宋体" w:hAnsi="宋体" w:eastAsia="宋体" w:cs="宋体"/>
          <w:b w:val="0"/>
          <w:bCs/>
          <w:color w:val="auto"/>
          <w:sz w:val="24"/>
          <w:szCs w:val="24"/>
        </w:rPr>
        <w:t>合同金额的5%作为年度履约保证金，在服务年度期满且无违约情形后一次性无息付清。</w:t>
      </w:r>
    </w:p>
    <w:p w14:paraId="41531A9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56" w:firstLineChars="200"/>
        <w:jc w:val="both"/>
        <w:textAlignment w:val="auto"/>
        <w:rPr>
          <w:rFonts w:hint="eastAsia" w:ascii="宋体" w:hAnsi="宋体" w:eastAsia="宋体" w:cs="宋体"/>
          <w:b w:val="0"/>
          <w:bCs/>
          <w:color w:val="auto"/>
          <w:spacing w:val="-6"/>
          <w:sz w:val="24"/>
          <w:szCs w:val="24"/>
        </w:rPr>
      </w:pPr>
      <w:r>
        <w:rPr>
          <w:rFonts w:hint="eastAsia" w:ascii="宋体" w:hAnsi="宋体" w:eastAsia="宋体" w:cs="宋体"/>
          <w:b w:val="0"/>
          <w:bCs/>
          <w:color w:val="auto"/>
          <w:spacing w:val="-6"/>
          <w:sz w:val="24"/>
          <w:szCs w:val="24"/>
        </w:rPr>
        <w:t>该费用包含中标人提供的物业服务的所有费用（含员工工资、节假日加班工资、年终绩效、社会保险费、医保费、失业保险费、管理费、税金</w:t>
      </w:r>
      <w:r>
        <w:rPr>
          <w:rFonts w:hint="eastAsia" w:ascii="宋体" w:hAnsi="宋体" w:eastAsia="宋体" w:cs="宋体"/>
          <w:b w:val="0"/>
          <w:bCs/>
          <w:color w:val="auto"/>
          <w:spacing w:val="-6"/>
          <w:sz w:val="24"/>
          <w:szCs w:val="24"/>
          <w:lang w:eastAsia="zh-CN"/>
        </w:rPr>
        <w:t>、</w:t>
      </w:r>
      <w:r>
        <w:rPr>
          <w:rFonts w:hint="eastAsia" w:ascii="宋体" w:hAnsi="宋体" w:eastAsia="宋体" w:cs="宋体"/>
          <w:b w:val="0"/>
          <w:bCs/>
          <w:color w:val="auto"/>
          <w:spacing w:val="-6"/>
          <w:sz w:val="24"/>
          <w:szCs w:val="24"/>
          <w:lang w:val="en-US" w:eastAsia="zh-CN"/>
        </w:rPr>
        <w:t>节假日福利及</w:t>
      </w:r>
      <w:r>
        <w:rPr>
          <w:rFonts w:hint="eastAsia" w:ascii="宋体" w:hAnsi="宋体" w:eastAsia="宋体" w:cs="宋体"/>
          <w:b w:val="0"/>
          <w:bCs/>
          <w:color w:val="auto"/>
          <w:spacing w:val="-6"/>
          <w:sz w:val="24"/>
          <w:szCs w:val="24"/>
        </w:rPr>
        <w:t>服装、</w:t>
      </w:r>
      <w:r>
        <w:rPr>
          <w:rFonts w:hint="eastAsia" w:ascii="宋体" w:hAnsi="宋体" w:eastAsia="宋体" w:cs="宋体"/>
          <w:b w:val="0"/>
          <w:bCs/>
          <w:color w:val="auto"/>
          <w:spacing w:val="-6"/>
          <w:sz w:val="24"/>
          <w:szCs w:val="24"/>
          <w:lang w:val="en-US" w:eastAsia="zh-CN"/>
        </w:rPr>
        <w:t>劳保用品、安保器材、维修工具、保洁</w:t>
      </w:r>
      <w:r>
        <w:rPr>
          <w:rFonts w:hint="eastAsia" w:ascii="宋体" w:hAnsi="宋体" w:eastAsia="宋体" w:cs="宋体"/>
          <w:b w:val="0"/>
          <w:bCs/>
          <w:color w:val="auto"/>
          <w:spacing w:val="-6"/>
          <w:sz w:val="24"/>
          <w:szCs w:val="24"/>
        </w:rPr>
        <w:t>工具、</w:t>
      </w:r>
      <w:r>
        <w:rPr>
          <w:rFonts w:hint="eastAsia" w:ascii="宋体" w:hAnsi="宋体" w:eastAsia="宋体" w:cs="宋体"/>
          <w:b w:val="0"/>
          <w:bCs/>
          <w:color w:val="auto"/>
          <w:spacing w:val="-6"/>
          <w:sz w:val="24"/>
          <w:szCs w:val="24"/>
          <w:lang w:val="en-US" w:eastAsia="zh-CN"/>
        </w:rPr>
        <w:t>绿化</w:t>
      </w:r>
      <w:r>
        <w:rPr>
          <w:rFonts w:hint="eastAsia" w:ascii="宋体" w:hAnsi="宋体" w:eastAsia="宋体" w:cs="宋体"/>
          <w:b w:val="0"/>
          <w:bCs/>
          <w:color w:val="auto"/>
          <w:spacing w:val="-6"/>
          <w:sz w:val="24"/>
          <w:szCs w:val="24"/>
        </w:rPr>
        <w:t>耗材</w:t>
      </w:r>
      <w:r>
        <w:rPr>
          <w:rFonts w:hint="eastAsia" w:ascii="宋体" w:hAnsi="宋体" w:eastAsia="宋体" w:cs="宋体"/>
          <w:b w:val="0"/>
          <w:bCs/>
          <w:color w:val="auto"/>
          <w:spacing w:val="-6"/>
          <w:sz w:val="24"/>
          <w:szCs w:val="24"/>
          <w:lang w:val="en-US" w:eastAsia="zh-CN"/>
        </w:rPr>
        <w:t>等其他物业服务所需</w:t>
      </w:r>
      <w:r>
        <w:rPr>
          <w:rFonts w:hint="eastAsia" w:ascii="宋体" w:hAnsi="宋体" w:eastAsia="宋体" w:cs="宋体"/>
          <w:b w:val="0"/>
          <w:bCs/>
          <w:color w:val="auto"/>
          <w:spacing w:val="-6"/>
          <w:sz w:val="24"/>
          <w:szCs w:val="24"/>
        </w:rPr>
        <w:t>相关设备</w:t>
      </w:r>
      <w:r>
        <w:rPr>
          <w:rFonts w:hint="eastAsia" w:ascii="宋体" w:hAnsi="宋体" w:eastAsia="宋体" w:cs="宋体"/>
          <w:b w:val="0"/>
          <w:bCs/>
          <w:color w:val="auto"/>
          <w:spacing w:val="-6"/>
          <w:sz w:val="24"/>
          <w:szCs w:val="24"/>
          <w:lang w:val="en-US" w:eastAsia="zh-CN"/>
        </w:rPr>
        <w:t>采购费用</w:t>
      </w:r>
      <w:r>
        <w:rPr>
          <w:rFonts w:hint="eastAsia" w:ascii="宋体" w:hAnsi="宋体" w:eastAsia="宋体" w:cs="宋体"/>
          <w:b w:val="0"/>
          <w:bCs/>
          <w:color w:val="auto"/>
          <w:spacing w:val="-6"/>
          <w:sz w:val="24"/>
          <w:szCs w:val="24"/>
        </w:rPr>
        <w:t>等），采购人不再另行支付其他任何费用。</w:t>
      </w:r>
    </w:p>
    <w:p w14:paraId="64A7A21F">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中标人派驻本项目人员的月度平均工资不得低于龙南市当期最低工资标准；中标人须按江西省2025年城镇职工社保缴费基数下限为所有派驻人员足额缴纳养老保险、医疗保险、工伤保险、生育保险、失业保险，且需每月将派驻人员的社保缴纳记录提交给采购人备查。若采购人核查发现中标人未按要求支付工资或缴纳社保，采购人有权书面通知中标人限期整改；逾期未整改的，采购人有权暂停支付当期服务费，直至中标人提供有效整改证明。情节严重的，采购人有权解除合同并扣除履约保证金。</w:t>
      </w:r>
    </w:p>
    <w:p w14:paraId="070B29F2">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outlineLvl w:val="1"/>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六、考核结果与服务费支付挂钩机制</w:t>
      </w:r>
    </w:p>
    <w:p w14:paraId="23D6AF88">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采购人依据附件</w:t>
      </w:r>
      <w:r>
        <w:rPr>
          <w:rFonts w:hint="eastAsia" w:ascii="宋体" w:hAnsi="宋体" w:eastAsia="宋体" w:cs="宋体"/>
          <w:b w:val="0"/>
          <w:bCs/>
          <w:color w:val="auto"/>
          <w:sz w:val="24"/>
          <w:szCs w:val="24"/>
          <w:lang w:val="en-US" w:eastAsia="zh-CN"/>
        </w:rPr>
        <w:t>中</w:t>
      </w:r>
      <w:r>
        <w:rPr>
          <w:rFonts w:hint="eastAsia" w:ascii="宋体" w:hAnsi="宋体" w:eastAsia="宋体" w:cs="宋体"/>
          <w:b w:val="0"/>
          <w:bCs/>
          <w:color w:val="auto"/>
          <w:sz w:val="24"/>
          <w:szCs w:val="24"/>
        </w:rPr>
        <w:t>考核标准对中标人进行月度考核，每月考核满分为100分。月度考核得分与当期服务费支付比例挂钩如下：</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3146"/>
        <w:gridCol w:w="5273"/>
      </w:tblGrid>
      <w:tr w14:paraId="66B84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3146" w:type="dxa"/>
            <w:noWrap w:val="0"/>
            <w:vAlign w:val="center"/>
          </w:tcPr>
          <w:p w14:paraId="7633DFA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b/>
                <w:bCs w:val="0"/>
                <w:sz w:val="24"/>
                <w:szCs w:val="24"/>
              </w:rPr>
            </w:pPr>
            <w:r>
              <w:rPr>
                <w:rFonts w:hint="eastAsia" w:ascii="宋体" w:hAnsi="宋体" w:eastAsia="宋体" w:cs="宋体"/>
                <w:b/>
                <w:bCs w:val="0"/>
                <w:color w:val="auto"/>
                <w:sz w:val="24"/>
                <w:szCs w:val="24"/>
              </w:rPr>
              <w:t>月度考核得分</w:t>
            </w:r>
          </w:p>
        </w:tc>
        <w:tc>
          <w:tcPr>
            <w:tcW w:w="5273" w:type="dxa"/>
            <w:noWrap w:val="0"/>
            <w:vAlign w:val="center"/>
          </w:tcPr>
          <w:p w14:paraId="3D0B7A3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b/>
                <w:bCs w:val="0"/>
                <w:sz w:val="24"/>
                <w:szCs w:val="24"/>
              </w:rPr>
            </w:pPr>
            <w:r>
              <w:rPr>
                <w:rFonts w:hint="eastAsia" w:ascii="宋体" w:hAnsi="宋体" w:eastAsia="宋体" w:cs="宋体"/>
                <w:b/>
                <w:bCs w:val="0"/>
                <w:color w:val="auto"/>
                <w:sz w:val="24"/>
                <w:szCs w:val="24"/>
              </w:rPr>
              <w:t>服务费支付比例</w:t>
            </w:r>
          </w:p>
        </w:tc>
      </w:tr>
      <w:tr w14:paraId="70F87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3146" w:type="dxa"/>
            <w:noWrap w:val="0"/>
            <w:vAlign w:val="center"/>
          </w:tcPr>
          <w:p w14:paraId="023526A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val="0"/>
                <w:bCs/>
                <w:color w:val="auto"/>
                <w:sz w:val="24"/>
                <w:szCs w:val="24"/>
              </w:rPr>
              <w:t>90分及以上</w:t>
            </w:r>
          </w:p>
        </w:tc>
        <w:tc>
          <w:tcPr>
            <w:tcW w:w="5273" w:type="dxa"/>
            <w:noWrap w:val="0"/>
            <w:vAlign w:val="center"/>
          </w:tcPr>
          <w:p w14:paraId="1A37EAF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val="0"/>
                <w:bCs/>
                <w:color w:val="auto"/>
                <w:sz w:val="24"/>
                <w:szCs w:val="24"/>
              </w:rPr>
              <w:t>全额支付</w:t>
            </w:r>
          </w:p>
        </w:tc>
      </w:tr>
      <w:tr w14:paraId="1713F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3146" w:type="dxa"/>
            <w:noWrap w:val="0"/>
            <w:vAlign w:val="center"/>
          </w:tcPr>
          <w:p w14:paraId="7574F07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val="0"/>
                <w:bCs/>
                <w:color w:val="auto"/>
                <w:sz w:val="24"/>
                <w:szCs w:val="24"/>
              </w:rPr>
              <w:t>80分（含）至89分</w:t>
            </w:r>
          </w:p>
        </w:tc>
        <w:tc>
          <w:tcPr>
            <w:tcW w:w="5273" w:type="dxa"/>
            <w:noWrap w:val="0"/>
            <w:vAlign w:val="center"/>
          </w:tcPr>
          <w:p w14:paraId="4561C3D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val="0"/>
                <w:bCs/>
                <w:color w:val="auto"/>
                <w:sz w:val="24"/>
                <w:szCs w:val="24"/>
              </w:rPr>
              <w:t>扣减当期应付服务费的2%</w:t>
            </w:r>
          </w:p>
        </w:tc>
      </w:tr>
      <w:tr w14:paraId="0EF4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3146" w:type="dxa"/>
            <w:noWrap w:val="0"/>
            <w:vAlign w:val="center"/>
          </w:tcPr>
          <w:p w14:paraId="2DE1C89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val="0"/>
                <w:bCs/>
                <w:color w:val="auto"/>
                <w:sz w:val="24"/>
                <w:szCs w:val="24"/>
              </w:rPr>
              <w:t>70分（含）至79分</w:t>
            </w:r>
          </w:p>
        </w:tc>
        <w:tc>
          <w:tcPr>
            <w:tcW w:w="5273" w:type="dxa"/>
            <w:noWrap w:val="0"/>
            <w:vAlign w:val="center"/>
          </w:tcPr>
          <w:p w14:paraId="07D60E5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val="0"/>
                <w:bCs/>
                <w:color w:val="auto"/>
                <w:sz w:val="24"/>
                <w:szCs w:val="24"/>
              </w:rPr>
              <w:t>扣减当期应付服务费的5%</w:t>
            </w:r>
          </w:p>
        </w:tc>
      </w:tr>
      <w:tr w14:paraId="2FD5D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3146" w:type="dxa"/>
            <w:noWrap w:val="0"/>
            <w:vAlign w:val="center"/>
          </w:tcPr>
          <w:p w14:paraId="189C711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val="0"/>
                <w:bCs/>
                <w:color w:val="auto"/>
                <w:sz w:val="24"/>
                <w:szCs w:val="24"/>
              </w:rPr>
              <w:t>60分（含）至69分</w:t>
            </w:r>
          </w:p>
        </w:tc>
        <w:tc>
          <w:tcPr>
            <w:tcW w:w="5273" w:type="dxa"/>
            <w:noWrap w:val="0"/>
            <w:vAlign w:val="center"/>
          </w:tcPr>
          <w:p w14:paraId="249C164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val="0"/>
                <w:bCs/>
                <w:color w:val="auto"/>
                <w:sz w:val="24"/>
                <w:szCs w:val="24"/>
              </w:rPr>
              <w:t>扣减当期应付服务费的10%</w:t>
            </w:r>
          </w:p>
        </w:tc>
      </w:tr>
      <w:tr w14:paraId="6C991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3146" w:type="dxa"/>
            <w:noWrap w:val="0"/>
            <w:vAlign w:val="center"/>
          </w:tcPr>
          <w:p w14:paraId="1D4DB29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val="0"/>
                <w:bCs/>
                <w:color w:val="auto"/>
                <w:sz w:val="24"/>
                <w:szCs w:val="24"/>
              </w:rPr>
              <w:t>60分以下</w:t>
            </w:r>
          </w:p>
        </w:tc>
        <w:tc>
          <w:tcPr>
            <w:tcW w:w="5273" w:type="dxa"/>
            <w:noWrap w:val="0"/>
            <w:vAlign w:val="center"/>
          </w:tcPr>
          <w:p w14:paraId="17CA225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b w:val="0"/>
                <w:bCs/>
                <w:color w:val="auto"/>
                <w:sz w:val="24"/>
                <w:szCs w:val="24"/>
              </w:rPr>
              <w:t>采购人有权暂停支付，并要求中标人限期整改，整改合格后支付80%，剩余20%不再支付</w:t>
            </w:r>
          </w:p>
        </w:tc>
      </w:tr>
    </w:tbl>
    <w:p w14:paraId="125E413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480" w:firstLineChars="200"/>
        <w:jc w:val="both"/>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季度服务费按三个月月度考核得分的平均值确定支付比例，与季度结算一并执行。</w:t>
      </w:r>
    </w:p>
    <w:p w14:paraId="1BAA67A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0" w:firstLineChars="0"/>
        <w:jc w:val="both"/>
        <w:textAlignment w:val="auto"/>
        <w:rPr>
          <w:rFonts w:hint="eastAsia" w:ascii="宋体" w:hAnsi="宋体" w:eastAsia="宋体" w:cs="宋体"/>
          <w:b w:val="0"/>
          <w:bCs/>
          <w:color w:val="auto"/>
          <w:sz w:val="24"/>
          <w:szCs w:val="24"/>
        </w:rPr>
      </w:pPr>
    </w:p>
    <w:p w14:paraId="36C093A3">
      <w:pPr>
        <w:keepLines w:val="0"/>
        <w:pageBreakBefore w:val="0"/>
        <w:overflowPunct/>
        <w:topLinePunct w:val="0"/>
        <w:bidi w:val="0"/>
        <w:adjustRightInd w:val="0"/>
        <w:snapToGrid w:val="0"/>
        <w:ind w:left="0" w:leftChars="0"/>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br w:type="page"/>
      </w:r>
    </w:p>
    <w:p w14:paraId="7063574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outlineLvl w:val="1"/>
        <w:rPr>
          <w:rFonts w:hint="eastAsia" w:ascii="宋体" w:hAnsi="宋体" w:eastAsia="宋体" w:cs="宋体"/>
          <w:sz w:val="24"/>
          <w:szCs w:val="24"/>
        </w:rPr>
      </w:pPr>
      <w:r>
        <w:rPr>
          <w:rFonts w:hint="eastAsia" w:ascii="宋体" w:hAnsi="宋体" w:eastAsia="宋体" w:cs="宋体"/>
          <w:b w:val="0"/>
          <w:bCs/>
          <w:sz w:val="24"/>
          <w:szCs w:val="24"/>
        </w:rPr>
        <w:t>附件1：《保洁月考核评分标准》</w:t>
      </w:r>
    </w:p>
    <w:p w14:paraId="0E2EDD6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outlineLvl w:val="2"/>
        <w:rPr>
          <w:rFonts w:hint="eastAsia" w:ascii="宋体" w:hAnsi="宋体" w:eastAsia="宋体" w:cs="宋体"/>
          <w:b/>
          <w:sz w:val="24"/>
          <w:szCs w:val="24"/>
        </w:rPr>
      </w:pPr>
      <w:bookmarkStart w:id="41" w:name="heading_31"/>
    </w:p>
    <w:p w14:paraId="3E0EE48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outlineLvl w:val="2"/>
        <w:rPr>
          <w:rFonts w:hint="eastAsia" w:ascii="宋体" w:hAnsi="宋体" w:eastAsia="宋体" w:cs="宋体"/>
          <w:b/>
          <w:sz w:val="24"/>
          <w:szCs w:val="24"/>
        </w:rPr>
      </w:pPr>
      <w:r>
        <w:rPr>
          <w:rFonts w:hint="eastAsia" w:ascii="宋体" w:hAnsi="宋体" w:eastAsia="宋体" w:cs="宋体"/>
          <w:b/>
          <w:sz w:val="24"/>
          <w:szCs w:val="24"/>
        </w:rPr>
        <w:t>保洁月考核评分标准</w:t>
      </w:r>
    </w:p>
    <w:bookmarkEnd w:id="41"/>
    <w:tbl>
      <w:tblPr>
        <w:tblStyle w:val="15"/>
        <w:tblW w:w="88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745"/>
        <w:gridCol w:w="1110"/>
        <w:gridCol w:w="6315"/>
        <w:gridCol w:w="721"/>
      </w:tblGrid>
      <w:tr w14:paraId="4F135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blHeader/>
          <w:jc w:val="center"/>
        </w:trPr>
        <w:tc>
          <w:tcPr>
            <w:tcW w:w="745" w:type="dxa"/>
            <w:noWrap w:val="0"/>
            <w:vAlign w:val="center"/>
          </w:tcPr>
          <w:p w14:paraId="6CA89EC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总</w:t>
            </w:r>
            <w:r>
              <w:rPr>
                <w:rFonts w:hint="eastAsia" w:ascii="宋体" w:hAnsi="宋体" w:eastAsia="宋体" w:cs="宋体"/>
                <w:sz w:val="24"/>
                <w:szCs w:val="24"/>
              </w:rPr>
              <w:t>项目</w:t>
            </w:r>
          </w:p>
        </w:tc>
        <w:tc>
          <w:tcPr>
            <w:tcW w:w="1110" w:type="dxa"/>
            <w:noWrap w:val="0"/>
            <w:vAlign w:val="center"/>
          </w:tcPr>
          <w:p w14:paraId="6108F41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项目名称</w:t>
            </w:r>
          </w:p>
        </w:tc>
        <w:tc>
          <w:tcPr>
            <w:tcW w:w="6315" w:type="dxa"/>
            <w:noWrap w:val="0"/>
            <w:vAlign w:val="center"/>
          </w:tcPr>
          <w:p w14:paraId="72D4DC2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评分标准（含扣分项）</w:t>
            </w:r>
          </w:p>
        </w:tc>
        <w:tc>
          <w:tcPr>
            <w:tcW w:w="721" w:type="dxa"/>
            <w:noWrap w:val="0"/>
            <w:vAlign w:val="center"/>
          </w:tcPr>
          <w:p w14:paraId="35C2C18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扣分</w:t>
            </w:r>
          </w:p>
        </w:tc>
      </w:tr>
      <w:tr w14:paraId="027DC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restart"/>
            <w:noWrap w:val="0"/>
            <w:vAlign w:val="center"/>
          </w:tcPr>
          <w:p w14:paraId="7DFA9BD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卫生间</w:t>
            </w:r>
          </w:p>
        </w:tc>
        <w:tc>
          <w:tcPr>
            <w:tcW w:w="1110" w:type="dxa"/>
            <w:noWrap w:val="0"/>
            <w:vAlign w:val="center"/>
          </w:tcPr>
          <w:p w14:paraId="186A382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地面、踢脚线</w:t>
            </w:r>
          </w:p>
        </w:tc>
        <w:tc>
          <w:tcPr>
            <w:tcW w:w="6315" w:type="dxa"/>
            <w:noWrap w:val="0"/>
            <w:vAlign w:val="center"/>
          </w:tcPr>
          <w:p w14:paraId="6E91FC2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需保持干净无污渍，未拖每处扣0.5分；地面、踢脚线有污水痕，或拖后使用产生较重污渍（单处面积≥5cm²，或多处累计面积≥10cm²）未及时补拖，每处扣0.2分。</w:t>
            </w:r>
          </w:p>
        </w:tc>
        <w:tc>
          <w:tcPr>
            <w:tcW w:w="721" w:type="dxa"/>
            <w:noWrap w:val="0"/>
            <w:vAlign w:val="center"/>
          </w:tcPr>
          <w:p w14:paraId="134E952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4F4D3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3DD2DBA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2C53743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大便槽</w:t>
            </w:r>
          </w:p>
        </w:tc>
        <w:tc>
          <w:tcPr>
            <w:tcW w:w="6315" w:type="dxa"/>
            <w:noWrap w:val="0"/>
            <w:vAlign w:val="center"/>
          </w:tcPr>
          <w:p w14:paraId="6874931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需按要求彻底清洗，清洗后有少许便迹每处扣0.2分；虽清洗但有多处便迹（3处及以上），每处扣0.5分。</w:t>
            </w:r>
          </w:p>
        </w:tc>
        <w:tc>
          <w:tcPr>
            <w:tcW w:w="721" w:type="dxa"/>
            <w:noWrap w:val="0"/>
            <w:vAlign w:val="center"/>
          </w:tcPr>
          <w:p w14:paraId="1565F28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14559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629A93C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6DAD78E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小便池</w:t>
            </w:r>
          </w:p>
        </w:tc>
        <w:tc>
          <w:tcPr>
            <w:tcW w:w="6315" w:type="dxa"/>
            <w:noWrap w:val="0"/>
            <w:vAlign w:val="center"/>
          </w:tcPr>
          <w:p w14:paraId="638F889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需保持干净无尿垢，池面有灰但池内及排水管较干净，每处扣0.2分；池内或排水管有尿垢（覆盖面积≥2cm²），每处扣0.5分。</w:t>
            </w:r>
          </w:p>
        </w:tc>
        <w:tc>
          <w:tcPr>
            <w:tcW w:w="721" w:type="dxa"/>
            <w:noWrap w:val="0"/>
            <w:vAlign w:val="center"/>
          </w:tcPr>
          <w:p w14:paraId="643E8A1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64E0D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592E773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75B777A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隔断顶</w:t>
            </w:r>
          </w:p>
        </w:tc>
        <w:tc>
          <w:tcPr>
            <w:tcW w:w="6315" w:type="dxa"/>
            <w:noWrap w:val="0"/>
            <w:vAlign w:val="center"/>
          </w:tcPr>
          <w:p w14:paraId="6A4D0A8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需无明显灰尘，有薄薄的灰尘（手摸无明显污渍残留）每处扣0.2分；灰尘较厚（手摸有明显污渍残留、可见浮灰）每处扣0.5分。</w:t>
            </w:r>
          </w:p>
        </w:tc>
        <w:tc>
          <w:tcPr>
            <w:tcW w:w="721" w:type="dxa"/>
            <w:noWrap w:val="0"/>
            <w:vAlign w:val="center"/>
          </w:tcPr>
          <w:p w14:paraId="2DBE747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50D6E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611688D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72E9B95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蹲位门</w:t>
            </w:r>
          </w:p>
        </w:tc>
        <w:tc>
          <w:tcPr>
            <w:tcW w:w="6315" w:type="dxa"/>
            <w:noWrap w:val="0"/>
            <w:vAlign w:val="center"/>
          </w:tcPr>
          <w:p w14:paraId="4E2CB0E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需无广告、无字迹，有广告、字迹等每处扣0.5分。</w:t>
            </w:r>
          </w:p>
        </w:tc>
        <w:tc>
          <w:tcPr>
            <w:tcW w:w="721" w:type="dxa"/>
            <w:noWrap w:val="0"/>
            <w:vAlign w:val="center"/>
          </w:tcPr>
          <w:p w14:paraId="1A996F7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15334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284433A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4780143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水池、台面、镜面</w:t>
            </w:r>
          </w:p>
        </w:tc>
        <w:tc>
          <w:tcPr>
            <w:tcW w:w="6315" w:type="dxa"/>
            <w:noWrap w:val="0"/>
            <w:vAlign w:val="center"/>
          </w:tcPr>
          <w:p w14:paraId="4463BAA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需清洗干净，虽清洗但不干净、台面有大量水迹（覆盖面积≥10cm²），每处扣0.5分；虽清洗但不干净、表面及侧面有污迹（1-2处，单处面积＜10cm²），每处扣0.2分。</w:t>
            </w:r>
          </w:p>
        </w:tc>
        <w:tc>
          <w:tcPr>
            <w:tcW w:w="721" w:type="dxa"/>
            <w:noWrap w:val="0"/>
            <w:vAlign w:val="center"/>
          </w:tcPr>
          <w:p w14:paraId="3D19CF1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154CB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2B44249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4B8DE4E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拖把池</w:t>
            </w:r>
          </w:p>
        </w:tc>
        <w:tc>
          <w:tcPr>
            <w:tcW w:w="6315" w:type="dxa"/>
            <w:noWrap w:val="0"/>
            <w:vAlign w:val="center"/>
          </w:tcPr>
          <w:p w14:paraId="3AD3C1F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需保持干净，水池外壁较脏（1-2处污迹，单处面积＜5cm²）每处扣0.2分；水池内外壁均较脏（污迹3处及以上，或单处面积≥5cm²）每处扣0.5分。</w:t>
            </w:r>
          </w:p>
        </w:tc>
        <w:tc>
          <w:tcPr>
            <w:tcW w:w="721" w:type="dxa"/>
            <w:noWrap w:val="0"/>
            <w:vAlign w:val="center"/>
          </w:tcPr>
          <w:p w14:paraId="2154AB0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682D3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303D771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15159F5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天棚、墙面</w:t>
            </w:r>
          </w:p>
        </w:tc>
        <w:tc>
          <w:tcPr>
            <w:tcW w:w="6315" w:type="dxa"/>
            <w:noWrap w:val="0"/>
            <w:vAlign w:val="center"/>
          </w:tcPr>
          <w:p w14:paraId="75F2F1B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需无蜘蛛网、无灰迹、无广告纸，无蜘蛛网但瓷砖墙面不干净、有灰迹或广告纸（1-2处），每处扣0.2分；有蜘蛛网（1处及以上）且墙面不干净（污迹3处及以上），每处扣0.5分。</w:t>
            </w:r>
          </w:p>
        </w:tc>
        <w:tc>
          <w:tcPr>
            <w:tcW w:w="721" w:type="dxa"/>
            <w:noWrap w:val="0"/>
            <w:vAlign w:val="center"/>
          </w:tcPr>
          <w:p w14:paraId="76D448B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09243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274E89F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554F968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开关板</w:t>
            </w:r>
          </w:p>
        </w:tc>
        <w:tc>
          <w:tcPr>
            <w:tcW w:w="6315" w:type="dxa"/>
            <w:noWrap w:val="0"/>
            <w:vAlign w:val="center"/>
          </w:tcPr>
          <w:p w14:paraId="0886728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需无灰尘，有灰（手摸有轻微残留）每处扣0.2分。</w:t>
            </w:r>
          </w:p>
        </w:tc>
        <w:tc>
          <w:tcPr>
            <w:tcW w:w="721" w:type="dxa"/>
            <w:noWrap w:val="0"/>
            <w:vAlign w:val="center"/>
          </w:tcPr>
          <w:p w14:paraId="27D9B3B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560D7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3864B76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564F325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门、窗户</w:t>
            </w:r>
          </w:p>
        </w:tc>
        <w:tc>
          <w:tcPr>
            <w:tcW w:w="6315" w:type="dxa"/>
            <w:noWrap w:val="0"/>
            <w:vAlign w:val="center"/>
          </w:tcPr>
          <w:p w14:paraId="783FFEA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需保持干净无积灰、无蜘蛛网，门窗玻璃、窗台等处有少许灰（1-2处，手摸无明显残留）每处扣0.2分；门顶有较明显的蜘蛛网（1处及以上，直径≥5cm）每处扣0.5分。</w:t>
            </w:r>
          </w:p>
        </w:tc>
        <w:tc>
          <w:tcPr>
            <w:tcW w:w="721" w:type="dxa"/>
            <w:noWrap w:val="0"/>
            <w:vAlign w:val="center"/>
          </w:tcPr>
          <w:p w14:paraId="35E024A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0328C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6C11BBD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2685B03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水管</w:t>
            </w:r>
          </w:p>
        </w:tc>
        <w:tc>
          <w:tcPr>
            <w:tcW w:w="6315" w:type="dxa"/>
            <w:noWrap w:val="0"/>
            <w:vAlign w:val="center"/>
          </w:tcPr>
          <w:p w14:paraId="76919D6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需清洁无积灰，未清洁、有灰（手摸有明显残留）每处扣0.5分。</w:t>
            </w:r>
          </w:p>
        </w:tc>
        <w:tc>
          <w:tcPr>
            <w:tcW w:w="721" w:type="dxa"/>
            <w:noWrap w:val="0"/>
            <w:vAlign w:val="center"/>
          </w:tcPr>
          <w:p w14:paraId="6A651E9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50DD9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68742F5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4F739BB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异味重</w:t>
            </w:r>
          </w:p>
        </w:tc>
        <w:tc>
          <w:tcPr>
            <w:tcW w:w="6315" w:type="dxa"/>
            <w:noWrap w:val="0"/>
            <w:vAlign w:val="center"/>
          </w:tcPr>
          <w:p w14:paraId="625ECCC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需无明显异味，因天气原因且有少许污垢或尿垢致有异味（距离1米外无明显感知），每处扣0.2分；非天气原因而异味较重（距离3米外仍可明显感知），每处扣0.5分。</w:t>
            </w:r>
          </w:p>
        </w:tc>
        <w:tc>
          <w:tcPr>
            <w:tcW w:w="721" w:type="dxa"/>
            <w:noWrap w:val="0"/>
            <w:vAlign w:val="center"/>
          </w:tcPr>
          <w:p w14:paraId="1DE7689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2E870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restart"/>
            <w:noWrap w:val="0"/>
            <w:vAlign w:val="center"/>
          </w:tcPr>
          <w:p w14:paraId="25E3351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楼梯</w:t>
            </w:r>
          </w:p>
        </w:tc>
        <w:tc>
          <w:tcPr>
            <w:tcW w:w="1110" w:type="dxa"/>
            <w:noWrap w:val="0"/>
            <w:vAlign w:val="center"/>
          </w:tcPr>
          <w:p w14:paraId="2EE6656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踏步平面、侧面</w:t>
            </w:r>
          </w:p>
        </w:tc>
        <w:tc>
          <w:tcPr>
            <w:tcW w:w="6315" w:type="dxa"/>
            <w:noWrap w:val="0"/>
            <w:vAlign w:val="center"/>
          </w:tcPr>
          <w:p w14:paraId="6BDFEC8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需光洁干净、无杂物，楼梯踏步及楼梯平台地面光洁、干净但有杂物（1-2件小型杂物），每处扣0.2分；因个人原因未按要求清拖，每处扣0.5分。</w:t>
            </w:r>
          </w:p>
        </w:tc>
        <w:tc>
          <w:tcPr>
            <w:tcW w:w="721" w:type="dxa"/>
            <w:noWrap w:val="0"/>
            <w:vAlign w:val="center"/>
          </w:tcPr>
          <w:p w14:paraId="14ECF2B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24CF6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7D7ED15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066EAD7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栏杆、扶手</w:t>
            </w:r>
          </w:p>
        </w:tc>
        <w:tc>
          <w:tcPr>
            <w:tcW w:w="6315" w:type="dxa"/>
            <w:noWrap w:val="0"/>
            <w:vAlign w:val="center"/>
          </w:tcPr>
          <w:p w14:paraId="14942BB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需无灰、无蜘蛛网，有灰或有蜘蛛网（1-2处小型蜘蛛网）每处扣0.2分；灰尘较厚（手摸有明显残留）或蜘蛛网较多（3处及以上，或单处直径≥5cm）每处扣0.5分。</w:t>
            </w:r>
          </w:p>
        </w:tc>
        <w:tc>
          <w:tcPr>
            <w:tcW w:w="721" w:type="dxa"/>
            <w:noWrap w:val="0"/>
            <w:vAlign w:val="center"/>
          </w:tcPr>
          <w:p w14:paraId="19D8DCA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4FABA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196ED0F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57AD383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墙面、踢脚线</w:t>
            </w:r>
          </w:p>
        </w:tc>
        <w:tc>
          <w:tcPr>
            <w:tcW w:w="6315" w:type="dxa"/>
            <w:noWrap w:val="0"/>
            <w:vAlign w:val="center"/>
          </w:tcPr>
          <w:p w14:paraId="2173E39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需无字迹、无污迹、无痰迹，墙面有字迹、踢脚线无污迹或痰迹（1处，面积＜3cm²），每处扣0.2分；墙面干净、踢脚线有污迹或痰迹（2处及以上，或单处面积≥3cm²），每处扣0.5分。</w:t>
            </w:r>
          </w:p>
        </w:tc>
        <w:tc>
          <w:tcPr>
            <w:tcW w:w="721" w:type="dxa"/>
            <w:noWrap w:val="0"/>
            <w:vAlign w:val="center"/>
          </w:tcPr>
          <w:p w14:paraId="3571764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019E4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23B9679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751BB51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梯间窗</w:t>
            </w:r>
          </w:p>
        </w:tc>
        <w:tc>
          <w:tcPr>
            <w:tcW w:w="6315" w:type="dxa"/>
            <w:noWrap w:val="0"/>
            <w:vAlign w:val="center"/>
          </w:tcPr>
          <w:p w14:paraId="3269F83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需干净无污渍、无积灰，玻璃面有手印或灰迹、窗台及窗槽有灰迹（1-2处），每处扣0.2分；玻璃面污水迹或灰迹较明显（覆盖面积≥10cm²）、窗台及窗槽较脏（污迹3处及以上），每处扣0.5分。</w:t>
            </w:r>
          </w:p>
        </w:tc>
        <w:tc>
          <w:tcPr>
            <w:tcW w:w="721" w:type="dxa"/>
            <w:noWrap w:val="0"/>
            <w:vAlign w:val="center"/>
          </w:tcPr>
          <w:p w14:paraId="6ADBF18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15626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2F3CF87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7F231CA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楼梯门</w:t>
            </w:r>
          </w:p>
        </w:tc>
        <w:tc>
          <w:tcPr>
            <w:tcW w:w="6315" w:type="dxa"/>
            <w:noWrap w:val="0"/>
            <w:vAlign w:val="center"/>
          </w:tcPr>
          <w:p w14:paraId="071BE04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需干净无污迹、无字迹、无积灰，门面干净、门顶有灰（手摸无明显残留）每处扣0.2分；门面有字迹或污迹（1处及以上，面积≥5cm²）、门顶有灰（手摸有明显残留）每处扣0.5分。</w:t>
            </w:r>
          </w:p>
        </w:tc>
        <w:tc>
          <w:tcPr>
            <w:tcW w:w="721" w:type="dxa"/>
            <w:noWrap w:val="0"/>
            <w:vAlign w:val="center"/>
          </w:tcPr>
          <w:p w14:paraId="7EE9A57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5BE55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482C945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667CCB3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镜面</w:t>
            </w:r>
          </w:p>
        </w:tc>
        <w:tc>
          <w:tcPr>
            <w:tcW w:w="6315" w:type="dxa"/>
            <w:noWrap w:val="0"/>
            <w:vAlign w:val="center"/>
          </w:tcPr>
          <w:p w14:paraId="36366D5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需干净无手印、无灰迹、无污迹，镜面有手印或有明显灰、污迹等（1处及以上，面积≥5cm²）每处扣0.5分。</w:t>
            </w:r>
          </w:p>
        </w:tc>
        <w:tc>
          <w:tcPr>
            <w:tcW w:w="721" w:type="dxa"/>
            <w:noWrap w:val="0"/>
            <w:vAlign w:val="center"/>
          </w:tcPr>
          <w:p w14:paraId="63DE070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4B387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00C665C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4C843C6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宣传牌</w:t>
            </w:r>
          </w:p>
        </w:tc>
        <w:tc>
          <w:tcPr>
            <w:tcW w:w="6315" w:type="dxa"/>
            <w:noWrap w:val="0"/>
            <w:vAlign w:val="center"/>
          </w:tcPr>
          <w:p w14:paraId="73123C2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需干净无积灰，牌面明显有灰、不干净（手摸有明显残留，覆盖面积≥10cm²）每处扣0.5分。</w:t>
            </w:r>
          </w:p>
        </w:tc>
        <w:tc>
          <w:tcPr>
            <w:tcW w:w="721" w:type="dxa"/>
            <w:noWrap w:val="0"/>
            <w:vAlign w:val="center"/>
          </w:tcPr>
          <w:p w14:paraId="36A9C21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1F38D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431F814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25EC3B3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开关板</w:t>
            </w:r>
          </w:p>
        </w:tc>
        <w:tc>
          <w:tcPr>
            <w:tcW w:w="6315" w:type="dxa"/>
            <w:noWrap w:val="0"/>
            <w:vAlign w:val="center"/>
          </w:tcPr>
          <w:p w14:paraId="06410DD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需全面干净无遗漏，大部分干净但有遗漏（1-2处开关板有灰）每处扣0.2分。</w:t>
            </w:r>
          </w:p>
        </w:tc>
        <w:tc>
          <w:tcPr>
            <w:tcW w:w="721" w:type="dxa"/>
            <w:noWrap w:val="0"/>
            <w:vAlign w:val="center"/>
          </w:tcPr>
          <w:p w14:paraId="03378CB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6CA15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631DED9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2FE5AA0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天棚</w:t>
            </w:r>
          </w:p>
        </w:tc>
        <w:tc>
          <w:tcPr>
            <w:tcW w:w="6315" w:type="dxa"/>
            <w:noWrap w:val="0"/>
            <w:vAlign w:val="center"/>
          </w:tcPr>
          <w:p w14:paraId="0A9C6F8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需无蜘蛛网，有少量蜘蛛网（1-2处，直径＜5cm）每处扣0.2分。</w:t>
            </w:r>
          </w:p>
        </w:tc>
        <w:tc>
          <w:tcPr>
            <w:tcW w:w="721" w:type="dxa"/>
            <w:noWrap w:val="0"/>
            <w:vAlign w:val="center"/>
          </w:tcPr>
          <w:p w14:paraId="2CAE844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16447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restart"/>
            <w:noWrap w:val="0"/>
            <w:vAlign w:val="center"/>
          </w:tcPr>
          <w:p w14:paraId="20EB767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教室</w:t>
            </w:r>
          </w:p>
        </w:tc>
        <w:tc>
          <w:tcPr>
            <w:tcW w:w="1110" w:type="dxa"/>
            <w:noWrap w:val="0"/>
            <w:vAlign w:val="center"/>
          </w:tcPr>
          <w:p w14:paraId="5ACD401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地面</w:t>
            </w:r>
          </w:p>
        </w:tc>
        <w:tc>
          <w:tcPr>
            <w:tcW w:w="6315" w:type="dxa"/>
            <w:noWrap w:val="0"/>
            <w:vAlign w:val="center"/>
          </w:tcPr>
          <w:p w14:paraId="5B096FB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需清扫干净无杂物、无痰迹、无口香糖，地面已清扫但有少许杂物或痰迹或口香糖（1-2处）每处扣0.2分。</w:t>
            </w:r>
          </w:p>
        </w:tc>
        <w:tc>
          <w:tcPr>
            <w:tcW w:w="721" w:type="dxa"/>
            <w:noWrap w:val="0"/>
            <w:vAlign w:val="center"/>
          </w:tcPr>
          <w:p w14:paraId="59285AE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230C8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7BBD6C3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29F8378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墙面、踢脚线</w:t>
            </w:r>
          </w:p>
        </w:tc>
        <w:tc>
          <w:tcPr>
            <w:tcW w:w="6315" w:type="dxa"/>
            <w:noWrap w:val="0"/>
            <w:vAlign w:val="center"/>
          </w:tcPr>
          <w:p w14:paraId="6C5C2C7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需清洁无灰尘、无污迹、无脚印，未清洁、有较多灰尘、污迹或脚印（污迹/脚印3处及以上，或单处面积≥5cm²）每处扣0.5分。</w:t>
            </w:r>
          </w:p>
        </w:tc>
        <w:tc>
          <w:tcPr>
            <w:tcW w:w="721" w:type="dxa"/>
            <w:noWrap w:val="0"/>
            <w:vAlign w:val="center"/>
          </w:tcPr>
          <w:p w14:paraId="0169DF9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744EA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39AEF72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4F0AADE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桌面、抽屉</w:t>
            </w:r>
          </w:p>
        </w:tc>
        <w:tc>
          <w:tcPr>
            <w:tcW w:w="6315" w:type="dxa"/>
            <w:noWrap w:val="0"/>
            <w:vAlign w:val="center"/>
          </w:tcPr>
          <w:p w14:paraId="38A5196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需无杂物，桌面及抽屉很多杂物、未做简单处理（杂物堆积高度≥3cm，或数量≥5件）每处扣0.5分。</w:t>
            </w:r>
          </w:p>
        </w:tc>
        <w:tc>
          <w:tcPr>
            <w:tcW w:w="721" w:type="dxa"/>
            <w:noWrap w:val="0"/>
            <w:vAlign w:val="center"/>
          </w:tcPr>
          <w:p w14:paraId="00D36EE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61D82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4596625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5A6E265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讲台</w:t>
            </w:r>
          </w:p>
        </w:tc>
        <w:tc>
          <w:tcPr>
            <w:tcW w:w="6315" w:type="dxa"/>
            <w:noWrap w:val="0"/>
            <w:vAlign w:val="center"/>
          </w:tcPr>
          <w:p w14:paraId="300B4DC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需无明显粉笔灰，台面有较厚粉笔灰（手摸有明显残留，覆盖面积≥10cm²）每处扣0.2分（原文标注为0.2分，按原文整合）。</w:t>
            </w:r>
          </w:p>
        </w:tc>
        <w:tc>
          <w:tcPr>
            <w:tcW w:w="721" w:type="dxa"/>
            <w:noWrap w:val="0"/>
            <w:vAlign w:val="center"/>
          </w:tcPr>
          <w:p w14:paraId="3598A76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5EF77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50BCE2E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2ADBCDA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调速器</w:t>
            </w:r>
          </w:p>
        </w:tc>
        <w:tc>
          <w:tcPr>
            <w:tcW w:w="6315" w:type="dxa"/>
            <w:noWrap w:val="0"/>
            <w:vAlign w:val="center"/>
          </w:tcPr>
          <w:p w14:paraId="402F261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需无明显灰尘，有较明显灰尘（手摸有明显残留）每处扣0.2分。</w:t>
            </w:r>
          </w:p>
        </w:tc>
        <w:tc>
          <w:tcPr>
            <w:tcW w:w="721" w:type="dxa"/>
            <w:noWrap w:val="0"/>
            <w:vAlign w:val="center"/>
          </w:tcPr>
          <w:p w14:paraId="3E763A0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68874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05739FF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2181546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开关板、盒</w:t>
            </w:r>
          </w:p>
        </w:tc>
        <w:tc>
          <w:tcPr>
            <w:tcW w:w="6315" w:type="dxa"/>
            <w:noWrap w:val="0"/>
            <w:vAlign w:val="center"/>
          </w:tcPr>
          <w:p w14:paraId="6DBAEE5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需无明显灰尘，有较明显灰尘（手摸有明显残留）每处扣0.2分。</w:t>
            </w:r>
          </w:p>
        </w:tc>
        <w:tc>
          <w:tcPr>
            <w:tcW w:w="721" w:type="dxa"/>
            <w:noWrap w:val="0"/>
            <w:vAlign w:val="center"/>
          </w:tcPr>
          <w:p w14:paraId="1452801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1515D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6659378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6B26E55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天棚</w:t>
            </w:r>
          </w:p>
        </w:tc>
        <w:tc>
          <w:tcPr>
            <w:tcW w:w="6315" w:type="dxa"/>
            <w:noWrap w:val="0"/>
            <w:vAlign w:val="center"/>
          </w:tcPr>
          <w:p w14:paraId="7962CE7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需无明显蜘蛛网，在显眼处有明显蜘蛛网（直径≥5cm，且位于视线平齐及以下位置）扣0.5分。</w:t>
            </w:r>
          </w:p>
        </w:tc>
        <w:tc>
          <w:tcPr>
            <w:tcW w:w="721" w:type="dxa"/>
            <w:noWrap w:val="0"/>
            <w:vAlign w:val="center"/>
          </w:tcPr>
          <w:p w14:paraId="4B19909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1FFFA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7D0EF7A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5843E7F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教室门、小窗</w:t>
            </w:r>
          </w:p>
        </w:tc>
        <w:tc>
          <w:tcPr>
            <w:tcW w:w="6315" w:type="dxa"/>
            <w:noWrap w:val="0"/>
            <w:vAlign w:val="center"/>
          </w:tcPr>
          <w:p w14:paraId="3271696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需无字迹、无蜘蛛网、门亮框无灰，有字迹或蜘蛛网（1处及以上）或门亮框有灰（手摸有明显残留）每处扣0.5分。</w:t>
            </w:r>
          </w:p>
        </w:tc>
        <w:tc>
          <w:tcPr>
            <w:tcW w:w="721" w:type="dxa"/>
            <w:noWrap w:val="0"/>
            <w:vAlign w:val="center"/>
          </w:tcPr>
          <w:p w14:paraId="6ADF1A0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3DEF1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7F84830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64C01F1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外窗</w:t>
            </w:r>
          </w:p>
        </w:tc>
        <w:tc>
          <w:tcPr>
            <w:tcW w:w="6315" w:type="dxa"/>
            <w:noWrap w:val="0"/>
            <w:vAlign w:val="center"/>
          </w:tcPr>
          <w:p w14:paraId="7D7C577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需干净无灰迹、无污水迹、窗槽无灰，窗玻璃较干净、窗槽有灰（1-2处）每处扣0.2分；窗玻璃有明显灰迹或污水迹（覆盖面积≥15cm²）每处扣0.5分。</w:t>
            </w:r>
          </w:p>
        </w:tc>
        <w:tc>
          <w:tcPr>
            <w:tcW w:w="721" w:type="dxa"/>
            <w:noWrap w:val="0"/>
            <w:vAlign w:val="center"/>
          </w:tcPr>
          <w:p w14:paraId="1495A22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6FB48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noWrap w:val="0"/>
            <w:vAlign w:val="center"/>
          </w:tcPr>
          <w:p w14:paraId="49E99CA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大台阶</w:t>
            </w:r>
          </w:p>
        </w:tc>
        <w:tc>
          <w:tcPr>
            <w:tcW w:w="1110" w:type="dxa"/>
            <w:noWrap w:val="0"/>
            <w:vAlign w:val="center"/>
          </w:tcPr>
          <w:p w14:paraId="1CD5E80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台阶平立面</w:t>
            </w:r>
          </w:p>
        </w:tc>
        <w:tc>
          <w:tcPr>
            <w:tcW w:w="6315" w:type="dxa"/>
            <w:noWrap w:val="0"/>
            <w:vAlign w:val="center"/>
          </w:tcPr>
          <w:p w14:paraId="1A54875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需定期清洁、无杂物、无污迹，已清扫但有杂物或污迹未及时处理（1-2处）每处扣0.2分；未按要求定期清洁每处扣0.5分。</w:t>
            </w:r>
          </w:p>
        </w:tc>
        <w:tc>
          <w:tcPr>
            <w:tcW w:w="721" w:type="dxa"/>
            <w:noWrap w:val="0"/>
            <w:vAlign w:val="center"/>
          </w:tcPr>
          <w:p w14:paraId="47553F6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3F6EC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restart"/>
            <w:noWrap w:val="0"/>
            <w:vAlign w:val="center"/>
          </w:tcPr>
          <w:p w14:paraId="52A2B0E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厅</w:t>
            </w:r>
          </w:p>
        </w:tc>
        <w:tc>
          <w:tcPr>
            <w:tcW w:w="1110" w:type="dxa"/>
            <w:noWrap w:val="0"/>
            <w:vAlign w:val="center"/>
          </w:tcPr>
          <w:p w14:paraId="38006A8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地面、踢脚线</w:t>
            </w:r>
          </w:p>
        </w:tc>
        <w:tc>
          <w:tcPr>
            <w:tcW w:w="6315" w:type="dxa"/>
            <w:noWrap w:val="0"/>
            <w:vAlign w:val="center"/>
          </w:tcPr>
          <w:p w14:paraId="4B82FB9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需拖拭光洁、无水印、无杂物，已拖但不光洁、有拖布水印（1-2处，单处面积＜10cm²）每处扣0.2分；已拖地面但有多处杂物没有及时清扫（杂物≥3件）每处扣0.5分。</w:t>
            </w:r>
          </w:p>
        </w:tc>
        <w:tc>
          <w:tcPr>
            <w:tcW w:w="721" w:type="dxa"/>
            <w:noWrap w:val="0"/>
            <w:vAlign w:val="center"/>
          </w:tcPr>
          <w:p w14:paraId="05E348F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3EF01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535C32C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5E071B8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玻璃门、窗、墙</w:t>
            </w:r>
          </w:p>
        </w:tc>
        <w:tc>
          <w:tcPr>
            <w:tcW w:w="6315" w:type="dxa"/>
            <w:noWrap w:val="0"/>
            <w:vAlign w:val="center"/>
          </w:tcPr>
          <w:p w14:paraId="02317CC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需干净无灰迹、无水印，门、窗或墙表面有少许灰迹或水印（1-2处，单处面积＜10cm²）每处扣0.2分；门、窗或墙表面有大面积灰迹或水印（覆盖面积≥20cm²）每处扣0.5分。</w:t>
            </w:r>
          </w:p>
        </w:tc>
        <w:tc>
          <w:tcPr>
            <w:tcW w:w="721" w:type="dxa"/>
            <w:noWrap w:val="0"/>
            <w:vAlign w:val="center"/>
          </w:tcPr>
          <w:p w14:paraId="421866F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5C874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3110541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620572E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墙面</w:t>
            </w:r>
          </w:p>
        </w:tc>
        <w:tc>
          <w:tcPr>
            <w:tcW w:w="6315" w:type="dxa"/>
            <w:noWrap w:val="0"/>
            <w:vAlign w:val="center"/>
          </w:tcPr>
          <w:p w14:paraId="1121FD9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需无广告纸、无污迹、无蜘蛛网，墙面有广告纸或有污迹、蜘蛛网（1-2处）每处扣0.2分。</w:t>
            </w:r>
          </w:p>
        </w:tc>
        <w:tc>
          <w:tcPr>
            <w:tcW w:w="721" w:type="dxa"/>
            <w:noWrap w:val="0"/>
            <w:vAlign w:val="center"/>
          </w:tcPr>
          <w:p w14:paraId="0C86831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4DC7B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1F704F5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713A16A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开关板</w:t>
            </w:r>
          </w:p>
        </w:tc>
        <w:tc>
          <w:tcPr>
            <w:tcW w:w="6315" w:type="dxa"/>
            <w:noWrap w:val="0"/>
            <w:vAlign w:val="center"/>
          </w:tcPr>
          <w:p w14:paraId="6DA5E94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需全面干净无遗漏，大部分干净但有遗漏（1-2处开关板有灰）每处扣0.2分。</w:t>
            </w:r>
          </w:p>
        </w:tc>
        <w:tc>
          <w:tcPr>
            <w:tcW w:w="721" w:type="dxa"/>
            <w:noWrap w:val="0"/>
            <w:vAlign w:val="center"/>
          </w:tcPr>
          <w:p w14:paraId="5C91C07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76431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2DEA0C7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70FC578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天棚</w:t>
            </w:r>
          </w:p>
        </w:tc>
        <w:tc>
          <w:tcPr>
            <w:tcW w:w="6315" w:type="dxa"/>
            <w:noWrap w:val="0"/>
            <w:vAlign w:val="center"/>
          </w:tcPr>
          <w:p w14:paraId="7FB3851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需无明显灰尘与蜘蛛网，有明显灰尘与蜘蛛网（灰尘手摸有明显残留，蜘蛛网≥2处）每处扣0.2分。</w:t>
            </w:r>
          </w:p>
        </w:tc>
        <w:tc>
          <w:tcPr>
            <w:tcW w:w="721" w:type="dxa"/>
            <w:noWrap w:val="0"/>
            <w:vAlign w:val="center"/>
          </w:tcPr>
          <w:p w14:paraId="66F0CF5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3AC11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65A1505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2DB387A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柱、牌、宣传栏等</w:t>
            </w:r>
          </w:p>
        </w:tc>
        <w:tc>
          <w:tcPr>
            <w:tcW w:w="6315" w:type="dxa"/>
            <w:noWrap w:val="0"/>
            <w:vAlign w:val="center"/>
          </w:tcPr>
          <w:p w14:paraId="1DCC0C7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需清洁无灰、无广告纸，未清洁、有灰（手摸有明显残留）、有广告纸（1处及以上）每处扣0.2分。</w:t>
            </w:r>
          </w:p>
        </w:tc>
        <w:tc>
          <w:tcPr>
            <w:tcW w:w="721" w:type="dxa"/>
            <w:noWrap w:val="0"/>
            <w:vAlign w:val="center"/>
          </w:tcPr>
          <w:p w14:paraId="15E3559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34E00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restart"/>
            <w:noWrap w:val="0"/>
            <w:vAlign w:val="center"/>
          </w:tcPr>
          <w:p w14:paraId="0AE056D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过道</w:t>
            </w:r>
          </w:p>
        </w:tc>
        <w:tc>
          <w:tcPr>
            <w:tcW w:w="1110" w:type="dxa"/>
            <w:noWrap w:val="0"/>
            <w:vAlign w:val="center"/>
          </w:tcPr>
          <w:p w14:paraId="47CB677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地面</w:t>
            </w:r>
          </w:p>
        </w:tc>
        <w:tc>
          <w:tcPr>
            <w:tcW w:w="6315" w:type="dxa"/>
            <w:noWrap w:val="0"/>
            <w:vAlign w:val="center"/>
          </w:tcPr>
          <w:p w14:paraId="19D2264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需拖拭清爽光洁、无痰迹、无口香糖，地面拖过但不清爽光洁、有较多痰迹和口香糖（痰迹/口香糖≥3处）每处扣0.2分；未拖地面每处扣0.5分。</w:t>
            </w:r>
          </w:p>
        </w:tc>
        <w:tc>
          <w:tcPr>
            <w:tcW w:w="721" w:type="dxa"/>
            <w:noWrap w:val="0"/>
            <w:vAlign w:val="center"/>
          </w:tcPr>
          <w:p w14:paraId="2A9804F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3FF20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2B20E27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046FF8D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墙面、踢脚线</w:t>
            </w:r>
          </w:p>
        </w:tc>
        <w:tc>
          <w:tcPr>
            <w:tcW w:w="6315" w:type="dxa"/>
            <w:noWrap w:val="0"/>
            <w:vAlign w:val="center"/>
          </w:tcPr>
          <w:p w14:paraId="2AFFC58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需清洁无灰尘、无污迹、无脚印，未清洁、有较多灰尘、污迹或脚印（污迹/脚印≥3处，或单处面积≥5cm²）每处扣0.5分。</w:t>
            </w:r>
          </w:p>
        </w:tc>
        <w:tc>
          <w:tcPr>
            <w:tcW w:w="721" w:type="dxa"/>
            <w:noWrap w:val="0"/>
            <w:vAlign w:val="center"/>
          </w:tcPr>
          <w:p w14:paraId="2491F5C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381CA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26F934D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05C3866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栏杆、扶手</w:t>
            </w:r>
          </w:p>
        </w:tc>
        <w:tc>
          <w:tcPr>
            <w:tcW w:w="6315" w:type="dxa"/>
            <w:noWrap w:val="0"/>
            <w:vAlign w:val="center"/>
          </w:tcPr>
          <w:p w14:paraId="61B7EB6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需无灰、无蜘蛛网、无污迹，有灰或有蜘蛛网或梯侧面有污迹（1-2处）每处扣0.2分。</w:t>
            </w:r>
          </w:p>
        </w:tc>
        <w:tc>
          <w:tcPr>
            <w:tcW w:w="721" w:type="dxa"/>
            <w:noWrap w:val="0"/>
            <w:vAlign w:val="center"/>
          </w:tcPr>
          <w:p w14:paraId="7770B2A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45003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1E8B54F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1B5E960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回廊玻璃、玻璃窗</w:t>
            </w:r>
          </w:p>
        </w:tc>
        <w:tc>
          <w:tcPr>
            <w:tcW w:w="6315" w:type="dxa"/>
            <w:noWrap w:val="0"/>
            <w:vAlign w:val="center"/>
          </w:tcPr>
          <w:p w14:paraId="6DD9469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需干净无污渍，玻璃面及窗台、窗槽等较脏（污迹≥3处，或单处面积≥5cm²）每处扣0.2分。</w:t>
            </w:r>
          </w:p>
        </w:tc>
        <w:tc>
          <w:tcPr>
            <w:tcW w:w="721" w:type="dxa"/>
            <w:noWrap w:val="0"/>
            <w:vAlign w:val="center"/>
          </w:tcPr>
          <w:p w14:paraId="671DA34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5573C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49FBCD0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1217DC8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宣传牌</w:t>
            </w:r>
          </w:p>
        </w:tc>
        <w:tc>
          <w:tcPr>
            <w:tcW w:w="6315" w:type="dxa"/>
            <w:noWrap w:val="0"/>
            <w:vAlign w:val="center"/>
          </w:tcPr>
          <w:p w14:paraId="49699CF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需干净无积灰，牌面明显有灰、不干净（手摸有明显残留，覆盖面积≥10cm²）每处扣0.2分。</w:t>
            </w:r>
          </w:p>
        </w:tc>
        <w:tc>
          <w:tcPr>
            <w:tcW w:w="721" w:type="dxa"/>
            <w:noWrap w:val="0"/>
            <w:vAlign w:val="center"/>
          </w:tcPr>
          <w:p w14:paraId="677F8E7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20BEA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restart"/>
            <w:noWrap w:val="0"/>
            <w:vAlign w:val="center"/>
          </w:tcPr>
          <w:p w14:paraId="5DA0047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一楼外围</w:t>
            </w:r>
          </w:p>
        </w:tc>
        <w:tc>
          <w:tcPr>
            <w:tcW w:w="1110" w:type="dxa"/>
            <w:noWrap w:val="0"/>
            <w:vAlign w:val="center"/>
          </w:tcPr>
          <w:p w14:paraId="1444B54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外窗</w:t>
            </w:r>
          </w:p>
        </w:tc>
        <w:tc>
          <w:tcPr>
            <w:tcW w:w="6315" w:type="dxa"/>
            <w:noWrap w:val="0"/>
            <w:vAlign w:val="center"/>
          </w:tcPr>
          <w:p w14:paraId="63131D3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需清洁干净，窗玻璃或栏杆虽清洁但未清洁干净（1-2处污迹，单处面积＜5cm²）每处扣0.2分。</w:t>
            </w:r>
          </w:p>
        </w:tc>
        <w:tc>
          <w:tcPr>
            <w:tcW w:w="721" w:type="dxa"/>
            <w:noWrap w:val="0"/>
            <w:vAlign w:val="center"/>
          </w:tcPr>
          <w:p w14:paraId="76F708B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2F409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25EA1C3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612BE4A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明沟、散水</w:t>
            </w:r>
          </w:p>
        </w:tc>
        <w:tc>
          <w:tcPr>
            <w:tcW w:w="6315" w:type="dxa"/>
            <w:noWrap w:val="0"/>
            <w:vAlign w:val="center"/>
          </w:tcPr>
          <w:p w14:paraId="1C50349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需清洁无杂物，散水或明沟内有少许杂物等（1-2件小型杂物）每处扣0.2分；散水或明沟未清洁或有较多杂物等（杂物≥3件，或有大型杂物）每处扣0.5分。</w:t>
            </w:r>
          </w:p>
        </w:tc>
        <w:tc>
          <w:tcPr>
            <w:tcW w:w="721" w:type="dxa"/>
            <w:noWrap w:val="0"/>
            <w:vAlign w:val="center"/>
          </w:tcPr>
          <w:p w14:paraId="4CE97DB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03149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5E33D83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643DD04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天棚</w:t>
            </w:r>
          </w:p>
        </w:tc>
        <w:tc>
          <w:tcPr>
            <w:tcW w:w="6315" w:type="dxa"/>
            <w:noWrap w:val="0"/>
            <w:vAlign w:val="center"/>
          </w:tcPr>
          <w:p w14:paraId="47A3230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需无明显蜘蛛网，天棚有明显较多的蜘蛛网（蜘蛛网≥3处，或单处直径≥5cm）每处扣0.5分。</w:t>
            </w:r>
          </w:p>
        </w:tc>
        <w:tc>
          <w:tcPr>
            <w:tcW w:w="721" w:type="dxa"/>
            <w:noWrap w:val="0"/>
            <w:vAlign w:val="center"/>
          </w:tcPr>
          <w:p w14:paraId="66EDD03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456FA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4051D4C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0240C7C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外墙面</w:t>
            </w:r>
          </w:p>
        </w:tc>
        <w:tc>
          <w:tcPr>
            <w:tcW w:w="6315" w:type="dxa"/>
            <w:noWrap w:val="0"/>
            <w:vAlign w:val="center"/>
          </w:tcPr>
          <w:p w14:paraId="417CF97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需无广告纸、无明显脚印等污迹，外墙面有广告纸（1处及以上）或明显脚印等污迹（1处及以上，面积≥5cm²）每处扣0.5分。</w:t>
            </w:r>
          </w:p>
        </w:tc>
        <w:tc>
          <w:tcPr>
            <w:tcW w:w="721" w:type="dxa"/>
            <w:noWrap w:val="0"/>
            <w:vAlign w:val="center"/>
          </w:tcPr>
          <w:p w14:paraId="3DCDC90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420B2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restart"/>
            <w:noWrap w:val="0"/>
            <w:vAlign w:val="center"/>
          </w:tcPr>
          <w:p w14:paraId="7B75919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消防设施</w:t>
            </w:r>
          </w:p>
        </w:tc>
        <w:tc>
          <w:tcPr>
            <w:tcW w:w="1110" w:type="dxa"/>
            <w:noWrap w:val="0"/>
            <w:vAlign w:val="center"/>
          </w:tcPr>
          <w:p w14:paraId="1BFE2E1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灭火器箱面</w:t>
            </w:r>
          </w:p>
        </w:tc>
        <w:tc>
          <w:tcPr>
            <w:tcW w:w="6315" w:type="dxa"/>
            <w:noWrap w:val="0"/>
            <w:vAlign w:val="center"/>
          </w:tcPr>
          <w:p w14:paraId="0C349A2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需无积灰，箱盖面有灰（手摸有明显残留）每处扣0.5分。</w:t>
            </w:r>
          </w:p>
        </w:tc>
        <w:tc>
          <w:tcPr>
            <w:tcW w:w="721" w:type="dxa"/>
            <w:noWrap w:val="0"/>
            <w:vAlign w:val="center"/>
          </w:tcPr>
          <w:p w14:paraId="447B83F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0E7CD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3C62C41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10D7A54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灭火器箱内</w:t>
            </w:r>
          </w:p>
        </w:tc>
        <w:tc>
          <w:tcPr>
            <w:tcW w:w="6315" w:type="dxa"/>
            <w:noWrap w:val="0"/>
            <w:vAlign w:val="center"/>
          </w:tcPr>
          <w:p w14:paraId="343918B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需无杂物、无积灰，箱内有杂物（1-2件）或内框有灰（手摸无明显残留）每处扣0.5分。</w:t>
            </w:r>
          </w:p>
        </w:tc>
        <w:tc>
          <w:tcPr>
            <w:tcW w:w="721" w:type="dxa"/>
            <w:noWrap w:val="0"/>
            <w:vAlign w:val="center"/>
          </w:tcPr>
          <w:p w14:paraId="2E85A80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46EAB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6FAA299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411FF1A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消火栓外面板</w:t>
            </w:r>
          </w:p>
        </w:tc>
        <w:tc>
          <w:tcPr>
            <w:tcW w:w="6315" w:type="dxa"/>
            <w:noWrap w:val="0"/>
            <w:vAlign w:val="center"/>
          </w:tcPr>
          <w:p w14:paraId="465C2F2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需无字迹、无污迹，栓外面板有字迹或其他污迹（1处及以上，面积≥3cm²）每处扣0.5分。</w:t>
            </w:r>
          </w:p>
        </w:tc>
        <w:tc>
          <w:tcPr>
            <w:tcW w:w="721" w:type="dxa"/>
            <w:noWrap w:val="0"/>
            <w:vAlign w:val="center"/>
          </w:tcPr>
          <w:p w14:paraId="7F9B356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3CF94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restart"/>
            <w:noWrap w:val="0"/>
            <w:vAlign w:val="center"/>
          </w:tcPr>
          <w:p w14:paraId="621EB7B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室外环卫</w:t>
            </w:r>
          </w:p>
        </w:tc>
        <w:tc>
          <w:tcPr>
            <w:tcW w:w="1110" w:type="dxa"/>
            <w:noWrap w:val="0"/>
            <w:vAlign w:val="center"/>
          </w:tcPr>
          <w:p w14:paraId="2F0E2BD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主干道</w:t>
            </w:r>
          </w:p>
        </w:tc>
        <w:tc>
          <w:tcPr>
            <w:tcW w:w="6315" w:type="dxa"/>
            <w:noWrap w:val="0"/>
            <w:vAlign w:val="center"/>
          </w:tcPr>
          <w:p w14:paraId="3EA8574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需无明显白色垃圾，有明显白色垃圾2-3处，每个扣0.2分。</w:t>
            </w:r>
          </w:p>
        </w:tc>
        <w:tc>
          <w:tcPr>
            <w:tcW w:w="721" w:type="dxa"/>
            <w:noWrap w:val="0"/>
            <w:vAlign w:val="center"/>
          </w:tcPr>
          <w:p w14:paraId="455738D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478C8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77C0FF2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033B6DE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路面、亭台清扫</w:t>
            </w:r>
          </w:p>
        </w:tc>
        <w:tc>
          <w:tcPr>
            <w:tcW w:w="6315" w:type="dxa"/>
            <w:noWrap w:val="0"/>
            <w:vAlign w:val="center"/>
          </w:tcPr>
          <w:p w14:paraId="6C2CE0D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需清扫到位、无大面积泥沙、无积水（特殊情况除外），路面、地面及亭台清扫不到位，有大面积的泥沙（覆盖面积≥1㎡）或积水（覆盖面积≥0.5㎡）（特殊情况除外），每处扣0.5分。</w:t>
            </w:r>
          </w:p>
        </w:tc>
        <w:tc>
          <w:tcPr>
            <w:tcW w:w="721" w:type="dxa"/>
            <w:noWrap w:val="0"/>
            <w:vAlign w:val="center"/>
          </w:tcPr>
          <w:p w14:paraId="30A4315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4E1CD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18E2047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21ED2F1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垃圾桶清理</w:t>
            </w:r>
          </w:p>
        </w:tc>
        <w:tc>
          <w:tcPr>
            <w:tcW w:w="6315" w:type="dxa"/>
            <w:noWrap w:val="0"/>
            <w:vAlign w:val="center"/>
          </w:tcPr>
          <w:p w14:paraId="567AEB7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需及时清理、桶内无过多垃圾、无腐烂物、桶下无垃圾，垃圾桶清理不及时，桶内垃圾有一半以上或有腐烂物未清除，或者桶下地面有垃圾未清除，一个桶扣0.5分。</w:t>
            </w:r>
          </w:p>
        </w:tc>
        <w:tc>
          <w:tcPr>
            <w:tcW w:w="721" w:type="dxa"/>
            <w:noWrap w:val="0"/>
            <w:vAlign w:val="center"/>
          </w:tcPr>
          <w:p w14:paraId="2F12CA9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002DB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2187171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47B9D41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垃圾桶面、电线杆等处</w:t>
            </w:r>
          </w:p>
        </w:tc>
        <w:tc>
          <w:tcPr>
            <w:tcW w:w="6315" w:type="dxa"/>
            <w:noWrap w:val="0"/>
            <w:vAlign w:val="center"/>
          </w:tcPr>
          <w:p w14:paraId="690C787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需无明显积尘、无流质污迹、无广告纸，垃圾桶面有明显积尘（手摸有明显残留）或流质污迹（1处及以上），每处扣0.5分；电线杆上有广告纸，每个扣0.1分。</w:t>
            </w:r>
          </w:p>
        </w:tc>
        <w:tc>
          <w:tcPr>
            <w:tcW w:w="721" w:type="dxa"/>
            <w:noWrap w:val="0"/>
            <w:vAlign w:val="center"/>
          </w:tcPr>
          <w:p w14:paraId="173BFB9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0BFAD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17D0326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4FCD1DF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杂草清理</w:t>
            </w:r>
          </w:p>
        </w:tc>
        <w:tc>
          <w:tcPr>
            <w:tcW w:w="6315" w:type="dxa"/>
            <w:noWrap w:val="0"/>
            <w:vAlign w:val="center"/>
          </w:tcPr>
          <w:p w14:paraId="2B62276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需无明显杂草（特殊情况除外），路面或路岩石缝隙有明显杂草（单处杂草高度≥10cm，或每米范围内≥3株）（特殊情况除外），一处扣0.5分。</w:t>
            </w:r>
          </w:p>
        </w:tc>
        <w:tc>
          <w:tcPr>
            <w:tcW w:w="721" w:type="dxa"/>
            <w:noWrap w:val="0"/>
            <w:vAlign w:val="center"/>
          </w:tcPr>
          <w:p w14:paraId="4EFFCA5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77F17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675FAFD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0B6DABA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减速带、收水井</w:t>
            </w:r>
          </w:p>
        </w:tc>
        <w:tc>
          <w:tcPr>
            <w:tcW w:w="6315" w:type="dxa"/>
            <w:noWrap w:val="0"/>
            <w:vAlign w:val="center"/>
          </w:tcPr>
          <w:p w14:paraId="2B73AA0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需无杂物、无泥沙、垃圾及时清运，收水井口有污泥等杂物（覆盖面积≥5cm²）、清扫收堆的垃圾没有及时清走（堆积时间≥2小时）、减速带两侧有较多泥沙（覆盖宽度≥5cm），每处扣0.5分。</w:t>
            </w:r>
          </w:p>
        </w:tc>
        <w:tc>
          <w:tcPr>
            <w:tcW w:w="721" w:type="dxa"/>
            <w:noWrap w:val="0"/>
            <w:vAlign w:val="center"/>
          </w:tcPr>
          <w:p w14:paraId="1E657E6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642EC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7455A9D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4062D08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不乱扫垃圾</w:t>
            </w:r>
          </w:p>
        </w:tc>
        <w:tc>
          <w:tcPr>
            <w:tcW w:w="6315" w:type="dxa"/>
            <w:noWrap w:val="0"/>
            <w:vAlign w:val="center"/>
          </w:tcPr>
          <w:p w14:paraId="6609538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禁止将清扫的树叶或杂物扫进排水槽或收水井，违反一次扣1分。</w:t>
            </w:r>
          </w:p>
        </w:tc>
        <w:tc>
          <w:tcPr>
            <w:tcW w:w="721" w:type="dxa"/>
            <w:noWrap w:val="0"/>
            <w:vAlign w:val="center"/>
          </w:tcPr>
          <w:p w14:paraId="21AED33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79D61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7AC6057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2738B8C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湖面</w:t>
            </w:r>
          </w:p>
        </w:tc>
        <w:tc>
          <w:tcPr>
            <w:tcW w:w="6315" w:type="dxa"/>
            <w:noWrap w:val="0"/>
            <w:vAlign w:val="center"/>
          </w:tcPr>
          <w:p w14:paraId="191F136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需无过多树叶、无杂物，每个湖面树叶较多（漂浮树叶≥10片）或有杂物（杂物≥3件），每处扣0.5分。</w:t>
            </w:r>
          </w:p>
        </w:tc>
        <w:tc>
          <w:tcPr>
            <w:tcW w:w="721" w:type="dxa"/>
            <w:noWrap w:val="0"/>
            <w:vAlign w:val="center"/>
          </w:tcPr>
          <w:p w14:paraId="625DF37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55B90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1FD0385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00B91D1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垃圾清运</w:t>
            </w:r>
          </w:p>
        </w:tc>
        <w:tc>
          <w:tcPr>
            <w:tcW w:w="6315" w:type="dxa"/>
            <w:noWrap w:val="0"/>
            <w:vAlign w:val="center"/>
          </w:tcPr>
          <w:p w14:paraId="1250F0A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禁止焚烧垃圾，焚烧垃圾一次扣2分；垃圾外运需及时，外运不及时每次扣1分。</w:t>
            </w:r>
          </w:p>
        </w:tc>
        <w:tc>
          <w:tcPr>
            <w:tcW w:w="721" w:type="dxa"/>
            <w:noWrap w:val="0"/>
            <w:vAlign w:val="center"/>
          </w:tcPr>
          <w:p w14:paraId="3FB9BD3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77E8B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7B0ABAF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33A51AD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虫鼠害消杀</w:t>
            </w:r>
          </w:p>
        </w:tc>
        <w:tc>
          <w:tcPr>
            <w:tcW w:w="6315" w:type="dxa"/>
            <w:noWrap w:val="0"/>
            <w:vAlign w:val="center"/>
          </w:tcPr>
          <w:p w14:paraId="525C9E9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需及时开展有害生物防治，防治不及时（发现虫害/鼠迹后24小时内未处理）每次扣0.5分。</w:t>
            </w:r>
          </w:p>
        </w:tc>
        <w:tc>
          <w:tcPr>
            <w:tcW w:w="721" w:type="dxa"/>
            <w:noWrap w:val="0"/>
            <w:vAlign w:val="center"/>
          </w:tcPr>
          <w:p w14:paraId="5C7729E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1A937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745" w:type="dxa"/>
            <w:vMerge w:val="continue"/>
            <w:noWrap w:val="0"/>
            <w:vAlign w:val="center"/>
          </w:tcPr>
          <w:p w14:paraId="12D85C7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110" w:type="dxa"/>
            <w:noWrap w:val="0"/>
            <w:vAlign w:val="center"/>
          </w:tcPr>
          <w:p w14:paraId="7FB8A15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人员配备</w:t>
            </w:r>
          </w:p>
        </w:tc>
        <w:tc>
          <w:tcPr>
            <w:tcW w:w="6315" w:type="dxa"/>
            <w:noWrap w:val="0"/>
            <w:vAlign w:val="center"/>
          </w:tcPr>
          <w:p w14:paraId="008F1F7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需按要求配备合格人员，安排不符合要求的人员上岗每人扣0.2分，每少一人扣0.5分。</w:t>
            </w:r>
          </w:p>
        </w:tc>
        <w:tc>
          <w:tcPr>
            <w:tcW w:w="721" w:type="dxa"/>
            <w:noWrap w:val="0"/>
            <w:vAlign w:val="center"/>
          </w:tcPr>
          <w:p w14:paraId="6096377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r w14:paraId="4484C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855" w:type="dxa"/>
            <w:gridSpan w:val="2"/>
            <w:noWrap w:val="0"/>
            <w:vAlign w:val="center"/>
          </w:tcPr>
          <w:p w14:paraId="6BC5A31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sz w:val="24"/>
                <w:szCs w:val="24"/>
              </w:rPr>
              <w:t>月总扣分</w:t>
            </w:r>
          </w:p>
        </w:tc>
        <w:tc>
          <w:tcPr>
            <w:tcW w:w="6315" w:type="dxa"/>
            <w:noWrap w:val="0"/>
            <w:vAlign w:val="center"/>
          </w:tcPr>
          <w:p w14:paraId="7DCA51F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c>
          <w:tcPr>
            <w:tcW w:w="721" w:type="dxa"/>
            <w:noWrap w:val="0"/>
            <w:vAlign w:val="center"/>
          </w:tcPr>
          <w:p w14:paraId="663F4D3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p>
        </w:tc>
      </w:tr>
    </w:tbl>
    <w:p w14:paraId="23017A48">
      <w:pPr>
        <w:keepLines w:val="0"/>
        <w:pageBreakBefore w:val="0"/>
        <w:overflowPunct/>
        <w:topLinePunct w:val="0"/>
        <w:bidi w:val="0"/>
        <w:adjustRightInd w:val="0"/>
        <w:snapToGrid w:val="0"/>
        <w:ind w:left="0" w:leftChars="0" w:firstLine="0" w:firstLineChars="0"/>
        <w:rPr>
          <w:rFonts w:hint="eastAsia" w:ascii="宋体" w:hAnsi="宋体" w:eastAsia="宋体" w:cs="宋体"/>
          <w:sz w:val="24"/>
          <w:szCs w:val="24"/>
        </w:rPr>
      </w:pPr>
    </w:p>
    <w:p w14:paraId="479FA4B9">
      <w:pPr>
        <w:keepLines w:val="0"/>
        <w:pageBreakBefore w:val="0"/>
        <w:overflowPunct/>
        <w:topLinePunct w:val="0"/>
        <w:bidi w:val="0"/>
        <w:adjustRightInd w:val="0"/>
        <w:snapToGrid w:val="0"/>
        <w:ind w:left="0" w:leftChars="0" w:firstLine="0" w:firstLineChars="0"/>
        <w:rPr>
          <w:rFonts w:hint="eastAsia" w:ascii="宋体" w:hAnsi="宋体" w:eastAsia="宋体" w:cs="宋体"/>
          <w:sz w:val="24"/>
          <w:szCs w:val="24"/>
        </w:rPr>
      </w:pPr>
      <w:r>
        <w:rPr>
          <w:rFonts w:hint="eastAsia" w:ascii="宋体" w:hAnsi="宋体" w:eastAsia="宋体" w:cs="宋体"/>
          <w:sz w:val="24"/>
          <w:szCs w:val="24"/>
        </w:rPr>
        <w:t>甲方经办人签字：</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乙方项目经理签字：</w:t>
      </w:r>
    </w:p>
    <w:p w14:paraId="05325187">
      <w:pPr>
        <w:keepLines w:val="0"/>
        <w:pageBreakBefore w:val="0"/>
        <w:overflowPunct/>
        <w:topLinePunct w:val="0"/>
        <w:bidi w:val="0"/>
        <w:adjustRightInd w:val="0"/>
        <w:snapToGrid w:val="0"/>
        <w:ind w:left="0" w:leftChars="0"/>
        <w:rPr>
          <w:rFonts w:hint="eastAsia" w:ascii="宋体" w:hAnsi="宋体" w:eastAsia="宋体" w:cs="宋体"/>
          <w:sz w:val="24"/>
          <w:szCs w:val="24"/>
        </w:rPr>
      </w:pPr>
      <w:r>
        <w:rPr>
          <w:rFonts w:hint="eastAsia" w:ascii="宋体" w:hAnsi="宋体" w:eastAsia="宋体" w:cs="宋体"/>
          <w:sz w:val="24"/>
          <w:szCs w:val="24"/>
        </w:rPr>
        <w:br w:type="page"/>
      </w:r>
    </w:p>
    <w:p w14:paraId="74D47A5A">
      <w:pPr>
        <w:keepNext w:val="0"/>
        <w:keepLines w:val="0"/>
        <w:pageBreakBefore w:val="0"/>
        <w:widowControl w:val="0"/>
        <w:kinsoku/>
        <w:wordWrap/>
        <w:overflowPunct/>
        <w:topLinePunct w:val="0"/>
        <w:autoSpaceDE/>
        <w:autoSpaceDN/>
        <w:bidi w:val="0"/>
        <w:adjustRightInd w:val="0"/>
        <w:snapToGrid w:val="0"/>
        <w:ind w:left="0" w:leftChars="0" w:firstLine="0" w:firstLineChars="0"/>
        <w:jc w:val="both"/>
        <w:textAlignment w:val="auto"/>
        <w:rPr>
          <w:rFonts w:hint="eastAsia" w:ascii="宋体" w:hAnsi="宋体" w:eastAsia="宋体" w:cs="宋体"/>
          <w:b w:val="0"/>
          <w:bCs/>
          <w:sz w:val="24"/>
          <w:szCs w:val="24"/>
        </w:rPr>
      </w:pPr>
      <w:r>
        <w:rPr>
          <w:rFonts w:hint="eastAsia" w:ascii="宋体" w:hAnsi="宋体" w:eastAsia="宋体" w:cs="宋体"/>
          <w:b w:val="0"/>
          <w:bCs/>
          <w:sz w:val="24"/>
          <w:szCs w:val="24"/>
        </w:rPr>
        <w:t>附件2：《宿管、安保、维修等服务考核表》</w:t>
      </w:r>
    </w:p>
    <w:p w14:paraId="39FE47AE">
      <w:pPr>
        <w:keepNext w:val="0"/>
        <w:keepLines w:val="0"/>
        <w:pageBreakBefore w:val="0"/>
        <w:widowControl w:val="0"/>
        <w:kinsoku/>
        <w:wordWrap/>
        <w:overflowPunct/>
        <w:topLinePunct w:val="0"/>
        <w:autoSpaceDE/>
        <w:autoSpaceDN/>
        <w:bidi w:val="0"/>
        <w:adjustRightInd w:val="0"/>
        <w:snapToGrid w:val="0"/>
        <w:ind w:left="0" w:leftChars="0" w:firstLine="0" w:firstLineChars="0"/>
        <w:jc w:val="both"/>
        <w:textAlignment w:val="auto"/>
        <w:rPr>
          <w:rFonts w:hint="eastAsia" w:ascii="宋体" w:hAnsi="宋体" w:eastAsia="宋体" w:cs="宋体"/>
          <w:b w:val="0"/>
          <w:bCs/>
          <w:sz w:val="24"/>
          <w:szCs w:val="24"/>
        </w:rPr>
      </w:pPr>
    </w:p>
    <w:p w14:paraId="5A7CFD26">
      <w:pPr>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宿管、安保、维修等服务考核细则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1024"/>
        <w:gridCol w:w="1663"/>
        <w:gridCol w:w="4916"/>
        <w:gridCol w:w="677"/>
      </w:tblGrid>
      <w:tr w14:paraId="54FD3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blHeader/>
          <w:jc w:val="center"/>
        </w:trPr>
        <w:tc>
          <w:tcPr>
            <w:tcW w:w="1024" w:type="dxa"/>
            <w:noWrap w:val="0"/>
            <w:vAlign w:val="center"/>
          </w:tcPr>
          <w:p w14:paraId="2A18862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一级指标</w:t>
            </w:r>
          </w:p>
        </w:tc>
        <w:tc>
          <w:tcPr>
            <w:tcW w:w="1663" w:type="dxa"/>
            <w:noWrap w:val="0"/>
            <w:vAlign w:val="center"/>
          </w:tcPr>
          <w:p w14:paraId="3D60303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二级指标</w:t>
            </w:r>
          </w:p>
        </w:tc>
        <w:tc>
          <w:tcPr>
            <w:tcW w:w="4916" w:type="dxa"/>
            <w:noWrap w:val="0"/>
            <w:vAlign w:val="center"/>
          </w:tcPr>
          <w:p w14:paraId="1375952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考核标准（含量化扣分项）</w:t>
            </w:r>
          </w:p>
        </w:tc>
        <w:tc>
          <w:tcPr>
            <w:tcW w:w="677" w:type="dxa"/>
            <w:noWrap w:val="0"/>
            <w:vAlign w:val="center"/>
          </w:tcPr>
          <w:p w14:paraId="2DDC8DE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扣分</w:t>
            </w:r>
          </w:p>
        </w:tc>
      </w:tr>
      <w:tr w14:paraId="1759B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restart"/>
            <w:noWrap w:val="0"/>
            <w:vAlign w:val="center"/>
          </w:tcPr>
          <w:p w14:paraId="19A782C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sz w:val="24"/>
                <w:szCs w:val="24"/>
              </w:rPr>
              <w:t>人员配备及能力要求</w:t>
            </w:r>
          </w:p>
        </w:tc>
        <w:tc>
          <w:tcPr>
            <w:tcW w:w="1663" w:type="dxa"/>
            <w:noWrap w:val="0"/>
            <w:vAlign w:val="center"/>
          </w:tcPr>
          <w:p w14:paraId="1361802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按工作需要配备人员</w:t>
            </w:r>
          </w:p>
        </w:tc>
        <w:tc>
          <w:tcPr>
            <w:tcW w:w="4916" w:type="dxa"/>
            <w:noWrap w:val="0"/>
            <w:vAlign w:val="center"/>
          </w:tcPr>
          <w:p w14:paraId="19174DC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必须按岗位足额配置在岗人员，每少1人扣10分</w:t>
            </w:r>
          </w:p>
        </w:tc>
        <w:tc>
          <w:tcPr>
            <w:tcW w:w="677" w:type="dxa"/>
            <w:noWrap w:val="0"/>
            <w:vAlign w:val="center"/>
          </w:tcPr>
          <w:p w14:paraId="1407535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74A8E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1C21CFA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7BB4CC0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职工年龄要求</w:t>
            </w:r>
          </w:p>
        </w:tc>
        <w:tc>
          <w:tcPr>
            <w:tcW w:w="4916" w:type="dxa"/>
            <w:noWrap w:val="0"/>
            <w:vAlign w:val="center"/>
          </w:tcPr>
          <w:p w14:paraId="61F839D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项目负责人≤50岁；宿管员≤58岁；保安/保洁/绿化/监控≤55岁，1人不达标扣5分</w:t>
            </w:r>
          </w:p>
        </w:tc>
        <w:tc>
          <w:tcPr>
            <w:tcW w:w="677" w:type="dxa"/>
            <w:noWrap w:val="0"/>
            <w:vAlign w:val="center"/>
          </w:tcPr>
          <w:p w14:paraId="78C651C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6AA28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5C06408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BBE258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按岗位提供证件</w:t>
            </w:r>
          </w:p>
        </w:tc>
        <w:tc>
          <w:tcPr>
            <w:tcW w:w="4916" w:type="dxa"/>
            <w:noWrap w:val="0"/>
            <w:vAlign w:val="center"/>
          </w:tcPr>
          <w:p w14:paraId="0A1DEEA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必须持有效岗位证件上岗，缺证或证件无效每次扣2分</w:t>
            </w:r>
          </w:p>
        </w:tc>
        <w:tc>
          <w:tcPr>
            <w:tcW w:w="677" w:type="dxa"/>
            <w:noWrap w:val="0"/>
            <w:vAlign w:val="center"/>
          </w:tcPr>
          <w:p w14:paraId="1CB04E2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0A24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restart"/>
            <w:noWrap w:val="0"/>
            <w:vAlign w:val="center"/>
          </w:tcPr>
          <w:p w14:paraId="06142BF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sz w:val="24"/>
                <w:szCs w:val="24"/>
              </w:rPr>
              <w:t>宿舍安全、卫生</w:t>
            </w:r>
          </w:p>
        </w:tc>
        <w:tc>
          <w:tcPr>
            <w:tcW w:w="1663" w:type="dxa"/>
            <w:noWrap w:val="0"/>
            <w:vAlign w:val="center"/>
          </w:tcPr>
          <w:p w14:paraId="7E1BE48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公共财物损坏、宿舍被盗</w:t>
            </w:r>
          </w:p>
        </w:tc>
        <w:tc>
          <w:tcPr>
            <w:tcW w:w="4916" w:type="dxa"/>
            <w:noWrap w:val="0"/>
            <w:vAlign w:val="center"/>
          </w:tcPr>
          <w:p w14:paraId="3169FF8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发生外盗：5000元以下全额赔偿，5000元以上超额部分赔50%；&lt;br&gt;• 损失≤2000元：扣2分&lt;br&gt;• 2000＜损失≤5000元：扣3分&lt;br&gt;• 损失＞5000元：扣5分</w:t>
            </w:r>
          </w:p>
        </w:tc>
        <w:tc>
          <w:tcPr>
            <w:tcW w:w="677" w:type="dxa"/>
            <w:noWrap w:val="0"/>
            <w:vAlign w:val="center"/>
          </w:tcPr>
          <w:p w14:paraId="718A04C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B31F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5E18FC8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92E47C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重大安全事故</w:t>
            </w:r>
          </w:p>
        </w:tc>
        <w:tc>
          <w:tcPr>
            <w:tcW w:w="4916" w:type="dxa"/>
            <w:noWrap w:val="0"/>
            <w:vAlign w:val="center"/>
          </w:tcPr>
          <w:p w14:paraId="5813D74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因管理不善发生学生重伤、火灾等事故：&lt;br&gt;• 一般后果：扣10分&lt;br&gt;• 较大后果：扣20分&lt;br&gt;• 严重后果：扣30分</w:t>
            </w:r>
          </w:p>
        </w:tc>
        <w:tc>
          <w:tcPr>
            <w:tcW w:w="677" w:type="dxa"/>
            <w:noWrap w:val="0"/>
            <w:vAlign w:val="center"/>
          </w:tcPr>
          <w:p w14:paraId="7E8DE84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F22A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4630F1D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24DD73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值班巡查消防培训</w:t>
            </w:r>
          </w:p>
        </w:tc>
        <w:tc>
          <w:tcPr>
            <w:tcW w:w="4916" w:type="dxa"/>
            <w:noWrap w:val="0"/>
            <w:vAlign w:val="center"/>
          </w:tcPr>
          <w:p w14:paraId="6976202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必须培训并会用消防器材，1人未培训/不会用扣2分</w:t>
            </w:r>
          </w:p>
        </w:tc>
        <w:tc>
          <w:tcPr>
            <w:tcW w:w="677" w:type="dxa"/>
            <w:noWrap w:val="0"/>
            <w:vAlign w:val="center"/>
          </w:tcPr>
          <w:p w14:paraId="400AD2D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AF62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28A21C6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5EB0F90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宿舍卫生与消毒杀虫</w:t>
            </w:r>
          </w:p>
        </w:tc>
        <w:tc>
          <w:tcPr>
            <w:tcW w:w="4916" w:type="dxa"/>
            <w:noWrap w:val="0"/>
            <w:vAlign w:val="center"/>
          </w:tcPr>
          <w:p w14:paraId="2076E9A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每月至少消杀2次，卫生不达标或未消杀每次扣2分</w:t>
            </w:r>
          </w:p>
        </w:tc>
        <w:tc>
          <w:tcPr>
            <w:tcW w:w="677" w:type="dxa"/>
            <w:noWrap w:val="0"/>
            <w:vAlign w:val="center"/>
          </w:tcPr>
          <w:p w14:paraId="4A6B14B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C6F8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restart"/>
            <w:noWrap w:val="0"/>
            <w:vAlign w:val="center"/>
          </w:tcPr>
          <w:p w14:paraId="55C202A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sz w:val="24"/>
                <w:szCs w:val="24"/>
              </w:rPr>
              <w:t>保安工作</w:t>
            </w:r>
          </w:p>
        </w:tc>
        <w:tc>
          <w:tcPr>
            <w:tcW w:w="1663" w:type="dxa"/>
            <w:noWrap w:val="0"/>
            <w:vAlign w:val="center"/>
          </w:tcPr>
          <w:p w14:paraId="437A02B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上班不得脱岗</w:t>
            </w:r>
          </w:p>
        </w:tc>
        <w:tc>
          <w:tcPr>
            <w:tcW w:w="4916" w:type="dxa"/>
            <w:noWrap w:val="0"/>
            <w:vAlign w:val="center"/>
          </w:tcPr>
          <w:p w14:paraId="578916F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在岗时间擅自离岗≥10分钟即为脱岗，1人次扣5分</w:t>
            </w:r>
          </w:p>
        </w:tc>
        <w:tc>
          <w:tcPr>
            <w:tcW w:w="677" w:type="dxa"/>
            <w:noWrap w:val="0"/>
            <w:vAlign w:val="center"/>
          </w:tcPr>
          <w:p w14:paraId="666C92D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6BDB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69B50DE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4834AF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穿戴工作制服</w:t>
            </w:r>
          </w:p>
        </w:tc>
        <w:tc>
          <w:tcPr>
            <w:tcW w:w="4916" w:type="dxa"/>
            <w:noWrap w:val="0"/>
            <w:vAlign w:val="center"/>
          </w:tcPr>
          <w:p w14:paraId="7B9F612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必须按规定穿全套工装，1人次不达标扣0.5分</w:t>
            </w:r>
          </w:p>
        </w:tc>
        <w:tc>
          <w:tcPr>
            <w:tcW w:w="677" w:type="dxa"/>
            <w:noWrap w:val="0"/>
            <w:vAlign w:val="center"/>
          </w:tcPr>
          <w:p w14:paraId="3D00415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CE96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230CE08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3069400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管控出入人员</w:t>
            </w:r>
          </w:p>
        </w:tc>
        <w:tc>
          <w:tcPr>
            <w:tcW w:w="4916" w:type="dxa"/>
            <w:noWrap w:val="0"/>
            <w:vAlign w:val="center"/>
          </w:tcPr>
          <w:p w14:paraId="37B9C82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外来人员未询问、未登记即进入，每次扣2分</w:t>
            </w:r>
          </w:p>
        </w:tc>
        <w:tc>
          <w:tcPr>
            <w:tcW w:w="677" w:type="dxa"/>
            <w:noWrap w:val="0"/>
            <w:vAlign w:val="center"/>
          </w:tcPr>
          <w:p w14:paraId="1801BBA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166D0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2099F22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190CA0F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值班室整洁</w:t>
            </w:r>
          </w:p>
        </w:tc>
        <w:tc>
          <w:tcPr>
            <w:tcW w:w="4916" w:type="dxa"/>
            <w:noWrap w:val="0"/>
            <w:vAlign w:val="center"/>
          </w:tcPr>
          <w:p w14:paraId="51030C2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地面、桌面、物品、被褥杂乱，1次不达标扣0.5分</w:t>
            </w:r>
          </w:p>
        </w:tc>
        <w:tc>
          <w:tcPr>
            <w:tcW w:w="677" w:type="dxa"/>
            <w:noWrap w:val="0"/>
            <w:vAlign w:val="center"/>
          </w:tcPr>
          <w:p w14:paraId="4A0D4C0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72F36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7A23840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40C053D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不得酒后上岗</w:t>
            </w:r>
          </w:p>
        </w:tc>
        <w:tc>
          <w:tcPr>
            <w:tcW w:w="4916" w:type="dxa"/>
            <w:noWrap w:val="0"/>
            <w:vAlign w:val="center"/>
          </w:tcPr>
          <w:p w14:paraId="3ED23C3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上岗前饮酒、身上有明显酒气，每次扣0.5分</w:t>
            </w:r>
          </w:p>
        </w:tc>
        <w:tc>
          <w:tcPr>
            <w:tcW w:w="677" w:type="dxa"/>
            <w:noWrap w:val="0"/>
            <w:vAlign w:val="center"/>
          </w:tcPr>
          <w:p w14:paraId="67FDFE8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10373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6DEAB37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30A8454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值班期间不准睡觉</w:t>
            </w:r>
          </w:p>
        </w:tc>
        <w:tc>
          <w:tcPr>
            <w:tcW w:w="4916" w:type="dxa"/>
            <w:noWrap w:val="0"/>
            <w:vAlign w:val="center"/>
          </w:tcPr>
          <w:p w14:paraId="2EC9F1A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值班时间躺卧、睡觉，每次扣0.5分</w:t>
            </w:r>
          </w:p>
        </w:tc>
        <w:tc>
          <w:tcPr>
            <w:tcW w:w="677" w:type="dxa"/>
            <w:noWrap w:val="0"/>
            <w:vAlign w:val="center"/>
          </w:tcPr>
          <w:p w14:paraId="12A5F52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0F61E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41C527B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D978BB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突发事件上报</w:t>
            </w:r>
          </w:p>
        </w:tc>
        <w:tc>
          <w:tcPr>
            <w:tcW w:w="4916" w:type="dxa"/>
            <w:noWrap w:val="0"/>
            <w:vAlign w:val="center"/>
          </w:tcPr>
          <w:p w14:paraId="6B0CE11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发现打架、争吵、聚集未立即上报，每次扣2分</w:t>
            </w:r>
          </w:p>
        </w:tc>
        <w:tc>
          <w:tcPr>
            <w:tcW w:w="677" w:type="dxa"/>
            <w:noWrap w:val="0"/>
            <w:vAlign w:val="center"/>
          </w:tcPr>
          <w:p w14:paraId="4D52E0A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75411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5B6EFB9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7D51C77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外来车辆管理</w:t>
            </w:r>
          </w:p>
        </w:tc>
        <w:tc>
          <w:tcPr>
            <w:tcW w:w="4916" w:type="dxa"/>
            <w:noWrap w:val="0"/>
            <w:vAlign w:val="center"/>
          </w:tcPr>
          <w:p w14:paraId="430E769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外来车辆未审批、未登记、未引导停放，每次扣2分</w:t>
            </w:r>
          </w:p>
        </w:tc>
        <w:tc>
          <w:tcPr>
            <w:tcW w:w="677" w:type="dxa"/>
            <w:noWrap w:val="0"/>
            <w:vAlign w:val="center"/>
          </w:tcPr>
          <w:p w14:paraId="6730CA3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2147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0A69C66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5A53073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值班登记制度</w:t>
            </w:r>
          </w:p>
        </w:tc>
        <w:tc>
          <w:tcPr>
            <w:tcW w:w="4916" w:type="dxa"/>
            <w:noWrap w:val="0"/>
            <w:vAlign w:val="center"/>
          </w:tcPr>
          <w:p w14:paraId="69A1195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未记录、漏记、错记值班情况，每次扣0.5分</w:t>
            </w:r>
          </w:p>
        </w:tc>
        <w:tc>
          <w:tcPr>
            <w:tcW w:w="677" w:type="dxa"/>
            <w:noWrap w:val="0"/>
            <w:vAlign w:val="center"/>
          </w:tcPr>
          <w:p w14:paraId="1479F3A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B86C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6188CB7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3DAE1E6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严禁违章用电用火</w:t>
            </w:r>
          </w:p>
        </w:tc>
        <w:tc>
          <w:tcPr>
            <w:tcW w:w="4916" w:type="dxa"/>
            <w:noWrap w:val="0"/>
            <w:vAlign w:val="center"/>
          </w:tcPr>
          <w:p w14:paraId="5EEF28E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值班室违规用电、楼宇内动用明火，每次扣2分</w:t>
            </w:r>
          </w:p>
        </w:tc>
        <w:tc>
          <w:tcPr>
            <w:tcW w:w="677" w:type="dxa"/>
            <w:noWrap w:val="0"/>
            <w:vAlign w:val="center"/>
          </w:tcPr>
          <w:p w14:paraId="4A6EDB9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7DB4B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613A304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0EFFB5A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消防器材检查</w:t>
            </w:r>
          </w:p>
        </w:tc>
        <w:tc>
          <w:tcPr>
            <w:tcW w:w="4916" w:type="dxa"/>
            <w:noWrap w:val="0"/>
            <w:vAlign w:val="center"/>
          </w:tcPr>
          <w:p w14:paraId="78AD87C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未定期检查、记录缺失、器材失效，每次扣2分</w:t>
            </w:r>
          </w:p>
        </w:tc>
        <w:tc>
          <w:tcPr>
            <w:tcW w:w="677" w:type="dxa"/>
            <w:noWrap w:val="0"/>
            <w:vAlign w:val="center"/>
          </w:tcPr>
          <w:p w14:paraId="76C70CC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9121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restart"/>
            <w:noWrap w:val="0"/>
            <w:vAlign w:val="center"/>
          </w:tcPr>
          <w:p w14:paraId="2A69277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sz w:val="24"/>
                <w:szCs w:val="24"/>
              </w:rPr>
              <w:t>消防监控工作</w:t>
            </w:r>
          </w:p>
        </w:tc>
        <w:tc>
          <w:tcPr>
            <w:tcW w:w="1663" w:type="dxa"/>
            <w:noWrap w:val="0"/>
            <w:vAlign w:val="center"/>
          </w:tcPr>
          <w:p w14:paraId="3C5E1CF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24小时监控设备</w:t>
            </w:r>
          </w:p>
        </w:tc>
        <w:tc>
          <w:tcPr>
            <w:tcW w:w="4916" w:type="dxa"/>
            <w:noWrap w:val="0"/>
            <w:vAlign w:val="center"/>
          </w:tcPr>
          <w:p w14:paraId="6E6AA06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无人值守、设备未监控，每次扣2分</w:t>
            </w:r>
          </w:p>
        </w:tc>
        <w:tc>
          <w:tcPr>
            <w:tcW w:w="677" w:type="dxa"/>
            <w:noWrap w:val="0"/>
            <w:vAlign w:val="center"/>
          </w:tcPr>
          <w:p w14:paraId="7023B94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5B92A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506C0E6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1AE9BC2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熟练操作消防设备</w:t>
            </w:r>
          </w:p>
        </w:tc>
        <w:tc>
          <w:tcPr>
            <w:tcW w:w="4916" w:type="dxa"/>
            <w:noWrap w:val="0"/>
            <w:vAlign w:val="center"/>
          </w:tcPr>
          <w:p w14:paraId="50C08DF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不会消音、复位等操作，每次扣2分</w:t>
            </w:r>
          </w:p>
        </w:tc>
        <w:tc>
          <w:tcPr>
            <w:tcW w:w="677" w:type="dxa"/>
            <w:noWrap w:val="0"/>
            <w:vAlign w:val="center"/>
          </w:tcPr>
          <w:p w14:paraId="1A5F2B3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7A121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3D5A37E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6353C62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设备运行记录</w:t>
            </w:r>
          </w:p>
        </w:tc>
        <w:tc>
          <w:tcPr>
            <w:tcW w:w="4916" w:type="dxa"/>
            <w:noWrap w:val="0"/>
            <w:vAlign w:val="center"/>
          </w:tcPr>
          <w:p w14:paraId="580D7D1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未记录启动/停止/故障/维修情况，每次扣0.5分</w:t>
            </w:r>
          </w:p>
        </w:tc>
        <w:tc>
          <w:tcPr>
            <w:tcW w:w="677" w:type="dxa"/>
            <w:noWrap w:val="0"/>
            <w:vAlign w:val="center"/>
          </w:tcPr>
          <w:p w14:paraId="0AD4B24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2A87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3D67590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7C11843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消防值班记录</w:t>
            </w:r>
          </w:p>
        </w:tc>
        <w:tc>
          <w:tcPr>
            <w:tcW w:w="4916" w:type="dxa"/>
            <w:noWrap w:val="0"/>
            <w:vAlign w:val="center"/>
          </w:tcPr>
          <w:p w14:paraId="5FC237B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未填写时间、人员、运行、巡查情况，每次扣0.5分</w:t>
            </w:r>
          </w:p>
        </w:tc>
        <w:tc>
          <w:tcPr>
            <w:tcW w:w="677" w:type="dxa"/>
            <w:noWrap w:val="0"/>
            <w:vAlign w:val="center"/>
          </w:tcPr>
          <w:p w14:paraId="4436C89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569F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restart"/>
            <w:noWrap w:val="0"/>
            <w:vAlign w:val="center"/>
          </w:tcPr>
          <w:p w14:paraId="640B8BF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sz w:val="24"/>
                <w:szCs w:val="24"/>
              </w:rPr>
              <w:t>宿管员工作</w:t>
            </w:r>
          </w:p>
        </w:tc>
        <w:tc>
          <w:tcPr>
            <w:tcW w:w="1663" w:type="dxa"/>
            <w:noWrap w:val="0"/>
            <w:vAlign w:val="center"/>
          </w:tcPr>
          <w:p w14:paraId="3EEE86D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不得酒后上岗</w:t>
            </w:r>
          </w:p>
        </w:tc>
        <w:tc>
          <w:tcPr>
            <w:tcW w:w="4916" w:type="dxa"/>
            <w:noWrap w:val="0"/>
            <w:vAlign w:val="center"/>
          </w:tcPr>
          <w:p w14:paraId="5426EDD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上岗前饮酒、身上有明显酒气，每次扣0.5分</w:t>
            </w:r>
          </w:p>
        </w:tc>
        <w:tc>
          <w:tcPr>
            <w:tcW w:w="677" w:type="dxa"/>
            <w:noWrap w:val="0"/>
            <w:vAlign w:val="center"/>
          </w:tcPr>
          <w:p w14:paraId="49B8538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8F1F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0CE9236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52F0CBD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不做无关事项</w:t>
            </w:r>
          </w:p>
        </w:tc>
        <w:tc>
          <w:tcPr>
            <w:tcW w:w="4916" w:type="dxa"/>
            <w:noWrap w:val="0"/>
            <w:vAlign w:val="center"/>
          </w:tcPr>
          <w:p w14:paraId="0CCF59F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值班干私活、玩手机/电脑≥5分钟，1人次扣2分</w:t>
            </w:r>
          </w:p>
        </w:tc>
        <w:tc>
          <w:tcPr>
            <w:tcW w:w="677" w:type="dxa"/>
            <w:noWrap w:val="0"/>
            <w:vAlign w:val="center"/>
          </w:tcPr>
          <w:p w14:paraId="18D3D1D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7559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148FEFD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7B2F21D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执行门禁管理</w:t>
            </w:r>
          </w:p>
        </w:tc>
        <w:tc>
          <w:tcPr>
            <w:tcW w:w="4916" w:type="dxa"/>
            <w:noWrap w:val="0"/>
            <w:vAlign w:val="center"/>
          </w:tcPr>
          <w:p w14:paraId="0265F8B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未按规定开关门、查验身份，每次扣0.5分</w:t>
            </w:r>
          </w:p>
        </w:tc>
        <w:tc>
          <w:tcPr>
            <w:tcW w:w="677" w:type="dxa"/>
            <w:noWrap w:val="0"/>
            <w:vAlign w:val="center"/>
          </w:tcPr>
          <w:p w14:paraId="7677F7B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F9BF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337608C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3F0C3A3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宿舍定时巡视</w:t>
            </w:r>
          </w:p>
        </w:tc>
        <w:tc>
          <w:tcPr>
            <w:tcW w:w="4916" w:type="dxa"/>
            <w:noWrap w:val="0"/>
            <w:vAlign w:val="center"/>
          </w:tcPr>
          <w:p w14:paraId="18C6DD9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每2小时巡查1次，未巡查/无记录，每次扣0.5分</w:t>
            </w:r>
          </w:p>
        </w:tc>
        <w:tc>
          <w:tcPr>
            <w:tcW w:w="677" w:type="dxa"/>
            <w:noWrap w:val="0"/>
            <w:vAlign w:val="center"/>
          </w:tcPr>
          <w:p w14:paraId="18549A3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5C7C2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6E1AA2E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4BCBBEA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值班不准睡觉</w:t>
            </w:r>
          </w:p>
        </w:tc>
        <w:tc>
          <w:tcPr>
            <w:tcW w:w="4916" w:type="dxa"/>
            <w:noWrap w:val="0"/>
            <w:vAlign w:val="center"/>
          </w:tcPr>
          <w:p w14:paraId="7B75F04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值班时间躺卧、睡觉，每次扣0.5分</w:t>
            </w:r>
          </w:p>
        </w:tc>
        <w:tc>
          <w:tcPr>
            <w:tcW w:w="677" w:type="dxa"/>
            <w:noWrap w:val="0"/>
            <w:vAlign w:val="center"/>
          </w:tcPr>
          <w:p w14:paraId="78478AE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03A4A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7C02128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0803AD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严禁异性入楼</w:t>
            </w:r>
          </w:p>
        </w:tc>
        <w:tc>
          <w:tcPr>
            <w:tcW w:w="4916" w:type="dxa"/>
            <w:noWrap w:val="0"/>
            <w:vAlign w:val="center"/>
          </w:tcPr>
          <w:p w14:paraId="258045F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违规放行异性进入宿舍楼，每次扣5分</w:t>
            </w:r>
          </w:p>
        </w:tc>
        <w:tc>
          <w:tcPr>
            <w:tcW w:w="677" w:type="dxa"/>
            <w:noWrap w:val="0"/>
            <w:vAlign w:val="center"/>
          </w:tcPr>
          <w:p w14:paraId="48C152D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7716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2168B9C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4958484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服务态度</w:t>
            </w:r>
          </w:p>
        </w:tc>
        <w:tc>
          <w:tcPr>
            <w:tcW w:w="4916" w:type="dxa"/>
            <w:noWrap w:val="0"/>
            <w:vAlign w:val="center"/>
          </w:tcPr>
          <w:p w14:paraId="2BFD879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学生投诉态度差，经查实每次扣0.5分</w:t>
            </w:r>
          </w:p>
        </w:tc>
        <w:tc>
          <w:tcPr>
            <w:tcW w:w="677" w:type="dxa"/>
            <w:noWrap w:val="0"/>
            <w:vAlign w:val="center"/>
          </w:tcPr>
          <w:p w14:paraId="182331F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23D7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2843088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54B4339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外来人员来访</w:t>
            </w:r>
          </w:p>
        </w:tc>
        <w:tc>
          <w:tcPr>
            <w:tcW w:w="4916" w:type="dxa"/>
            <w:noWrap w:val="0"/>
            <w:vAlign w:val="center"/>
          </w:tcPr>
          <w:p w14:paraId="6C288DF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未问明事由、未登记、未审批即放行，每次扣2分</w:t>
            </w:r>
          </w:p>
        </w:tc>
        <w:tc>
          <w:tcPr>
            <w:tcW w:w="677" w:type="dxa"/>
            <w:noWrap w:val="0"/>
            <w:vAlign w:val="center"/>
          </w:tcPr>
          <w:p w14:paraId="346431C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5F1D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1891468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598DDF8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维修人员准入</w:t>
            </w:r>
          </w:p>
        </w:tc>
        <w:tc>
          <w:tcPr>
            <w:tcW w:w="4916" w:type="dxa"/>
            <w:noWrap w:val="0"/>
            <w:vAlign w:val="center"/>
          </w:tcPr>
          <w:p w14:paraId="1CF814C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无出入证放行维修人员，每次扣0.5分</w:t>
            </w:r>
          </w:p>
        </w:tc>
        <w:tc>
          <w:tcPr>
            <w:tcW w:w="677" w:type="dxa"/>
            <w:noWrap w:val="0"/>
            <w:vAlign w:val="center"/>
          </w:tcPr>
          <w:p w14:paraId="447C537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304D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65E444B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2D5622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外来人员住宿</w:t>
            </w:r>
          </w:p>
        </w:tc>
        <w:tc>
          <w:tcPr>
            <w:tcW w:w="4916" w:type="dxa"/>
            <w:noWrap w:val="0"/>
            <w:vAlign w:val="center"/>
          </w:tcPr>
          <w:p w14:paraId="1B4105D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未审批、未办手续安排住宿，每次扣0.5分</w:t>
            </w:r>
          </w:p>
        </w:tc>
        <w:tc>
          <w:tcPr>
            <w:tcW w:w="677" w:type="dxa"/>
            <w:noWrap w:val="0"/>
            <w:vAlign w:val="center"/>
          </w:tcPr>
          <w:p w14:paraId="3E023B3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41955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76BAC4C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73CE79F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寝室钥匙管理</w:t>
            </w:r>
          </w:p>
        </w:tc>
        <w:tc>
          <w:tcPr>
            <w:tcW w:w="4916" w:type="dxa"/>
            <w:noWrap w:val="0"/>
            <w:vAlign w:val="center"/>
          </w:tcPr>
          <w:p w14:paraId="6EBAFEB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私藏、私带、外借钥匙，每次扣0.5分</w:t>
            </w:r>
          </w:p>
        </w:tc>
        <w:tc>
          <w:tcPr>
            <w:tcW w:w="677" w:type="dxa"/>
            <w:noWrap w:val="0"/>
            <w:vAlign w:val="center"/>
          </w:tcPr>
          <w:p w14:paraId="0940C40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0705B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2CA4D4E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44F0587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学生报修登记</w:t>
            </w:r>
          </w:p>
        </w:tc>
        <w:tc>
          <w:tcPr>
            <w:tcW w:w="4916" w:type="dxa"/>
            <w:noWrap w:val="0"/>
            <w:vAlign w:val="center"/>
          </w:tcPr>
          <w:p w14:paraId="1402AF5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未登记、漏登记、未跟进报修，每次扣0.5分</w:t>
            </w:r>
          </w:p>
        </w:tc>
        <w:tc>
          <w:tcPr>
            <w:tcW w:w="677" w:type="dxa"/>
            <w:noWrap w:val="0"/>
            <w:vAlign w:val="center"/>
          </w:tcPr>
          <w:p w14:paraId="1089905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57E92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231D83C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5C3B572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辅导员查寝登记</w:t>
            </w:r>
          </w:p>
        </w:tc>
        <w:tc>
          <w:tcPr>
            <w:tcW w:w="4916" w:type="dxa"/>
            <w:noWrap w:val="0"/>
            <w:vAlign w:val="center"/>
          </w:tcPr>
          <w:p w14:paraId="0D2D480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未记录辅导员查寝情况，每次扣0.5分</w:t>
            </w:r>
          </w:p>
        </w:tc>
        <w:tc>
          <w:tcPr>
            <w:tcW w:w="677" w:type="dxa"/>
            <w:noWrap w:val="0"/>
            <w:vAlign w:val="center"/>
          </w:tcPr>
          <w:p w14:paraId="511DB14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E274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229A113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3F04261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做好交接班记录</w:t>
            </w:r>
          </w:p>
        </w:tc>
        <w:tc>
          <w:tcPr>
            <w:tcW w:w="4916" w:type="dxa"/>
            <w:noWrap w:val="0"/>
            <w:vAlign w:val="center"/>
          </w:tcPr>
          <w:p w14:paraId="460C118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无交接记录、记录不清、漏签，每次扣0.5分</w:t>
            </w:r>
          </w:p>
        </w:tc>
        <w:tc>
          <w:tcPr>
            <w:tcW w:w="677" w:type="dxa"/>
            <w:noWrap w:val="0"/>
            <w:vAlign w:val="center"/>
          </w:tcPr>
          <w:p w14:paraId="3C261F2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BDE7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630336A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0DD1D3D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上课高峰立岗</w:t>
            </w:r>
          </w:p>
        </w:tc>
        <w:tc>
          <w:tcPr>
            <w:tcW w:w="4916" w:type="dxa"/>
            <w:noWrap w:val="0"/>
            <w:vAlign w:val="center"/>
          </w:tcPr>
          <w:p w14:paraId="253288E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7:30-8:30、13:30-14:30未立岗，每次扣0.5分</w:t>
            </w:r>
          </w:p>
        </w:tc>
        <w:tc>
          <w:tcPr>
            <w:tcW w:w="677" w:type="dxa"/>
            <w:noWrap w:val="0"/>
            <w:vAlign w:val="center"/>
          </w:tcPr>
          <w:p w14:paraId="71A7463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6FB2F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12BA345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3CD2696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公物外搬管控</w:t>
            </w:r>
          </w:p>
        </w:tc>
        <w:tc>
          <w:tcPr>
            <w:tcW w:w="4916" w:type="dxa"/>
            <w:noWrap w:val="0"/>
            <w:vAlign w:val="center"/>
          </w:tcPr>
          <w:p w14:paraId="7393301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未核实放行宿舍公物外出，每次扣0.5分</w:t>
            </w:r>
          </w:p>
        </w:tc>
        <w:tc>
          <w:tcPr>
            <w:tcW w:w="677" w:type="dxa"/>
            <w:noWrap w:val="0"/>
            <w:vAlign w:val="center"/>
          </w:tcPr>
          <w:p w14:paraId="486E386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405F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7B43F49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14A620A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值班室秩序</w:t>
            </w:r>
          </w:p>
        </w:tc>
        <w:tc>
          <w:tcPr>
            <w:tcW w:w="4916" w:type="dxa"/>
            <w:noWrap w:val="0"/>
            <w:vAlign w:val="center"/>
          </w:tcPr>
          <w:p w14:paraId="42BC708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争吵、大声喧哗影响学生，每次扣0.5分</w:t>
            </w:r>
          </w:p>
        </w:tc>
        <w:tc>
          <w:tcPr>
            <w:tcW w:w="677" w:type="dxa"/>
            <w:noWrap w:val="0"/>
            <w:vAlign w:val="center"/>
          </w:tcPr>
          <w:p w14:paraId="76F7383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70023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75CF188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66A681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突发事件上报</w:t>
            </w:r>
          </w:p>
        </w:tc>
        <w:tc>
          <w:tcPr>
            <w:tcW w:w="4916" w:type="dxa"/>
            <w:noWrap w:val="0"/>
            <w:vAlign w:val="center"/>
          </w:tcPr>
          <w:p w14:paraId="00F9556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发现打架、争吵、聚集未立即上报，每次扣2分</w:t>
            </w:r>
          </w:p>
        </w:tc>
        <w:tc>
          <w:tcPr>
            <w:tcW w:w="677" w:type="dxa"/>
            <w:noWrap w:val="0"/>
            <w:vAlign w:val="center"/>
          </w:tcPr>
          <w:p w14:paraId="767BEB0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4ED75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5399142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0D02D60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火情紧急处置</w:t>
            </w:r>
          </w:p>
        </w:tc>
        <w:tc>
          <w:tcPr>
            <w:tcW w:w="4916" w:type="dxa"/>
            <w:noWrap w:val="0"/>
            <w:vAlign w:val="center"/>
          </w:tcPr>
          <w:p w14:paraId="3635065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火情未立即报告、未做前期处置，每次扣5分</w:t>
            </w:r>
          </w:p>
        </w:tc>
        <w:tc>
          <w:tcPr>
            <w:tcW w:w="677" w:type="dxa"/>
            <w:noWrap w:val="0"/>
            <w:vAlign w:val="center"/>
          </w:tcPr>
          <w:p w14:paraId="64DC71D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7C271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7EE31BA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1822F1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值班室禁经商</w:t>
            </w:r>
          </w:p>
        </w:tc>
        <w:tc>
          <w:tcPr>
            <w:tcW w:w="4916" w:type="dxa"/>
            <w:noWrap w:val="0"/>
            <w:vAlign w:val="center"/>
          </w:tcPr>
          <w:p w14:paraId="6F5E1E7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在值班室摆摊、售卖物品，每次扣5分</w:t>
            </w:r>
          </w:p>
        </w:tc>
        <w:tc>
          <w:tcPr>
            <w:tcW w:w="677" w:type="dxa"/>
            <w:noWrap w:val="0"/>
            <w:vAlign w:val="center"/>
          </w:tcPr>
          <w:p w14:paraId="6691FD7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642BB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0791B86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398BA83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保护公私财物</w:t>
            </w:r>
          </w:p>
        </w:tc>
        <w:tc>
          <w:tcPr>
            <w:tcW w:w="4916" w:type="dxa"/>
            <w:noWrap w:val="0"/>
            <w:vAlign w:val="center"/>
          </w:tcPr>
          <w:p w14:paraId="5A5CA97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损坏公物、侵害学生利益，每次扣5分</w:t>
            </w:r>
          </w:p>
        </w:tc>
        <w:tc>
          <w:tcPr>
            <w:tcW w:w="677" w:type="dxa"/>
            <w:noWrap w:val="0"/>
            <w:vAlign w:val="center"/>
          </w:tcPr>
          <w:p w14:paraId="7AD18EC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671A4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7D2A8BF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0DEF842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学生退宿管理</w:t>
            </w:r>
          </w:p>
        </w:tc>
        <w:tc>
          <w:tcPr>
            <w:tcW w:w="4916" w:type="dxa"/>
            <w:noWrap w:val="0"/>
            <w:vAlign w:val="center"/>
          </w:tcPr>
          <w:p w14:paraId="0ACFD68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未验收财产、未调换门锁，每次扣0.5分</w:t>
            </w:r>
          </w:p>
        </w:tc>
        <w:tc>
          <w:tcPr>
            <w:tcW w:w="677" w:type="dxa"/>
            <w:noWrap w:val="0"/>
            <w:vAlign w:val="center"/>
          </w:tcPr>
          <w:p w14:paraId="63676E7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135F3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755DD1A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67C5447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安全提醒处置</w:t>
            </w:r>
          </w:p>
        </w:tc>
        <w:tc>
          <w:tcPr>
            <w:tcW w:w="4916" w:type="dxa"/>
            <w:noWrap w:val="0"/>
            <w:vAlign w:val="center"/>
          </w:tcPr>
          <w:p w14:paraId="6C72CD3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未关门、未断电、钥匙挂门未处理未提示，每次扣0.5分</w:t>
            </w:r>
          </w:p>
        </w:tc>
        <w:tc>
          <w:tcPr>
            <w:tcW w:w="677" w:type="dxa"/>
            <w:noWrap w:val="0"/>
            <w:vAlign w:val="center"/>
          </w:tcPr>
          <w:p w14:paraId="1803066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581C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61AE9EC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4CCC3A3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不得包庇过失</w:t>
            </w:r>
          </w:p>
        </w:tc>
        <w:tc>
          <w:tcPr>
            <w:tcW w:w="4916" w:type="dxa"/>
            <w:noWrap w:val="0"/>
            <w:vAlign w:val="center"/>
          </w:tcPr>
          <w:p w14:paraId="5348957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包庇保安、保洁、维修人员过错，每次扣2分</w:t>
            </w:r>
          </w:p>
        </w:tc>
        <w:tc>
          <w:tcPr>
            <w:tcW w:w="677" w:type="dxa"/>
            <w:noWrap w:val="0"/>
            <w:vAlign w:val="center"/>
          </w:tcPr>
          <w:p w14:paraId="081D634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17F95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45C30C0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05EFF3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配合各项检查</w:t>
            </w:r>
          </w:p>
        </w:tc>
        <w:tc>
          <w:tcPr>
            <w:tcW w:w="4916" w:type="dxa"/>
            <w:noWrap w:val="0"/>
            <w:vAlign w:val="center"/>
          </w:tcPr>
          <w:p w14:paraId="0E9EA8F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不配合学校、学生干部检查，每次扣0.5分</w:t>
            </w:r>
          </w:p>
        </w:tc>
        <w:tc>
          <w:tcPr>
            <w:tcW w:w="677" w:type="dxa"/>
            <w:noWrap w:val="0"/>
            <w:vAlign w:val="center"/>
          </w:tcPr>
          <w:p w14:paraId="4F99640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B26E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restart"/>
            <w:noWrap w:val="0"/>
            <w:vAlign w:val="center"/>
          </w:tcPr>
          <w:p w14:paraId="43FCC96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sz w:val="24"/>
                <w:szCs w:val="24"/>
              </w:rPr>
              <w:t>水电维修工工作</w:t>
            </w:r>
          </w:p>
        </w:tc>
        <w:tc>
          <w:tcPr>
            <w:tcW w:w="1663" w:type="dxa"/>
            <w:noWrap w:val="0"/>
            <w:vAlign w:val="center"/>
          </w:tcPr>
          <w:p w14:paraId="225DDEE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必须持证上岗</w:t>
            </w:r>
          </w:p>
        </w:tc>
        <w:tc>
          <w:tcPr>
            <w:tcW w:w="4916" w:type="dxa"/>
            <w:noWrap w:val="0"/>
            <w:vAlign w:val="center"/>
          </w:tcPr>
          <w:p w14:paraId="50B54EA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无证上岗、证件过期，每次扣0.5分</w:t>
            </w:r>
          </w:p>
        </w:tc>
        <w:tc>
          <w:tcPr>
            <w:tcW w:w="677" w:type="dxa"/>
            <w:noWrap w:val="0"/>
            <w:vAlign w:val="center"/>
          </w:tcPr>
          <w:p w14:paraId="1E841D8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162D2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5B97B17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7B56567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穿戴统一工装</w:t>
            </w:r>
          </w:p>
        </w:tc>
        <w:tc>
          <w:tcPr>
            <w:tcW w:w="4916" w:type="dxa"/>
            <w:noWrap w:val="0"/>
            <w:vAlign w:val="center"/>
          </w:tcPr>
          <w:p w14:paraId="329F2BD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未按规定穿工装上岗，每次扣0.5分</w:t>
            </w:r>
          </w:p>
        </w:tc>
        <w:tc>
          <w:tcPr>
            <w:tcW w:w="677" w:type="dxa"/>
            <w:noWrap w:val="0"/>
            <w:vAlign w:val="center"/>
          </w:tcPr>
          <w:p w14:paraId="745CC77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B228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505DC32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4B577AD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按规程操作更换</w:t>
            </w:r>
          </w:p>
        </w:tc>
        <w:tc>
          <w:tcPr>
            <w:tcW w:w="4916" w:type="dxa"/>
            <w:noWrap w:val="0"/>
            <w:vAlign w:val="center"/>
          </w:tcPr>
          <w:p w14:paraId="1A5A47D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违规操作、更换物品与原样不符，每次扣5分</w:t>
            </w:r>
          </w:p>
        </w:tc>
        <w:tc>
          <w:tcPr>
            <w:tcW w:w="677" w:type="dxa"/>
            <w:noWrap w:val="0"/>
            <w:vAlign w:val="center"/>
          </w:tcPr>
          <w:p w14:paraId="29928D9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E543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43A25CB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6C239B7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不得替换维修材料</w:t>
            </w:r>
          </w:p>
        </w:tc>
        <w:tc>
          <w:tcPr>
            <w:tcW w:w="4916" w:type="dxa"/>
            <w:noWrap w:val="0"/>
            <w:vAlign w:val="center"/>
          </w:tcPr>
          <w:p w14:paraId="70D345E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私自更换、挪用学校材料，每次扣10分</w:t>
            </w:r>
          </w:p>
        </w:tc>
        <w:tc>
          <w:tcPr>
            <w:tcW w:w="677" w:type="dxa"/>
            <w:noWrap w:val="0"/>
            <w:vAlign w:val="center"/>
          </w:tcPr>
          <w:p w14:paraId="1DFC82F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0DDBD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566584B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88402F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维修及时完成</w:t>
            </w:r>
          </w:p>
        </w:tc>
        <w:tc>
          <w:tcPr>
            <w:tcW w:w="4916" w:type="dxa"/>
            <w:noWrap w:val="0"/>
            <w:vAlign w:val="center"/>
          </w:tcPr>
          <w:p w14:paraId="7B274FF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一般故障1小时内修好，未按时完成扣2分</w:t>
            </w:r>
          </w:p>
        </w:tc>
        <w:tc>
          <w:tcPr>
            <w:tcW w:w="677" w:type="dxa"/>
            <w:noWrap w:val="0"/>
            <w:vAlign w:val="center"/>
          </w:tcPr>
          <w:p w14:paraId="02314BF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4FFD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72C213B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6124AB6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门锁加润滑油</w:t>
            </w:r>
          </w:p>
        </w:tc>
        <w:tc>
          <w:tcPr>
            <w:tcW w:w="4916" w:type="dxa"/>
            <w:noWrap w:val="0"/>
            <w:vAlign w:val="center"/>
          </w:tcPr>
          <w:p w14:paraId="48DA25E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每学期开学前7天内完成，未完成扣0.5分</w:t>
            </w:r>
          </w:p>
        </w:tc>
        <w:tc>
          <w:tcPr>
            <w:tcW w:w="677" w:type="dxa"/>
            <w:noWrap w:val="0"/>
            <w:vAlign w:val="center"/>
          </w:tcPr>
          <w:p w14:paraId="42C7DB1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1353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73C92EC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7179B0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故障到场时效</w:t>
            </w:r>
          </w:p>
        </w:tc>
        <w:tc>
          <w:tcPr>
            <w:tcW w:w="4916" w:type="dxa"/>
            <w:noWrap w:val="0"/>
            <w:vAlign w:val="center"/>
          </w:tcPr>
          <w:p w14:paraId="304ECE4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停水停电：上班5分钟内、非上班20分钟内未到，每次扣2分</w:t>
            </w:r>
          </w:p>
        </w:tc>
        <w:tc>
          <w:tcPr>
            <w:tcW w:w="677" w:type="dxa"/>
            <w:noWrap w:val="0"/>
            <w:vAlign w:val="center"/>
          </w:tcPr>
          <w:p w14:paraId="7795759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4DEA9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4CCEB16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4C33F58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不损坏公私物品</w:t>
            </w:r>
          </w:p>
        </w:tc>
        <w:tc>
          <w:tcPr>
            <w:tcW w:w="4916" w:type="dxa"/>
            <w:noWrap w:val="0"/>
            <w:vAlign w:val="center"/>
          </w:tcPr>
          <w:p w14:paraId="786A02E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私自使用、损坏公共/学生物品，每次扣0.5分</w:t>
            </w:r>
          </w:p>
        </w:tc>
        <w:tc>
          <w:tcPr>
            <w:tcW w:w="677" w:type="dxa"/>
            <w:noWrap w:val="0"/>
            <w:vAlign w:val="center"/>
          </w:tcPr>
          <w:p w14:paraId="2407A7C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6DEA1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2570FBA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34E18E0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毕业生门锁调换</w:t>
            </w:r>
          </w:p>
        </w:tc>
        <w:tc>
          <w:tcPr>
            <w:tcW w:w="4916" w:type="dxa"/>
            <w:noWrap w:val="0"/>
            <w:vAlign w:val="center"/>
          </w:tcPr>
          <w:p w14:paraId="3E01A60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未协助调换毕业生宿舍门锁，每次扣0.5分</w:t>
            </w:r>
          </w:p>
        </w:tc>
        <w:tc>
          <w:tcPr>
            <w:tcW w:w="677" w:type="dxa"/>
            <w:noWrap w:val="0"/>
            <w:vAlign w:val="center"/>
          </w:tcPr>
          <w:p w14:paraId="3959C45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78E49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62B5E64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7637C58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维修材料使用</w:t>
            </w:r>
          </w:p>
        </w:tc>
        <w:tc>
          <w:tcPr>
            <w:tcW w:w="4916" w:type="dxa"/>
            <w:noWrap w:val="0"/>
            <w:vAlign w:val="center"/>
          </w:tcPr>
          <w:p w14:paraId="7DE2678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未经同意将材料挪作他用，每次扣10分</w:t>
            </w:r>
          </w:p>
        </w:tc>
        <w:tc>
          <w:tcPr>
            <w:tcW w:w="677" w:type="dxa"/>
            <w:noWrap w:val="0"/>
            <w:vAlign w:val="center"/>
          </w:tcPr>
          <w:p w14:paraId="6A47C48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54B5B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24" w:type="dxa"/>
            <w:vMerge w:val="continue"/>
            <w:noWrap w:val="0"/>
            <w:vAlign w:val="center"/>
          </w:tcPr>
          <w:p w14:paraId="510DBA0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1663" w:type="dxa"/>
            <w:noWrap w:val="0"/>
            <w:vAlign w:val="center"/>
          </w:tcPr>
          <w:p w14:paraId="2BCDB60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空置宿舍清理</w:t>
            </w:r>
          </w:p>
        </w:tc>
        <w:tc>
          <w:tcPr>
            <w:tcW w:w="4916" w:type="dxa"/>
            <w:noWrap w:val="0"/>
            <w:vAlign w:val="center"/>
          </w:tcPr>
          <w:p w14:paraId="4F0BC80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调整搬迁2天内、毕业7天内未清扫消毒，每次扣0.5分</w:t>
            </w:r>
          </w:p>
        </w:tc>
        <w:tc>
          <w:tcPr>
            <w:tcW w:w="677" w:type="dxa"/>
            <w:noWrap w:val="0"/>
            <w:vAlign w:val="center"/>
          </w:tcPr>
          <w:p w14:paraId="6D6B639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276D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2687" w:type="dxa"/>
            <w:gridSpan w:val="2"/>
            <w:noWrap w:val="0"/>
            <w:vAlign w:val="center"/>
          </w:tcPr>
          <w:p w14:paraId="141CD83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sz w:val="24"/>
                <w:szCs w:val="24"/>
              </w:rPr>
              <w:t>月总扣分</w:t>
            </w:r>
          </w:p>
        </w:tc>
        <w:tc>
          <w:tcPr>
            <w:tcW w:w="4916" w:type="dxa"/>
            <w:noWrap w:val="0"/>
            <w:vAlign w:val="center"/>
          </w:tcPr>
          <w:p w14:paraId="2AC8BB6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677" w:type="dxa"/>
            <w:noWrap w:val="0"/>
            <w:vAlign w:val="center"/>
          </w:tcPr>
          <w:p w14:paraId="0F1590B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bl>
    <w:p w14:paraId="3AE57C5B">
      <w:pPr>
        <w:keepLines w:val="0"/>
        <w:pageBreakBefore w:val="0"/>
        <w:overflowPunct/>
        <w:topLinePunct w:val="0"/>
        <w:bidi w:val="0"/>
        <w:adjustRightInd w:val="0"/>
        <w:snapToGrid w:val="0"/>
        <w:ind w:left="0" w:leftChars="0"/>
        <w:rPr>
          <w:rFonts w:hint="eastAsia" w:ascii="宋体" w:hAnsi="宋体" w:eastAsia="宋体" w:cs="宋体"/>
          <w:sz w:val="24"/>
          <w:szCs w:val="24"/>
        </w:rPr>
      </w:pPr>
    </w:p>
    <w:p w14:paraId="418E46E3">
      <w:pPr>
        <w:keepLines w:val="0"/>
        <w:pageBreakBefore w:val="0"/>
        <w:overflowPunct/>
        <w:topLinePunct w:val="0"/>
        <w:bidi w:val="0"/>
        <w:adjustRightInd w:val="0"/>
        <w:snapToGrid w:val="0"/>
        <w:ind w:left="0" w:leftChars="0" w:firstLine="0" w:firstLineChars="0"/>
        <w:rPr>
          <w:rFonts w:hint="eastAsia" w:ascii="宋体" w:hAnsi="宋体" w:eastAsia="宋体" w:cs="宋体"/>
          <w:sz w:val="24"/>
          <w:szCs w:val="24"/>
        </w:rPr>
      </w:pPr>
      <w:r>
        <w:rPr>
          <w:rFonts w:hint="eastAsia" w:ascii="宋体" w:hAnsi="宋体" w:eastAsia="宋体" w:cs="宋体"/>
          <w:sz w:val="24"/>
          <w:szCs w:val="24"/>
        </w:rPr>
        <w:t>甲方经办人签字：</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乙方项目经理签字：</w:t>
      </w:r>
    </w:p>
    <w:p w14:paraId="789183C4">
      <w:pPr>
        <w:keepLines w:val="0"/>
        <w:pageBreakBefore w:val="0"/>
        <w:overflowPunct/>
        <w:topLinePunct w:val="0"/>
        <w:bidi w:val="0"/>
        <w:adjustRightInd w:val="0"/>
        <w:snapToGrid w:val="0"/>
        <w:ind w:left="0" w:leftChars="0"/>
        <w:rPr>
          <w:rFonts w:hint="eastAsia" w:ascii="宋体" w:hAnsi="宋体" w:eastAsia="宋体" w:cs="宋体"/>
          <w:sz w:val="24"/>
          <w:szCs w:val="24"/>
        </w:rPr>
      </w:pPr>
      <w:r>
        <w:rPr>
          <w:rFonts w:hint="eastAsia" w:ascii="宋体" w:hAnsi="宋体" w:eastAsia="宋体" w:cs="宋体"/>
          <w:sz w:val="24"/>
          <w:szCs w:val="24"/>
        </w:rPr>
        <w:br w:type="page"/>
      </w:r>
    </w:p>
    <w:p w14:paraId="3A3845D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bCs/>
          <w:sz w:val="24"/>
          <w:szCs w:val="24"/>
        </w:rPr>
      </w:pPr>
      <w:r>
        <w:rPr>
          <w:rFonts w:hint="eastAsia" w:ascii="宋体" w:hAnsi="宋体" w:eastAsia="宋体" w:cs="宋体"/>
          <w:b w:val="0"/>
          <w:bCs/>
          <w:sz w:val="24"/>
          <w:szCs w:val="24"/>
        </w:rPr>
        <w:t>附件</w:t>
      </w:r>
      <w:r>
        <w:rPr>
          <w:rFonts w:hint="eastAsia" w:ascii="宋体" w:hAnsi="宋体" w:eastAsia="宋体" w:cs="宋体"/>
          <w:b w:val="0"/>
          <w:bCs/>
          <w:sz w:val="24"/>
          <w:szCs w:val="24"/>
          <w:lang w:val="en-US" w:eastAsia="zh-CN"/>
        </w:rPr>
        <w:t>3</w:t>
      </w:r>
      <w:r>
        <w:rPr>
          <w:rFonts w:hint="eastAsia" w:ascii="宋体" w:hAnsi="宋体" w:eastAsia="宋体" w:cs="宋体"/>
          <w:b w:val="0"/>
          <w:bCs/>
          <w:sz w:val="24"/>
          <w:szCs w:val="24"/>
        </w:rPr>
        <w:t>：《绿化养护考核评分表》</w:t>
      </w:r>
    </w:p>
    <w:p w14:paraId="3980BF0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宋体" w:hAnsi="宋体" w:eastAsia="宋体" w:cs="宋体"/>
          <w:b w:val="0"/>
          <w:bCs/>
          <w:sz w:val="24"/>
          <w:szCs w:val="24"/>
        </w:rPr>
      </w:pPr>
    </w:p>
    <w:p w14:paraId="368A655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绿化养护考核评分表</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1034"/>
        <w:gridCol w:w="7428"/>
        <w:gridCol w:w="540"/>
      </w:tblGrid>
      <w:tr w14:paraId="0DE8F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blHeader/>
          <w:jc w:val="center"/>
        </w:trPr>
        <w:tc>
          <w:tcPr>
            <w:tcW w:w="1034" w:type="dxa"/>
            <w:noWrap w:val="0"/>
            <w:vAlign w:val="center"/>
          </w:tcPr>
          <w:p w14:paraId="46C594C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考核大类</w:t>
            </w:r>
          </w:p>
        </w:tc>
        <w:tc>
          <w:tcPr>
            <w:tcW w:w="7428" w:type="dxa"/>
            <w:noWrap w:val="0"/>
            <w:vAlign w:val="center"/>
          </w:tcPr>
          <w:p w14:paraId="7BD0F9D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考核标准（含量化扣分项）</w:t>
            </w:r>
          </w:p>
        </w:tc>
        <w:tc>
          <w:tcPr>
            <w:tcW w:w="540" w:type="dxa"/>
            <w:noWrap w:val="0"/>
            <w:vAlign w:val="center"/>
          </w:tcPr>
          <w:p w14:paraId="342163E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扣分</w:t>
            </w:r>
          </w:p>
        </w:tc>
      </w:tr>
      <w:tr w14:paraId="0A4D4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restart"/>
            <w:noWrap w:val="0"/>
            <w:vAlign w:val="center"/>
          </w:tcPr>
          <w:p w14:paraId="3293C89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植物长势（15分）</w:t>
            </w:r>
          </w:p>
        </w:tc>
        <w:tc>
          <w:tcPr>
            <w:tcW w:w="7428" w:type="dxa"/>
            <w:noWrap w:val="0"/>
            <w:vAlign w:val="center"/>
          </w:tcPr>
          <w:p w14:paraId="60119B8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 乔木/大灌木/灌木球：树冠完整、长势良好、枝叶健壮、叶色浓绿；树干挺直无倾斜。单株叶片发黄/萎蔫≥5片，扣0.5分；整株长势差，扣1.5分；树木倾斜≥15°，扣2.5分。</w:t>
            </w:r>
          </w:p>
        </w:tc>
        <w:tc>
          <w:tcPr>
            <w:tcW w:w="540" w:type="dxa"/>
            <w:noWrap w:val="0"/>
            <w:vAlign w:val="center"/>
          </w:tcPr>
          <w:p w14:paraId="0BE61DF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65AB6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continue"/>
            <w:noWrap w:val="0"/>
            <w:vAlign w:val="center"/>
          </w:tcPr>
          <w:p w14:paraId="32C8D11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7428" w:type="dxa"/>
            <w:noWrap w:val="0"/>
            <w:vAlign w:val="center"/>
          </w:tcPr>
          <w:p w14:paraId="63080E0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2. 灌木/花卉：长势强、枝叶健壮、叶色鲜亮、植株丰满、大小均匀、疏密合理。单丛长势差，扣0.5分；整排参差不齐，扣1.5分；严重不符合，扣2.5分。</w:t>
            </w:r>
          </w:p>
        </w:tc>
        <w:tc>
          <w:tcPr>
            <w:tcW w:w="540" w:type="dxa"/>
            <w:noWrap w:val="0"/>
            <w:vAlign w:val="center"/>
          </w:tcPr>
          <w:p w14:paraId="035D8CB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4B790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continue"/>
            <w:noWrap w:val="0"/>
            <w:vAlign w:val="center"/>
          </w:tcPr>
          <w:p w14:paraId="653B53D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7428" w:type="dxa"/>
            <w:noWrap w:val="0"/>
            <w:vAlign w:val="center"/>
          </w:tcPr>
          <w:p w14:paraId="09D9CF9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3. 地被：生长良好、开花正常、覆盖率高、无裸土。单处枯黄≥0.5㎡，扣0.5分；观花地被不开花≥1㎡，扣1.5分；大面积枯死，扣2.5分。</w:t>
            </w:r>
          </w:p>
        </w:tc>
        <w:tc>
          <w:tcPr>
            <w:tcW w:w="540" w:type="dxa"/>
            <w:noWrap w:val="0"/>
            <w:vAlign w:val="center"/>
          </w:tcPr>
          <w:p w14:paraId="46576EA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02EDE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noWrap w:val="0"/>
            <w:vAlign w:val="center"/>
          </w:tcPr>
          <w:p w14:paraId="1714741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卫生保洁（5分）</w:t>
            </w:r>
          </w:p>
        </w:tc>
        <w:tc>
          <w:tcPr>
            <w:tcW w:w="7428" w:type="dxa"/>
            <w:noWrap w:val="0"/>
            <w:vAlign w:val="center"/>
          </w:tcPr>
          <w:p w14:paraId="76BA798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按二级养护标准保洁，巡回清理垃圾、残枝、石块；树池无垃圾、树干无张贴；设施干净；水体无漂浮物。每10㎡有垃圾1-3处，扣0.5-2分；每10㎡垃圾≥4处，扣2.5-5分。</w:t>
            </w:r>
          </w:p>
        </w:tc>
        <w:tc>
          <w:tcPr>
            <w:tcW w:w="540" w:type="dxa"/>
            <w:noWrap w:val="0"/>
            <w:vAlign w:val="center"/>
          </w:tcPr>
          <w:p w14:paraId="65B465D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A7C0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noWrap w:val="0"/>
            <w:vAlign w:val="center"/>
          </w:tcPr>
          <w:p w14:paraId="376FF0E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死株枯枝败叶清理（5分）</w:t>
            </w:r>
          </w:p>
        </w:tc>
        <w:tc>
          <w:tcPr>
            <w:tcW w:w="7428" w:type="dxa"/>
            <w:noWrap w:val="0"/>
            <w:vAlign w:val="center"/>
          </w:tcPr>
          <w:p w14:paraId="1CE7B85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常态化清理死树、枯枝、败叶，绿地无明显残留。单处残留枯枝≥3枝/死苗1株，扣0.5-2分；连片残留≥5㎡，扣2.5-5分。</w:t>
            </w:r>
          </w:p>
        </w:tc>
        <w:tc>
          <w:tcPr>
            <w:tcW w:w="540" w:type="dxa"/>
            <w:noWrap w:val="0"/>
            <w:vAlign w:val="center"/>
          </w:tcPr>
          <w:p w14:paraId="3F37D75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70D47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restart"/>
            <w:noWrap w:val="0"/>
            <w:vAlign w:val="center"/>
          </w:tcPr>
          <w:p w14:paraId="31FE924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整枝修剪（25分）</w:t>
            </w:r>
          </w:p>
        </w:tc>
        <w:tc>
          <w:tcPr>
            <w:tcW w:w="7428" w:type="dxa"/>
            <w:noWrap w:val="0"/>
            <w:vAlign w:val="center"/>
          </w:tcPr>
          <w:p w14:paraId="6F3890B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 乔木：按规范整形修剪、花芽分化前修剪、下缘线合规、及时剪除病弱枝、剪后即时清杂。未整形修剪，扣0.5分；未适时修剪，扣1.5分；严重不合格，扣2.5分。</w:t>
            </w:r>
          </w:p>
        </w:tc>
        <w:tc>
          <w:tcPr>
            <w:tcW w:w="540" w:type="dxa"/>
            <w:noWrap w:val="0"/>
            <w:vAlign w:val="center"/>
          </w:tcPr>
          <w:p w14:paraId="4C20C06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1F745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continue"/>
            <w:noWrap w:val="0"/>
            <w:vAlign w:val="center"/>
          </w:tcPr>
          <w:p w14:paraId="47A09BC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7428" w:type="dxa"/>
            <w:noWrap w:val="0"/>
            <w:vAlign w:val="center"/>
          </w:tcPr>
          <w:p w14:paraId="7632630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2. 灌木/花卉：常态修剪、不突击、剪后清杂、保花期、不剪花芽、绿篱线条流畅。未按要求修剪，扣0.5分；造型杂乱，扣1.5分；严重不合格，扣2.5分。</w:t>
            </w:r>
          </w:p>
        </w:tc>
        <w:tc>
          <w:tcPr>
            <w:tcW w:w="540" w:type="dxa"/>
            <w:noWrap w:val="0"/>
            <w:vAlign w:val="center"/>
          </w:tcPr>
          <w:p w14:paraId="5134D3C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DEE2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continue"/>
            <w:noWrap w:val="0"/>
            <w:vAlign w:val="center"/>
          </w:tcPr>
          <w:p w14:paraId="1352B0F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7428" w:type="dxa"/>
            <w:noWrap w:val="0"/>
            <w:vAlign w:val="center"/>
          </w:tcPr>
          <w:p w14:paraId="7DFF851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3. 草坪/地被：控高修剪、边缘整齐、常态管理、剪后清杂、花后及时整理。未修剪清理，扣0.5分；高度不一，扣1.5分；严重不合格，扣2.5分。</w:t>
            </w:r>
          </w:p>
        </w:tc>
        <w:tc>
          <w:tcPr>
            <w:tcW w:w="540" w:type="dxa"/>
            <w:noWrap w:val="0"/>
            <w:vAlign w:val="center"/>
          </w:tcPr>
          <w:p w14:paraId="38F6793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3A52D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restart"/>
            <w:noWrap w:val="0"/>
            <w:vAlign w:val="center"/>
          </w:tcPr>
          <w:p w14:paraId="0BB285E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松土除草（10分）</w:t>
            </w:r>
          </w:p>
        </w:tc>
        <w:tc>
          <w:tcPr>
            <w:tcW w:w="7428" w:type="dxa"/>
            <w:noWrap w:val="0"/>
            <w:vAlign w:val="center"/>
          </w:tcPr>
          <w:p w14:paraId="102FA50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 及时松土、土壤疏松；板结≥1㎡，扣0.5分；≥3㎡，扣2分。</w:t>
            </w:r>
          </w:p>
        </w:tc>
        <w:tc>
          <w:tcPr>
            <w:tcW w:w="540" w:type="dxa"/>
            <w:noWrap w:val="0"/>
            <w:vAlign w:val="center"/>
          </w:tcPr>
          <w:p w14:paraId="504A969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19BD5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continue"/>
            <w:noWrap w:val="0"/>
            <w:vAlign w:val="center"/>
          </w:tcPr>
          <w:p w14:paraId="5588C7D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7428" w:type="dxa"/>
            <w:noWrap w:val="0"/>
            <w:vAlign w:val="center"/>
          </w:tcPr>
          <w:p w14:paraId="27C2C5C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2. 乔灌木整穴、无杂草束缚；切边规范、分隔沟10cm。未整穴，扣0.5分；切边不规范，扣2分。</w:t>
            </w:r>
          </w:p>
        </w:tc>
        <w:tc>
          <w:tcPr>
            <w:tcW w:w="540" w:type="dxa"/>
            <w:noWrap w:val="0"/>
            <w:vAlign w:val="center"/>
          </w:tcPr>
          <w:p w14:paraId="0064DFF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B701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continue"/>
            <w:noWrap w:val="0"/>
            <w:vAlign w:val="center"/>
          </w:tcPr>
          <w:p w14:paraId="308DE02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7428" w:type="dxa"/>
            <w:noWrap w:val="0"/>
            <w:vAlign w:val="center"/>
          </w:tcPr>
          <w:p w14:paraId="0E5EA2D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3. 绿地无杂草。每㎡零星杂草≤3株，扣0.5-1分；每㎡杂草4-6株，扣1.5-2分；每㎡杂草≥7株，扣2.5-4分。</w:t>
            </w:r>
          </w:p>
        </w:tc>
        <w:tc>
          <w:tcPr>
            <w:tcW w:w="540" w:type="dxa"/>
            <w:noWrap w:val="0"/>
            <w:vAlign w:val="center"/>
          </w:tcPr>
          <w:p w14:paraId="013E619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62554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restart"/>
            <w:noWrap w:val="0"/>
            <w:vAlign w:val="center"/>
          </w:tcPr>
          <w:p w14:paraId="378C8A2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病虫害防治（10分）</w:t>
            </w:r>
          </w:p>
        </w:tc>
        <w:tc>
          <w:tcPr>
            <w:tcW w:w="7428" w:type="dxa"/>
            <w:noWrap w:val="0"/>
            <w:vAlign w:val="center"/>
          </w:tcPr>
          <w:p w14:paraId="077C5A9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 防控及时、无明显病虫危害。单株轻微虫害，扣0.5-1分；单株明显病虫，扣1.5-2分；成片受害≥5㎡，扣2.5-4分。</w:t>
            </w:r>
          </w:p>
        </w:tc>
        <w:tc>
          <w:tcPr>
            <w:tcW w:w="540" w:type="dxa"/>
            <w:noWrap w:val="0"/>
            <w:vAlign w:val="center"/>
          </w:tcPr>
          <w:p w14:paraId="1120992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4B385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continue"/>
            <w:noWrap w:val="0"/>
            <w:vAlign w:val="center"/>
          </w:tcPr>
          <w:p w14:paraId="0B8B26C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7428" w:type="dxa"/>
            <w:noWrap w:val="0"/>
            <w:vAlign w:val="center"/>
          </w:tcPr>
          <w:p w14:paraId="0684DF8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2. 用药规范、配比正确、无药害。药效差加重危害，扣1分；用药不当致落叶/死亡，扣0.5-1分。</w:t>
            </w:r>
          </w:p>
        </w:tc>
        <w:tc>
          <w:tcPr>
            <w:tcW w:w="540" w:type="dxa"/>
            <w:noWrap w:val="0"/>
            <w:vAlign w:val="center"/>
          </w:tcPr>
          <w:p w14:paraId="2E99943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52612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continue"/>
            <w:noWrap w:val="0"/>
            <w:vAlign w:val="center"/>
          </w:tcPr>
          <w:p w14:paraId="05EF3A7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7428" w:type="dxa"/>
            <w:noWrap w:val="0"/>
            <w:vAlign w:val="center"/>
          </w:tcPr>
          <w:p w14:paraId="4A265E3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3. 冬季涂白、修剪清病虫枝/虫茧。未清理，扣0.5-1分。</w:t>
            </w:r>
          </w:p>
        </w:tc>
        <w:tc>
          <w:tcPr>
            <w:tcW w:w="540" w:type="dxa"/>
            <w:noWrap w:val="0"/>
            <w:vAlign w:val="center"/>
          </w:tcPr>
          <w:p w14:paraId="6FD46E8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69D0A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restart"/>
            <w:noWrap w:val="0"/>
            <w:vAlign w:val="center"/>
          </w:tcPr>
          <w:p w14:paraId="11E50FD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浇灌排水+绿化维护（15分）</w:t>
            </w:r>
          </w:p>
        </w:tc>
        <w:tc>
          <w:tcPr>
            <w:tcW w:w="7428" w:type="dxa"/>
            <w:noWrap w:val="0"/>
            <w:vAlign w:val="center"/>
          </w:tcPr>
          <w:p w14:paraId="71B95BE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 适时浇透、无浪费；及时排积水、填平坑洼。轻微缺水，扣0.5-2.2分；明显萎蔫，扣2.5-4分；整株成片死亡，扣4.5-8分；积水/坑洼≥1㎡，扣0.5-2分。</w:t>
            </w:r>
          </w:p>
        </w:tc>
        <w:tc>
          <w:tcPr>
            <w:tcW w:w="540" w:type="dxa"/>
            <w:noWrap w:val="0"/>
            <w:vAlign w:val="center"/>
          </w:tcPr>
          <w:p w14:paraId="2E4B64C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50E54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vMerge w:val="continue"/>
            <w:noWrap w:val="0"/>
            <w:vAlign w:val="center"/>
          </w:tcPr>
          <w:p w14:paraId="067DE64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7428" w:type="dxa"/>
            <w:noWrap w:val="0"/>
            <w:vAlign w:val="center"/>
          </w:tcPr>
          <w:p w14:paraId="242EBF3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2. 暴风雨/台风后及时清倒树、扶苗、修复；设施完好、喷灌正常、支撑规范。清理/修复不及时，扣0.5-1分；设施破损未修，扣0.5-1分；支撑不规范，扣0.5-1分。</w:t>
            </w:r>
          </w:p>
        </w:tc>
        <w:tc>
          <w:tcPr>
            <w:tcW w:w="540" w:type="dxa"/>
            <w:noWrap w:val="0"/>
            <w:vAlign w:val="center"/>
          </w:tcPr>
          <w:p w14:paraId="6B86190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2ACB8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noWrap w:val="0"/>
            <w:vAlign w:val="center"/>
          </w:tcPr>
          <w:p w14:paraId="38DBB73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整改执行（5分）</w:t>
            </w:r>
          </w:p>
        </w:tc>
        <w:tc>
          <w:tcPr>
            <w:tcW w:w="7428" w:type="dxa"/>
            <w:noWrap w:val="0"/>
            <w:vAlign w:val="center"/>
          </w:tcPr>
          <w:p w14:paraId="7310FE3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1. 未按时完成但效果好，扣1分；2. 二次整改仍不达标，扣1.5分；3. 拒不执行，扣2.5分。</w:t>
            </w:r>
          </w:p>
        </w:tc>
        <w:tc>
          <w:tcPr>
            <w:tcW w:w="540" w:type="dxa"/>
            <w:noWrap w:val="0"/>
            <w:vAlign w:val="center"/>
          </w:tcPr>
          <w:p w14:paraId="451CA2D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7C341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noWrap w:val="0"/>
            <w:vAlign w:val="center"/>
          </w:tcPr>
          <w:p w14:paraId="376181A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其他事项（10分）</w:t>
            </w:r>
          </w:p>
        </w:tc>
        <w:tc>
          <w:tcPr>
            <w:tcW w:w="7428" w:type="dxa"/>
            <w:noWrap w:val="0"/>
            <w:vAlign w:val="center"/>
          </w:tcPr>
          <w:p w14:paraId="409F73E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迎检、庆典被通报/曝光：市级通报扣5分；省级及以上扣10分。</w:t>
            </w:r>
          </w:p>
        </w:tc>
        <w:tc>
          <w:tcPr>
            <w:tcW w:w="540" w:type="dxa"/>
            <w:noWrap w:val="0"/>
            <w:vAlign w:val="center"/>
          </w:tcPr>
          <w:p w14:paraId="3587354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16103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1034" w:type="dxa"/>
            <w:noWrap w:val="0"/>
            <w:vAlign w:val="center"/>
          </w:tcPr>
          <w:p w14:paraId="4C0D727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人员考核</w:t>
            </w:r>
          </w:p>
        </w:tc>
        <w:tc>
          <w:tcPr>
            <w:tcW w:w="7428" w:type="dxa"/>
            <w:noWrap w:val="0"/>
            <w:vAlign w:val="center"/>
          </w:tcPr>
          <w:p w14:paraId="027B062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管理人员/养护人员每月少1人，扣10分。</w:t>
            </w:r>
          </w:p>
        </w:tc>
        <w:tc>
          <w:tcPr>
            <w:tcW w:w="540" w:type="dxa"/>
            <w:noWrap w:val="0"/>
            <w:vAlign w:val="center"/>
          </w:tcPr>
          <w:p w14:paraId="67D1F01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r w14:paraId="5BBB2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97" w:hRule="atLeast"/>
          <w:jc w:val="center"/>
        </w:trPr>
        <w:tc>
          <w:tcPr>
            <w:tcW w:w="1034" w:type="dxa"/>
            <w:noWrap w:val="0"/>
            <w:vAlign w:val="center"/>
          </w:tcPr>
          <w:p w14:paraId="710E85C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r>
              <w:rPr>
                <w:rFonts w:hint="eastAsia" w:ascii="宋体" w:hAnsi="宋体" w:eastAsia="宋体" w:cs="宋体"/>
                <w:b/>
                <w:sz w:val="24"/>
                <w:szCs w:val="24"/>
              </w:rPr>
              <w:t>月总扣分</w:t>
            </w:r>
          </w:p>
        </w:tc>
        <w:tc>
          <w:tcPr>
            <w:tcW w:w="7428" w:type="dxa"/>
            <w:noWrap w:val="0"/>
            <w:vAlign w:val="center"/>
          </w:tcPr>
          <w:p w14:paraId="6F8FC22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c>
          <w:tcPr>
            <w:tcW w:w="540" w:type="dxa"/>
            <w:noWrap w:val="0"/>
            <w:vAlign w:val="center"/>
          </w:tcPr>
          <w:p w14:paraId="6381DC8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sz w:val="24"/>
                <w:szCs w:val="24"/>
              </w:rPr>
            </w:pPr>
          </w:p>
        </w:tc>
      </w:tr>
    </w:tbl>
    <w:p w14:paraId="50419F9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eastAsia" w:ascii="宋体" w:hAnsi="宋体" w:eastAsia="宋体" w:cs="宋体"/>
          <w:b w:val="0"/>
          <w:bCs w:val="0"/>
          <w:sz w:val="24"/>
          <w:szCs w:val="24"/>
          <w:lang w:val="en-US" w:eastAsia="zh-CN"/>
        </w:rPr>
      </w:pPr>
      <w:r>
        <w:rPr>
          <w:rFonts w:hint="eastAsia" w:ascii="宋体" w:hAnsi="宋体" w:eastAsia="宋体" w:cs="宋体"/>
          <w:sz w:val="24"/>
          <w:szCs w:val="24"/>
        </w:rPr>
        <w:t>甲方经办人签字：</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乙方项目经理签字：</w:t>
      </w:r>
    </w:p>
    <w:p w14:paraId="4A2101B4">
      <w:pPr>
        <w:rPr>
          <w:rFonts w:hint="eastAsia" w:ascii="宋体" w:hAnsi="宋体" w:eastAsia="宋体" w:cs="宋体"/>
          <w:sz w:val="24"/>
          <w:szCs w:val="24"/>
        </w:rPr>
      </w:pPr>
    </w:p>
    <w:p w14:paraId="34BFE84B">
      <w:pPr>
        <w:pageBreakBefore w:val="0"/>
        <w:widowControl w:val="0"/>
        <w:wordWrap/>
        <w:overflowPunct/>
        <w:topLinePunct w:val="0"/>
        <w:bidi w:val="0"/>
        <w:spacing w:line="249" w:lineRule="auto"/>
        <w:rPr>
          <w:color w:val="auto"/>
          <w:highlight w:val="none"/>
          <w:lang w:eastAsia="zh-CN"/>
        </w:rPr>
      </w:pPr>
    </w:p>
    <w:p w14:paraId="37B28D75">
      <w:pPr>
        <w:pageBreakBefore w:val="0"/>
        <w:widowControl w:val="0"/>
        <w:wordWrap/>
        <w:overflowPunct/>
        <w:topLinePunct w:val="0"/>
        <w:bidi w:val="0"/>
        <w:spacing w:line="249" w:lineRule="auto"/>
        <w:rPr>
          <w:color w:val="auto"/>
          <w:highlight w:val="none"/>
          <w:lang w:eastAsia="zh-CN"/>
        </w:rPr>
      </w:pPr>
    </w:p>
    <w:p w14:paraId="76FBD907">
      <w:pPr>
        <w:pageBreakBefore w:val="0"/>
        <w:widowControl w:val="0"/>
        <w:wordWrap/>
        <w:overflowPunct/>
        <w:topLinePunct w:val="0"/>
        <w:bidi w:val="0"/>
        <w:spacing w:line="249" w:lineRule="auto"/>
        <w:rPr>
          <w:color w:val="auto"/>
          <w:highlight w:val="none"/>
          <w:lang w:eastAsia="zh-CN"/>
        </w:rPr>
      </w:pPr>
    </w:p>
    <w:p w14:paraId="267C1293">
      <w:pPr>
        <w:spacing w:line="600" w:lineRule="exact"/>
        <w:ind w:firstLine="472" w:firstLineChars="200"/>
        <w:jc w:val="both"/>
        <w:rPr>
          <w:rFonts w:hint="eastAsia"/>
          <w:color w:val="auto"/>
          <w:sz w:val="24"/>
          <w:szCs w:val="24"/>
          <w:highlight w:val="none"/>
          <w:lang w:val="en-US" w:eastAsia="zh-CN"/>
        </w:rPr>
      </w:pPr>
      <w:r>
        <w:rPr>
          <w:rFonts w:hint="eastAsia" w:ascii="宋体" w:hAnsi="宋体" w:eastAsia="宋体" w:cs="宋体"/>
          <w:color w:val="auto"/>
          <w:spacing w:val="-2"/>
          <w:sz w:val="24"/>
          <w:szCs w:val="24"/>
          <w:highlight w:val="none"/>
          <w:lang w:val="en-US" w:eastAsia="zh-CN"/>
        </w:rPr>
        <w:t>注：供应商</w:t>
      </w:r>
      <w:r>
        <w:rPr>
          <w:rFonts w:hint="eastAsia"/>
          <w:color w:val="auto"/>
          <w:sz w:val="24"/>
          <w:szCs w:val="24"/>
          <w:highlight w:val="none"/>
          <w:lang w:val="en-US" w:eastAsia="zh-CN"/>
        </w:rPr>
        <w:t>必须全部满足磋商文件“第五章　采购需求表及采购要求”中“二、采购要求”内“商务条件”全部要求，</w:t>
      </w:r>
      <w:r>
        <w:rPr>
          <w:rFonts w:hint="eastAsia"/>
          <w:b/>
          <w:bCs/>
          <w:color w:val="auto"/>
          <w:sz w:val="24"/>
          <w:szCs w:val="24"/>
          <w:highlight w:val="none"/>
          <w:lang w:val="en-US" w:eastAsia="zh-CN"/>
        </w:rPr>
        <w:t>任意一条不满足作无效响应处理。</w:t>
      </w:r>
    </w:p>
    <w:p w14:paraId="1ED61010">
      <w:pPr>
        <w:rPr>
          <w:rFonts w:ascii="宋体" w:hAnsi="宋体" w:eastAsia="宋体" w:cs="宋体"/>
          <w:color w:val="auto"/>
          <w:spacing w:val="-2"/>
          <w:sz w:val="24"/>
          <w:szCs w:val="24"/>
          <w:highlight w:val="none"/>
          <w:lang w:eastAsia="zh-CN"/>
        </w:rPr>
      </w:pPr>
      <w:r>
        <w:rPr>
          <w:rFonts w:ascii="宋体" w:hAnsi="宋体" w:eastAsia="宋体" w:cs="宋体"/>
          <w:color w:val="auto"/>
          <w:spacing w:val="-2"/>
          <w:sz w:val="24"/>
          <w:szCs w:val="24"/>
          <w:highlight w:val="none"/>
          <w:lang w:eastAsia="zh-CN"/>
        </w:rPr>
        <w:br w:type="page"/>
      </w:r>
    </w:p>
    <w:p w14:paraId="27C62BD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422" w:firstLineChars="200"/>
        <w:jc w:val="left"/>
        <w:textAlignment w:val="auto"/>
        <w:rPr>
          <w:rFonts w:hint="default" w:ascii="仿宋" w:hAnsi="仿宋" w:eastAsia="仿宋" w:cs="仿宋"/>
          <w:b/>
          <w:bCs/>
          <w:sz w:val="21"/>
          <w:szCs w:val="21"/>
          <w:lang w:val="en-US" w:eastAsia="zh-CN"/>
        </w:rPr>
      </w:pPr>
      <w:bookmarkStart w:id="42" w:name="_GoBack"/>
      <w:bookmarkEnd w:id="42"/>
    </w:p>
    <w:sectPr>
      <w:footerReference r:id="rId21" w:type="default"/>
      <w:pgSz w:w="11906" w:h="16839"/>
      <w:pgMar w:top="1066" w:right="1304" w:bottom="986" w:left="1307"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6A53CF9-1DF1-4987-BA06-90C4A0424499}"/>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2" w:fontKey="{A8675D54-DB31-4FB0-A2E8-34F6269CB690}"/>
  </w:font>
  <w:font w:name="微软雅黑">
    <w:panose1 w:val="020B0503020204020204"/>
    <w:charset w:val="86"/>
    <w:family w:val="swiss"/>
    <w:pitch w:val="default"/>
    <w:sig w:usb0="80000287" w:usb1="2ACF3C50" w:usb2="00000016" w:usb3="00000000" w:csb0="0004001F" w:csb1="00000000"/>
    <w:embedRegular r:id="rId3" w:fontKey="{8C0363A7-2992-4C1B-9C70-1280CC526D55}"/>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方正小标宋简体">
    <w:altName w:val="Arial Unicode MS"/>
    <w:panose1 w:val="02010601030101010101"/>
    <w:charset w:val="86"/>
    <w:family w:val="auto"/>
    <w:pitch w:val="default"/>
    <w:sig w:usb0="00000000" w:usb1="00000000" w:usb2="00000000" w:usb3="00000000" w:csb0="00040000" w:csb1="00000000"/>
    <w:embedRegular r:id="rId4" w:fontKey="{5FA4D247-4F2A-45A8-901F-B0D74140860F}"/>
  </w:font>
  <w:font w:name="Arial Unicode MS">
    <w:panose1 w:val="020B0604020202020204"/>
    <w:charset w:val="86"/>
    <w:family w:val="auto"/>
    <w:pitch w:val="default"/>
    <w:sig w:usb0="FFFFFFFF" w:usb1="E9FFFFFF" w:usb2="0000003F" w:usb3="00000000" w:csb0="603F01FF" w:csb1="FFFF0000"/>
  </w:font>
  <w:font w:name="Cambria Math">
    <w:panose1 w:val="02040503050406030204"/>
    <w:charset w:val="00"/>
    <w:family w:val="auto"/>
    <w:pitch w:val="default"/>
    <w:sig w:usb0="E00006FF" w:usb1="420024FF" w:usb2="02000000" w:usb3="00000000" w:csb0="2000019F" w:csb1="00000000"/>
    <w:embedRegular r:id="rId5" w:fontKey="{25D6493D-B300-4564-A02F-980A7595A336}"/>
  </w:font>
  <w:font w:name="楷体_GB2312">
    <w:panose1 w:val="02010609030101010101"/>
    <w:charset w:val="86"/>
    <w:family w:val="auto"/>
    <w:pitch w:val="default"/>
    <w:sig w:usb0="00000001" w:usb1="080E0000" w:usb2="00000000" w:usb3="00000000" w:csb0="00040000" w:csb1="00000000"/>
  </w:font>
  <w:font w:name="WPSEMBED1">
    <w:panose1 w:val="02010609030101010101"/>
    <w:charset w:val="86"/>
    <w:family w:val="auto"/>
    <w:pitch w:val="default"/>
    <w:sig w:usb0="00000001" w:usb1="080E0000" w:usb2="00000000" w:usb3="00000000" w:csb0="00040000"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C34C20">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78D06D">
                          <w:pPr>
                            <w:pStyle w:val="11"/>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1778D06D">
                    <w:pPr>
                      <w:pStyle w:val="11"/>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8044FD">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FE6CC5">
                          <w:pPr>
                            <w:pStyle w:val="11"/>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55FE6CC5">
                    <w:pPr>
                      <w:pStyle w:val="11"/>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917B3">
    <w:pPr>
      <w:pStyle w:val="11"/>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5FE501">
                          <w:pPr>
                            <w:pStyle w:val="11"/>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335FE501">
                    <w:pPr>
                      <w:pStyle w:val="11"/>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7A396">
    <w:pPr>
      <w:pStyle w:val="11"/>
      <w:rPr>
        <w:lang w:eastAsia="zh-CN"/>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56739B">
                          <w:pPr>
                            <w:pStyle w:val="11"/>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7056739B">
                    <w:pPr>
                      <w:pStyle w:val="11"/>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F58286">
    <w:pPr>
      <w:pStyle w:val="11"/>
      <w:rPr>
        <w:lang w:eastAsia="zh-CN"/>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6CE047">
                          <w:pPr>
                            <w:pStyle w:val="11"/>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2B6CE047">
                    <w:pPr>
                      <w:pStyle w:val="11"/>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562DB">
    <w:pPr>
      <w:pStyle w:val="11"/>
      <w:rPr>
        <w:lang w:eastAsia="zh-CN"/>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557207">
                          <w:pPr>
                            <w:pStyle w:val="11"/>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7A557207">
                    <w:pPr>
                      <w:pStyle w:val="11"/>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014C2">
    <w:pPr>
      <w:pStyle w:val="11"/>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9D3FA9">
                          <w:pPr>
                            <w:pStyle w:val="11"/>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579D3FA9">
                    <w:pPr>
                      <w:pStyle w:val="11"/>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985C9">
    <w:pPr>
      <w:pStyle w:val="11"/>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BD3EA6">
                          <w:pPr>
                            <w:pStyle w:val="11"/>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6CBD3EA6">
                    <w:pPr>
                      <w:pStyle w:val="11"/>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336A3">
    <w:pPr>
      <w:pStyle w:val="11"/>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02F48E">
                          <w:pPr>
                            <w:pStyle w:val="11"/>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1D02F48E">
                    <w:pPr>
                      <w:pStyle w:val="11"/>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11"/>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11"/>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11"/>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C17A4">
    <w:pPr>
      <w:pStyle w:val="11"/>
      <w:rPr>
        <w:lang w:eastAsia="zh-CN"/>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F15292">
                          <w:pPr>
                            <w:pStyle w:val="11"/>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0F15292">
                    <w:pPr>
                      <w:pStyle w:val="11"/>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2A8815">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0FD07E">
                          <w:pPr>
                            <w:pStyle w:val="11"/>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260FD07E">
                    <w:pPr>
                      <w:pStyle w:val="11"/>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B0DA4">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ACAC41">
                          <w:pPr>
                            <w:pStyle w:val="11"/>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21ACAC41">
                    <w:pPr>
                      <w:pStyle w:val="11"/>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0E889">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E22D0B">
                          <w:pPr>
                            <w:pStyle w:val="11"/>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6FE22D0B">
                    <w:pPr>
                      <w:pStyle w:val="11"/>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F8353">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CCA981">
                          <w:pPr>
                            <w:pStyle w:val="11"/>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7ECCA981">
                    <w:pPr>
                      <w:pStyle w:val="11"/>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74F6B0">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FDDCB5">
                          <w:pPr>
                            <w:pStyle w:val="11"/>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2EFDDCB5">
                    <w:pPr>
                      <w:pStyle w:val="11"/>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9051B">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7802A0">
                          <w:pPr>
                            <w:pStyle w:val="11"/>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4D7802A0">
                    <w:pPr>
                      <w:pStyle w:val="11"/>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128AF">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5E8E03">
                          <w:pPr>
                            <w:pStyle w:val="11"/>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k3Pus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k3PuszAgAAYwQAAA4AAAAAAAAAAQAgAAAAHwEAAGRycy9lMm9Eb2MueG1sUEsF&#10;BgAAAAAGAAYAWQEAAMQFAAAAAA==&#10;">
              <v:fill on="f" focussize="0,0"/>
              <v:stroke on="f" weight="0.5pt"/>
              <v:imagedata o:title=""/>
              <o:lock v:ext="edit" aspectratio="f"/>
              <v:textbox inset="0mm,0mm,0mm,0mm" style="mso-fit-shape-to-text:t;">
                <w:txbxContent>
                  <w:p w14:paraId="685E8E03">
                    <w:pPr>
                      <w:pStyle w:val="11"/>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F93460">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4C22FB">
                          <w:pPr>
                            <w:pStyle w:val="11"/>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6E4C22FB">
                    <w:pPr>
                      <w:pStyle w:val="11"/>
                    </w:pPr>
                    <w:r>
                      <w:fldChar w:fldCharType="begin"/>
                    </w:r>
                    <w:r>
                      <w:instrText xml:space="preserve"> PAGE  \* MERGEFORMAT </w:instrText>
                    </w:r>
                    <w:r>
                      <w:fldChar w:fldCharType="separate"/>
                    </w:r>
                    <w:r>
                      <w:t>43</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36093F"/>
    <w:multiLevelType w:val="singleLevel"/>
    <w:tmpl w:val="EA36093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4E6C2D"/>
    <w:rsid w:val="005D75BC"/>
    <w:rsid w:val="006308AB"/>
    <w:rsid w:val="007E7821"/>
    <w:rsid w:val="00847DE1"/>
    <w:rsid w:val="00A95A9A"/>
    <w:rsid w:val="00CD47AB"/>
    <w:rsid w:val="00D6521D"/>
    <w:rsid w:val="00F72BE7"/>
    <w:rsid w:val="013D404E"/>
    <w:rsid w:val="014707D5"/>
    <w:rsid w:val="0183453D"/>
    <w:rsid w:val="01A40EC2"/>
    <w:rsid w:val="01C0501B"/>
    <w:rsid w:val="01D856D2"/>
    <w:rsid w:val="01E178D6"/>
    <w:rsid w:val="01F176F8"/>
    <w:rsid w:val="023D46EC"/>
    <w:rsid w:val="02F62DEB"/>
    <w:rsid w:val="03196F07"/>
    <w:rsid w:val="03A14F29"/>
    <w:rsid w:val="040E7C94"/>
    <w:rsid w:val="044D1E30"/>
    <w:rsid w:val="047C47B6"/>
    <w:rsid w:val="04F64D19"/>
    <w:rsid w:val="04FA27AC"/>
    <w:rsid w:val="052B325D"/>
    <w:rsid w:val="055600A9"/>
    <w:rsid w:val="05F07017"/>
    <w:rsid w:val="062D088E"/>
    <w:rsid w:val="06EC1EAE"/>
    <w:rsid w:val="06F25881"/>
    <w:rsid w:val="072D3F58"/>
    <w:rsid w:val="076566A7"/>
    <w:rsid w:val="079A2F4B"/>
    <w:rsid w:val="07B64740"/>
    <w:rsid w:val="081F5E69"/>
    <w:rsid w:val="0893590C"/>
    <w:rsid w:val="08D800EA"/>
    <w:rsid w:val="08D86F1C"/>
    <w:rsid w:val="098C4275"/>
    <w:rsid w:val="099C2AD0"/>
    <w:rsid w:val="09E36E7B"/>
    <w:rsid w:val="0A5474C3"/>
    <w:rsid w:val="0A5F7AD5"/>
    <w:rsid w:val="0A630BD7"/>
    <w:rsid w:val="0AAA50E9"/>
    <w:rsid w:val="0ABB6AF5"/>
    <w:rsid w:val="0B212C64"/>
    <w:rsid w:val="0B3C7C36"/>
    <w:rsid w:val="0B614FF2"/>
    <w:rsid w:val="0B8D0492"/>
    <w:rsid w:val="0BCE5A19"/>
    <w:rsid w:val="0BD25EA5"/>
    <w:rsid w:val="0C027923"/>
    <w:rsid w:val="0C1E16F8"/>
    <w:rsid w:val="0C3B4061"/>
    <w:rsid w:val="0C4F6BDA"/>
    <w:rsid w:val="0DB63714"/>
    <w:rsid w:val="0DBF7C0D"/>
    <w:rsid w:val="0DD264ED"/>
    <w:rsid w:val="0DD809E2"/>
    <w:rsid w:val="0DE84CCE"/>
    <w:rsid w:val="0E045967"/>
    <w:rsid w:val="0E306947"/>
    <w:rsid w:val="0E7A2A88"/>
    <w:rsid w:val="0EAA115A"/>
    <w:rsid w:val="0F8346BB"/>
    <w:rsid w:val="0FA80009"/>
    <w:rsid w:val="0FAD17DF"/>
    <w:rsid w:val="0FAE3E39"/>
    <w:rsid w:val="0FAE5D7D"/>
    <w:rsid w:val="107F306E"/>
    <w:rsid w:val="10D80401"/>
    <w:rsid w:val="114948FA"/>
    <w:rsid w:val="119D0D43"/>
    <w:rsid w:val="11CB5781"/>
    <w:rsid w:val="11D837A4"/>
    <w:rsid w:val="121E36B7"/>
    <w:rsid w:val="123041AB"/>
    <w:rsid w:val="126757A9"/>
    <w:rsid w:val="128B5679"/>
    <w:rsid w:val="1292624E"/>
    <w:rsid w:val="12955EB0"/>
    <w:rsid w:val="129C0FBA"/>
    <w:rsid w:val="129D2A07"/>
    <w:rsid w:val="12AE5D30"/>
    <w:rsid w:val="139F6FB4"/>
    <w:rsid w:val="143E0B0F"/>
    <w:rsid w:val="14B561ED"/>
    <w:rsid w:val="14F13A81"/>
    <w:rsid w:val="1538599A"/>
    <w:rsid w:val="155802A4"/>
    <w:rsid w:val="158B0678"/>
    <w:rsid w:val="15A703A2"/>
    <w:rsid w:val="161666B0"/>
    <w:rsid w:val="16A356CC"/>
    <w:rsid w:val="173418E5"/>
    <w:rsid w:val="17342109"/>
    <w:rsid w:val="178E538D"/>
    <w:rsid w:val="17D60801"/>
    <w:rsid w:val="182E6B2B"/>
    <w:rsid w:val="18363C5F"/>
    <w:rsid w:val="186009B5"/>
    <w:rsid w:val="18846779"/>
    <w:rsid w:val="18C97898"/>
    <w:rsid w:val="18E4551E"/>
    <w:rsid w:val="18E84F59"/>
    <w:rsid w:val="18F643B3"/>
    <w:rsid w:val="19241D0A"/>
    <w:rsid w:val="193E2DCB"/>
    <w:rsid w:val="196206F1"/>
    <w:rsid w:val="198158BA"/>
    <w:rsid w:val="19DB5E7F"/>
    <w:rsid w:val="19F33BB6"/>
    <w:rsid w:val="1A551963"/>
    <w:rsid w:val="1AAF3BB2"/>
    <w:rsid w:val="1AD0292A"/>
    <w:rsid w:val="1AF44F33"/>
    <w:rsid w:val="1B1E113A"/>
    <w:rsid w:val="1B4548E5"/>
    <w:rsid w:val="1B702014"/>
    <w:rsid w:val="1B8F6D81"/>
    <w:rsid w:val="1BD32665"/>
    <w:rsid w:val="1BD47A17"/>
    <w:rsid w:val="1D085BCA"/>
    <w:rsid w:val="1D74500E"/>
    <w:rsid w:val="1DD800C0"/>
    <w:rsid w:val="1E43791C"/>
    <w:rsid w:val="1EB678A8"/>
    <w:rsid w:val="1F274302"/>
    <w:rsid w:val="1F2952CA"/>
    <w:rsid w:val="1FAB6CE1"/>
    <w:rsid w:val="20026D16"/>
    <w:rsid w:val="206155F1"/>
    <w:rsid w:val="207F650F"/>
    <w:rsid w:val="20B54DB2"/>
    <w:rsid w:val="21042B4C"/>
    <w:rsid w:val="210A6AC5"/>
    <w:rsid w:val="213A566A"/>
    <w:rsid w:val="21444A90"/>
    <w:rsid w:val="2195298B"/>
    <w:rsid w:val="21CE72BA"/>
    <w:rsid w:val="22072FB3"/>
    <w:rsid w:val="22112B50"/>
    <w:rsid w:val="224433AA"/>
    <w:rsid w:val="22791318"/>
    <w:rsid w:val="22A85555"/>
    <w:rsid w:val="22FD3CF7"/>
    <w:rsid w:val="23056708"/>
    <w:rsid w:val="234D0A23"/>
    <w:rsid w:val="23746473"/>
    <w:rsid w:val="23B5012E"/>
    <w:rsid w:val="23C04A55"/>
    <w:rsid w:val="248E1514"/>
    <w:rsid w:val="25076D21"/>
    <w:rsid w:val="25533D7B"/>
    <w:rsid w:val="25823163"/>
    <w:rsid w:val="25B039EF"/>
    <w:rsid w:val="25E2090D"/>
    <w:rsid w:val="25F37706"/>
    <w:rsid w:val="26BE3321"/>
    <w:rsid w:val="2722776F"/>
    <w:rsid w:val="27457A1B"/>
    <w:rsid w:val="274B704D"/>
    <w:rsid w:val="279C2686"/>
    <w:rsid w:val="27EF1D1C"/>
    <w:rsid w:val="28042C4F"/>
    <w:rsid w:val="280660E7"/>
    <w:rsid w:val="28706D19"/>
    <w:rsid w:val="28CF7D70"/>
    <w:rsid w:val="291F3D28"/>
    <w:rsid w:val="29DA5D7B"/>
    <w:rsid w:val="29F02881"/>
    <w:rsid w:val="2A071140"/>
    <w:rsid w:val="2AB2711F"/>
    <w:rsid w:val="2AC967C3"/>
    <w:rsid w:val="2B020E86"/>
    <w:rsid w:val="2B0F5B99"/>
    <w:rsid w:val="2B5C1158"/>
    <w:rsid w:val="2B6C5691"/>
    <w:rsid w:val="2B797C93"/>
    <w:rsid w:val="2BDA2720"/>
    <w:rsid w:val="2BE93C1A"/>
    <w:rsid w:val="2BED313B"/>
    <w:rsid w:val="2C695F59"/>
    <w:rsid w:val="2CA90A4C"/>
    <w:rsid w:val="2CCD27E9"/>
    <w:rsid w:val="2CE90E48"/>
    <w:rsid w:val="2CF55C1F"/>
    <w:rsid w:val="2D5B1D46"/>
    <w:rsid w:val="2D665E74"/>
    <w:rsid w:val="2D7133A2"/>
    <w:rsid w:val="2D99286E"/>
    <w:rsid w:val="2DA9678E"/>
    <w:rsid w:val="2DF41412"/>
    <w:rsid w:val="2DF84522"/>
    <w:rsid w:val="2E234DC0"/>
    <w:rsid w:val="2E2B0E5E"/>
    <w:rsid w:val="2E575FCC"/>
    <w:rsid w:val="2E693B84"/>
    <w:rsid w:val="2E8645F4"/>
    <w:rsid w:val="2EB108A7"/>
    <w:rsid w:val="2ED9380E"/>
    <w:rsid w:val="2F3C1896"/>
    <w:rsid w:val="2F5F3B7C"/>
    <w:rsid w:val="2FAD15F5"/>
    <w:rsid w:val="2FB63E0A"/>
    <w:rsid w:val="2FC17E5A"/>
    <w:rsid w:val="30136908"/>
    <w:rsid w:val="302A2D00"/>
    <w:rsid w:val="305E1890"/>
    <w:rsid w:val="30677FAE"/>
    <w:rsid w:val="30FF6F51"/>
    <w:rsid w:val="31104BF6"/>
    <w:rsid w:val="31353885"/>
    <w:rsid w:val="314D409C"/>
    <w:rsid w:val="31526CE7"/>
    <w:rsid w:val="316B62D0"/>
    <w:rsid w:val="318178A1"/>
    <w:rsid w:val="31AC0DC2"/>
    <w:rsid w:val="31C55E0D"/>
    <w:rsid w:val="31E76326"/>
    <w:rsid w:val="31FE5396"/>
    <w:rsid w:val="321C6AB4"/>
    <w:rsid w:val="3233535A"/>
    <w:rsid w:val="323572F6"/>
    <w:rsid w:val="3292724F"/>
    <w:rsid w:val="329A3D4F"/>
    <w:rsid w:val="32BE2A91"/>
    <w:rsid w:val="33074498"/>
    <w:rsid w:val="330D4250"/>
    <w:rsid w:val="33525E3B"/>
    <w:rsid w:val="33AE791F"/>
    <w:rsid w:val="33F26834"/>
    <w:rsid w:val="3408478C"/>
    <w:rsid w:val="34325184"/>
    <w:rsid w:val="346E1C27"/>
    <w:rsid w:val="34DF14AF"/>
    <w:rsid w:val="34F27B67"/>
    <w:rsid w:val="3522571C"/>
    <w:rsid w:val="35591BE5"/>
    <w:rsid w:val="35FE0154"/>
    <w:rsid w:val="36064E50"/>
    <w:rsid w:val="362863AF"/>
    <w:rsid w:val="36597105"/>
    <w:rsid w:val="36844F22"/>
    <w:rsid w:val="36D178DD"/>
    <w:rsid w:val="37AF0454"/>
    <w:rsid w:val="37D05C01"/>
    <w:rsid w:val="384E10B3"/>
    <w:rsid w:val="38590496"/>
    <w:rsid w:val="38613F89"/>
    <w:rsid w:val="3899102A"/>
    <w:rsid w:val="38B12F90"/>
    <w:rsid w:val="38B62F41"/>
    <w:rsid w:val="38E34C6A"/>
    <w:rsid w:val="38E45FE2"/>
    <w:rsid w:val="39012FAB"/>
    <w:rsid w:val="39225E0E"/>
    <w:rsid w:val="398A76FF"/>
    <w:rsid w:val="39A352DB"/>
    <w:rsid w:val="39D440DC"/>
    <w:rsid w:val="39D96E5F"/>
    <w:rsid w:val="39F54E7D"/>
    <w:rsid w:val="3A1B5E20"/>
    <w:rsid w:val="3A6B125E"/>
    <w:rsid w:val="3A954F3B"/>
    <w:rsid w:val="3ACC4E51"/>
    <w:rsid w:val="3AD218BA"/>
    <w:rsid w:val="3B163B4E"/>
    <w:rsid w:val="3B7E51F7"/>
    <w:rsid w:val="3B8811A4"/>
    <w:rsid w:val="3BAC10D3"/>
    <w:rsid w:val="3BC6514F"/>
    <w:rsid w:val="3C0F220A"/>
    <w:rsid w:val="3C267544"/>
    <w:rsid w:val="3C8C6D91"/>
    <w:rsid w:val="3CD44D29"/>
    <w:rsid w:val="3CDE029E"/>
    <w:rsid w:val="3D36354C"/>
    <w:rsid w:val="3D3831E2"/>
    <w:rsid w:val="3DBB413B"/>
    <w:rsid w:val="3DC93A44"/>
    <w:rsid w:val="3DD11BB1"/>
    <w:rsid w:val="3DED4811"/>
    <w:rsid w:val="3E1D6EB4"/>
    <w:rsid w:val="3E1F3CAD"/>
    <w:rsid w:val="3E292C29"/>
    <w:rsid w:val="3E417CA1"/>
    <w:rsid w:val="3E78615B"/>
    <w:rsid w:val="3E8E35FE"/>
    <w:rsid w:val="3E8F22E6"/>
    <w:rsid w:val="3F19434D"/>
    <w:rsid w:val="3F261A88"/>
    <w:rsid w:val="3F984C13"/>
    <w:rsid w:val="40271DD6"/>
    <w:rsid w:val="41015B84"/>
    <w:rsid w:val="410C362B"/>
    <w:rsid w:val="428E7BE1"/>
    <w:rsid w:val="42B20B36"/>
    <w:rsid w:val="42CE3302"/>
    <w:rsid w:val="42FB66C8"/>
    <w:rsid w:val="43192944"/>
    <w:rsid w:val="43394480"/>
    <w:rsid w:val="44104454"/>
    <w:rsid w:val="447255E6"/>
    <w:rsid w:val="44B30D3B"/>
    <w:rsid w:val="44CD7E13"/>
    <w:rsid w:val="453A628D"/>
    <w:rsid w:val="454B2248"/>
    <w:rsid w:val="456B28EB"/>
    <w:rsid w:val="45B61DB8"/>
    <w:rsid w:val="45D2152F"/>
    <w:rsid w:val="45EE0F95"/>
    <w:rsid w:val="45F42F70"/>
    <w:rsid w:val="45F85626"/>
    <w:rsid w:val="462273F5"/>
    <w:rsid w:val="466556B5"/>
    <w:rsid w:val="46710516"/>
    <w:rsid w:val="467529A8"/>
    <w:rsid w:val="4692195B"/>
    <w:rsid w:val="46B609DC"/>
    <w:rsid w:val="470E15D4"/>
    <w:rsid w:val="47234C6F"/>
    <w:rsid w:val="47E36768"/>
    <w:rsid w:val="4810142F"/>
    <w:rsid w:val="48142C67"/>
    <w:rsid w:val="484162BE"/>
    <w:rsid w:val="48643D4D"/>
    <w:rsid w:val="487D7E3E"/>
    <w:rsid w:val="48967192"/>
    <w:rsid w:val="489A6313"/>
    <w:rsid w:val="48A95C04"/>
    <w:rsid w:val="48CE0A5C"/>
    <w:rsid w:val="4949445D"/>
    <w:rsid w:val="495A3295"/>
    <w:rsid w:val="49B51BAE"/>
    <w:rsid w:val="49E36E65"/>
    <w:rsid w:val="4A1225DB"/>
    <w:rsid w:val="4A442B3D"/>
    <w:rsid w:val="4A5E47CC"/>
    <w:rsid w:val="4A7E09CA"/>
    <w:rsid w:val="4A884CC6"/>
    <w:rsid w:val="4AA55BC3"/>
    <w:rsid w:val="4ABC7D85"/>
    <w:rsid w:val="4AC97E97"/>
    <w:rsid w:val="4BA3693A"/>
    <w:rsid w:val="4C254B4B"/>
    <w:rsid w:val="4C676E45"/>
    <w:rsid w:val="4D07114B"/>
    <w:rsid w:val="4D403EDA"/>
    <w:rsid w:val="4D6A3BE4"/>
    <w:rsid w:val="4D954046"/>
    <w:rsid w:val="4E202AF3"/>
    <w:rsid w:val="4E6D29C4"/>
    <w:rsid w:val="4E7A06F8"/>
    <w:rsid w:val="4E9A0D74"/>
    <w:rsid w:val="4F282F37"/>
    <w:rsid w:val="4F701691"/>
    <w:rsid w:val="4FAA2095"/>
    <w:rsid w:val="4FC60E49"/>
    <w:rsid w:val="4FCD31AD"/>
    <w:rsid w:val="4FF52C71"/>
    <w:rsid w:val="503A7A08"/>
    <w:rsid w:val="50512976"/>
    <w:rsid w:val="5052092F"/>
    <w:rsid w:val="5055041F"/>
    <w:rsid w:val="509A51EA"/>
    <w:rsid w:val="509E3ED1"/>
    <w:rsid w:val="50B44F07"/>
    <w:rsid w:val="514E559A"/>
    <w:rsid w:val="51D610EC"/>
    <w:rsid w:val="51E92988"/>
    <w:rsid w:val="520E62B8"/>
    <w:rsid w:val="528312E8"/>
    <w:rsid w:val="529A4BA7"/>
    <w:rsid w:val="52B50FFA"/>
    <w:rsid w:val="52BB3578"/>
    <w:rsid w:val="52C31E67"/>
    <w:rsid w:val="52DA54E7"/>
    <w:rsid w:val="52E468A6"/>
    <w:rsid w:val="52E8669F"/>
    <w:rsid w:val="531F42E7"/>
    <w:rsid w:val="53D6797D"/>
    <w:rsid w:val="53E775E0"/>
    <w:rsid w:val="54723052"/>
    <w:rsid w:val="54BC690A"/>
    <w:rsid w:val="54FD5330"/>
    <w:rsid w:val="550A189F"/>
    <w:rsid w:val="55132EB9"/>
    <w:rsid w:val="55E101CF"/>
    <w:rsid w:val="55EC6DD4"/>
    <w:rsid w:val="55F00828"/>
    <w:rsid w:val="56174AC2"/>
    <w:rsid w:val="56431446"/>
    <w:rsid w:val="56E5591B"/>
    <w:rsid w:val="56E8059A"/>
    <w:rsid w:val="57091C60"/>
    <w:rsid w:val="57631674"/>
    <w:rsid w:val="5794495B"/>
    <w:rsid w:val="57A500D0"/>
    <w:rsid w:val="57C351F2"/>
    <w:rsid w:val="57C6432D"/>
    <w:rsid w:val="57D4431F"/>
    <w:rsid w:val="58532224"/>
    <w:rsid w:val="586903C5"/>
    <w:rsid w:val="58711142"/>
    <w:rsid w:val="588726B7"/>
    <w:rsid w:val="58F57085"/>
    <w:rsid w:val="593212FE"/>
    <w:rsid w:val="59590F80"/>
    <w:rsid w:val="59A732EE"/>
    <w:rsid w:val="59C3464B"/>
    <w:rsid w:val="59DE2BBE"/>
    <w:rsid w:val="5A28151F"/>
    <w:rsid w:val="5A410A6F"/>
    <w:rsid w:val="5A4A2677"/>
    <w:rsid w:val="5AC55338"/>
    <w:rsid w:val="5B3F45CC"/>
    <w:rsid w:val="5BC17152"/>
    <w:rsid w:val="5C157C52"/>
    <w:rsid w:val="5C432399"/>
    <w:rsid w:val="5C65447A"/>
    <w:rsid w:val="5CCD039C"/>
    <w:rsid w:val="5CE05C01"/>
    <w:rsid w:val="5D067F46"/>
    <w:rsid w:val="5D670D19"/>
    <w:rsid w:val="5DEA6484"/>
    <w:rsid w:val="5E2A0506"/>
    <w:rsid w:val="5F816B3B"/>
    <w:rsid w:val="5F8A2976"/>
    <w:rsid w:val="5F8B5C0B"/>
    <w:rsid w:val="5FB9070F"/>
    <w:rsid w:val="5FE039CC"/>
    <w:rsid w:val="600E7957"/>
    <w:rsid w:val="606D70BF"/>
    <w:rsid w:val="60C87067"/>
    <w:rsid w:val="60D137C0"/>
    <w:rsid w:val="60EB4FAC"/>
    <w:rsid w:val="611C2FBF"/>
    <w:rsid w:val="613D03AF"/>
    <w:rsid w:val="615269E1"/>
    <w:rsid w:val="622C1128"/>
    <w:rsid w:val="62840C9B"/>
    <w:rsid w:val="62E95123"/>
    <w:rsid w:val="63753EA0"/>
    <w:rsid w:val="63923347"/>
    <w:rsid w:val="63A60D41"/>
    <w:rsid w:val="63C45248"/>
    <w:rsid w:val="63C6035F"/>
    <w:rsid w:val="646E0F66"/>
    <w:rsid w:val="64912F7B"/>
    <w:rsid w:val="649A1D1D"/>
    <w:rsid w:val="64E04304"/>
    <w:rsid w:val="659B691E"/>
    <w:rsid w:val="65D242C5"/>
    <w:rsid w:val="65D43361"/>
    <w:rsid w:val="65F10142"/>
    <w:rsid w:val="66124991"/>
    <w:rsid w:val="662D4F6B"/>
    <w:rsid w:val="66770C98"/>
    <w:rsid w:val="66E10C4D"/>
    <w:rsid w:val="67035B0B"/>
    <w:rsid w:val="676236F6"/>
    <w:rsid w:val="67D22629"/>
    <w:rsid w:val="685D140B"/>
    <w:rsid w:val="68D47A7B"/>
    <w:rsid w:val="68DF193E"/>
    <w:rsid w:val="68E84E3F"/>
    <w:rsid w:val="68F76E5C"/>
    <w:rsid w:val="69455133"/>
    <w:rsid w:val="69937B96"/>
    <w:rsid w:val="69C2222A"/>
    <w:rsid w:val="69DF21C2"/>
    <w:rsid w:val="6A3757AC"/>
    <w:rsid w:val="6A62031D"/>
    <w:rsid w:val="6A701523"/>
    <w:rsid w:val="6AC1406F"/>
    <w:rsid w:val="6B4120C8"/>
    <w:rsid w:val="6B4F3467"/>
    <w:rsid w:val="6B58506D"/>
    <w:rsid w:val="6B79224C"/>
    <w:rsid w:val="6B8E33C6"/>
    <w:rsid w:val="6B9B5986"/>
    <w:rsid w:val="6BDD42B9"/>
    <w:rsid w:val="6BE84649"/>
    <w:rsid w:val="6C085287"/>
    <w:rsid w:val="6C401523"/>
    <w:rsid w:val="6C7D0E73"/>
    <w:rsid w:val="6CD00EA6"/>
    <w:rsid w:val="6CE6131C"/>
    <w:rsid w:val="6D1A2C05"/>
    <w:rsid w:val="6D313420"/>
    <w:rsid w:val="6DDB7D5E"/>
    <w:rsid w:val="6DDD5A51"/>
    <w:rsid w:val="6DE51FC5"/>
    <w:rsid w:val="6E042F01"/>
    <w:rsid w:val="6E9047F2"/>
    <w:rsid w:val="6EA15698"/>
    <w:rsid w:val="6EA231BA"/>
    <w:rsid w:val="6ED30F77"/>
    <w:rsid w:val="6F3A3E03"/>
    <w:rsid w:val="6F482D42"/>
    <w:rsid w:val="6F696A5A"/>
    <w:rsid w:val="6FA523D2"/>
    <w:rsid w:val="6FAA57D6"/>
    <w:rsid w:val="6FDE58E3"/>
    <w:rsid w:val="701045B5"/>
    <w:rsid w:val="701C133B"/>
    <w:rsid w:val="703D37EB"/>
    <w:rsid w:val="70BF5715"/>
    <w:rsid w:val="712D6B22"/>
    <w:rsid w:val="71305754"/>
    <w:rsid w:val="715B4B81"/>
    <w:rsid w:val="717B055E"/>
    <w:rsid w:val="71B16C93"/>
    <w:rsid w:val="724F0F1D"/>
    <w:rsid w:val="729C3F60"/>
    <w:rsid w:val="729E26DA"/>
    <w:rsid w:val="72D4516E"/>
    <w:rsid w:val="7301390F"/>
    <w:rsid w:val="73070F3B"/>
    <w:rsid w:val="73B07EB2"/>
    <w:rsid w:val="73ED585D"/>
    <w:rsid w:val="741E6BF6"/>
    <w:rsid w:val="74257F85"/>
    <w:rsid w:val="747607E0"/>
    <w:rsid w:val="74885165"/>
    <w:rsid w:val="751000FD"/>
    <w:rsid w:val="757A7E5C"/>
    <w:rsid w:val="75E01033"/>
    <w:rsid w:val="76065B94"/>
    <w:rsid w:val="768C7E47"/>
    <w:rsid w:val="76B15B00"/>
    <w:rsid w:val="76BB01D4"/>
    <w:rsid w:val="76D56593"/>
    <w:rsid w:val="775A1CF3"/>
    <w:rsid w:val="77624692"/>
    <w:rsid w:val="778446AD"/>
    <w:rsid w:val="77845FB9"/>
    <w:rsid w:val="77B96653"/>
    <w:rsid w:val="77DF59B7"/>
    <w:rsid w:val="783F4636"/>
    <w:rsid w:val="78AE6557"/>
    <w:rsid w:val="78E75FB4"/>
    <w:rsid w:val="794949B1"/>
    <w:rsid w:val="79F151EA"/>
    <w:rsid w:val="79FE1404"/>
    <w:rsid w:val="7A043533"/>
    <w:rsid w:val="7A4B1055"/>
    <w:rsid w:val="7A63567B"/>
    <w:rsid w:val="7A7E0A32"/>
    <w:rsid w:val="7A7F4E68"/>
    <w:rsid w:val="7ADC47C3"/>
    <w:rsid w:val="7B4B6523"/>
    <w:rsid w:val="7B764AA9"/>
    <w:rsid w:val="7BD07335"/>
    <w:rsid w:val="7BD227A0"/>
    <w:rsid w:val="7C07399B"/>
    <w:rsid w:val="7C2D5E41"/>
    <w:rsid w:val="7C7F0110"/>
    <w:rsid w:val="7C7F0961"/>
    <w:rsid w:val="7CA010C3"/>
    <w:rsid w:val="7CA34E54"/>
    <w:rsid w:val="7CCE6A29"/>
    <w:rsid w:val="7CF33270"/>
    <w:rsid w:val="7D02603F"/>
    <w:rsid w:val="7D2C2B03"/>
    <w:rsid w:val="7D4A280A"/>
    <w:rsid w:val="7D7550E8"/>
    <w:rsid w:val="7DC205F3"/>
    <w:rsid w:val="7E146C66"/>
    <w:rsid w:val="7E1D3989"/>
    <w:rsid w:val="7E261D0D"/>
    <w:rsid w:val="7E6E437D"/>
    <w:rsid w:val="7ED61979"/>
    <w:rsid w:val="7F051133"/>
    <w:rsid w:val="7F150C8C"/>
    <w:rsid w:val="7F5535BD"/>
    <w:rsid w:val="7F61079B"/>
    <w:rsid w:val="7FC50E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29"/>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7"/>
    <w:qFormat/>
    <w:uiPriority w:val="0"/>
    <w:rPr>
      <w:rFonts w:ascii="仿宋" w:hAnsi="仿宋" w:eastAsia="仿宋" w:cs="仿宋"/>
      <w:sz w:val="30"/>
      <w:szCs w:val="30"/>
    </w:rPr>
  </w:style>
  <w:style w:type="paragraph" w:styleId="7">
    <w:name w:val="Body Text First Indent"/>
    <w:basedOn w:val="6"/>
    <w:qFormat/>
    <w:uiPriority w:val="0"/>
    <w:pPr>
      <w:ind w:firstLine="420" w:firstLineChars="100"/>
    </w:pPr>
  </w:style>
  <w:style w:type="paragraph" w:styleId="8">
    <w:name w:val="Body Text Indent"/>
    <w:basedOn w:val="1"/>
    <w:next w:val="9"/>
    <w:unhideWhenUsed/>
    <w:qFormat/>
    <w:uiPriority w:val="99"/>
    <w:pPr>
      <w:spacing w:after="120"/>
      <w:ind w:left="420" w:leftChars="200"/>
    </w:pPr>
    <w:rPr>
      <w:rFonts w:eastAsia="微软雅黑"/>
      <w:kern w:val="0"/>
      <w:sz w:val="24"/>
      <w:szCs w:val="20"/>
    </w:rPr>
  </w:style>
  <w:style w:type="paragraph" w:styleId="9">
    <w:name w:val="Body Text First Indent 2"/>
    <w:basedOn w:val="8"/>
    <w:qFormat/>
    <w:uiPriority w:val="0"/>
    <w:pPr>
      <w:ind w:firstLine="420"/>
    </w:pPr>
  </w:style>
  <w:style w:type="paragraph" w:styleId="10">
    <w:name w:val="Plain Text"/>
    <w:basedOn w:val="1"/>
    <w:qFormat/>
    <w:uiPriority w:val="0"/>
    <w:rPr>
      <w:rFonts w:ascii="宋体" w:hAnsi="Courier New"/>
      <w:kern w:val="0"/>
      <w:sz w:val="20"/>
      <w:szCs w:val="21"/>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basedOn w:val="17"/>
    <w:qFormat/>
    <w:uiPriority w:val="0"/>
    <w:rPr>
      <w:b/>
    </w:rPr>
  </w:style>
  <w:style w:type="character" w:styleId="19">
    <w:name w:val="page number"/>
    <w:basedOn w:val="17"/>
    <w:qFormat/>
    <w:uiPriority w:val="99"/>
    <w:rPr>
      <w:rFonts w:cs="Times New Roman"/>
    </w:rPr>
  </w:style>
  <w:style w:type="character" w:styleId="20">
    <w:name w:val="Emphasis"/>
    <w:qFormat/>
    <w:uiPriority w:val="0"/>
  </w:style>
  <w:style w:type="character" w:styleId="21">
    <w:name w:val="Hyperlink"/>
    <w:basedOn w:val="17"/>
    <w:qFormat/>
    <w:uiPriority w:val="0"/>
    <w:rPr>
      <w:color w:val="0000FF"/>
      <w:u w:val="single"/>
    </w:rPr>
  </w:style>
  <w:style w:type="character" w:styleId="22">
    <w:name w:val="annotation reference"/>
    <w:unhideWhenUsed/>
    <w:qFormat/>
    <w:uiPriority w:val="0"/>
    <w:rPr>
      <w:sz w:val="21"/>
      <w:szCs w:val="21"/>
    </w:rPr>
  </w:style>
  <w:style w:type="paragraph" w:customStyle="1" w:styleId="23">
    <w:name w:val="Normal Indent"/>
    <w:basedOn w:val="1"/>
    <w:qFormat/>
    <w:uiPriority w:val="0"/>
    <w:pPr>
      <w:widowControl/>
      <w:ind w:firstLine="420" w:firstLineChars="200"/>
    </w:pPr>
  </w:style>
  <w:style w:type="table" w:customStyle="1" w:styleId="24">
    <w:name w:val="Table Normal"/>
    <w:semiHidden/>
    <w:unhideWhenUsed/>
    <w:qFormat/>
    <w:uiPriority w:val="0"/>
    <w:tblPr>
      <w:tblCellMar>
        <w:top w:w="0" w:type="dxa"/>
        <w:left w:w="0" w:type="dxa"/>
        <w:bottom w:w="0" w:type="dxa"/>
        <w:right w:w="0" w:type="dxa"/>
      </w:tblCellMar>
    </w:tblPr>
  </w:style>
  <w:style w:type="paragraph" w:customStyle="1" w:styleId="25">
    <w:name w:val="Table Text"/>
    <w:basedOn w:val="1"/>
    <w:semiHidden/>
    <w:qFormat/>
    <w:uiPriority w:val="0"/>
  </w:style>
  <w:style w:type="paragraph" w:customStyle="1" w:styleId="26">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7">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8">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9">
    <w:name w:val="标题 4 Char"/>
    <w:link w:val="4"/>
    <w:qFormat/>
    <w:uiPriority w:val="0"/>
    <w:rPr>
      <w:rFonts w:ascii="Arial" w:hAnsi="Arial" w:eastAsia="黑体"/>
      <w:b/>
      <w:sz w:val="28"/>
    </w:rPr>
  </w:style>
  <w:style w:type="paragraph" w:customStyle="1" w:styleId="30">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1">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2">
    <w:name w:val="font31"/>
    <w:qFormat/>
    <w:uiPriority w:val="0"/>
    <w:rPr>
      <w:rFonts w:hint="eastAsia" w:ascii="宋体" w:hAnsi="宋体" w:eastAsia="宋体" w:cs="宋体"/>
      <w:color w:val="000000"/>
      <w:sz w:val="21"/>
      <w:szCs w:val="21"/>
      <w:u w:val="none"/>
    </w:rPr>
  </w:style>
  <w:style w:type="paragraph" w:customStyle="1" w:styleId="33">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58</Pages>
  <Words>1056</Words>
  <Characters>1236</Characters>
  <Lines>230</Lines>
  <Paragraphs>64</Paragraphs>
  <TotalTime>25</TotalTime>
  <ScaleCrop>false</ScaleCrop>
  <LinksUpToDate>false</LinksUpToDate>
  <CharactersWithSpaces>1703</CharactersWithSpaces>
  <Application>WPS Office_12.1.0.26895_F1E327BC-269C-435d-A152-05C5408002CA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lenovo1</cp:lastModifiedBy>
  <cp:lastPrinted>2026-01-19T01:43:00Z</cp:lastPrinted>
  <dcterms:modified xsi:type="dcterms:W3CDTF">2026-06-09T07:19:30Z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2052-12.1.0.26895</vt:lpwstr>
  </property>
  <property fmtid="{D5CDD505-2E9C-101B-9397-08002B2CF9AE}" pid="5" name="ICV">
    <vt:lpwstr>C807829486044C68964A1DDCE2D2AF7D_13</vt:lpwstr>
  </property>
  <property fmtid="{D5CDD505-2E9C-101B-9397-08002B2CF9AE}" pid="6" name="KSOTemplateDocerSaveRecord">
    <vt:lpwstr>eyJoZGlkIjoiMTIyYTU1Y2NmM2ZlZmEyOTdjNmI1MTVhYmU3ZTBiMzEiLCJ1c2VySWQiOiIxMDEzNDI0Nzc5In0=</vt:lpwstr>
  </property>
</Properties>
</file>