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EA5D0A">
      <w:pPr>
        <w:pStyle w:val="3"/>
        <w:rPr>
          <w:rFonts w:hint="eastAsia" w:asciiTheme="minorEastAsia" w:hAnsiTheme="minorEastAsia" w:eastAsiaTheme="minorEastAsia"/>
          <w:lang w:eastAsia="zh-CN"/>
        </w:rPr>
      </w:pPr>
      <w:bookmarkStart w:id="0" w:name="_Toc27"/>
      <w:r>
        <w:rPr>
          <w:rFonts w:asciiTheme="minorEastAsia" w:hAnsiTheme="minorEastAsia" w:eastAsiaTheme="minorEastAsia"/>
          <w:lang w:eastAsia="zh-CN"/>
        </w:rPr>
        <w:t xml:space="preserve">第五章  </w:t>
      </w:r>
      <w:r>
        <w:rPr>
          <w:rFonts w:hint="eastAsia" w:asciiTheme="minorEastAsia" w:hAnsiTheme="minorEastAsia" w:eastAsiaTheme="minorEastAsia"/>
          <w:lang w:eastAsia="zh-CN"/>
        </w:rPr>
        <w:t>采购需求</w:t>
      </w:r>
      <w:bookmarkEnd w:id="0"/>
    </w:p>
    <w:p w14:paraId="475E5B76">
      <w:pPr>
        <w:widowControl w:val="0"/>
        <w:spacing w:line="309" w:lineRule="auto"/>
        <w:jc w:val="center"/>
        <w:rPr>
          <w:rFonts w:hint="eastAsia" w:asciiTheme="minorEastAsia" w:hAnsiTheme="minorEastAsia" w:eastAsiaTheme="minorEastAsia"/>
          <w:color w:val="auto"/>
          <w:lang w:eastAsia="zh-CN"/>
        </w:rPr>
      </w:pPr>
    </w:p>
    <w:p w14:paraId="1E75EA6C">
      <w:pPr>
        <w:pStyle w:val="4"/>
        <w:rPr>
          <w:rFonts w:hint="eastAsia" w:asciiTheme="minorEastAsia" w:hAnsiTheme="minorEastAsia"/>
          <w:lang w:eastAsia="zh-CN"/>
        </w:rPr>
      </w:pPr>
      <w:bookmarkStart w:id="1" w:name="_Toc8922"/>
      <w:r>
        <w:rPr>
          <w:rFonts w:asciiTheme="minorEastAsia" w:hAnsiTheme="minorEastAsia"/>
          <w:lang w:eastAsia="zh-CN"/>
        </w:rPr>
        <w:t>一、</w:t>
      </w:r>
      <w:r>
        <w:rPr>
          <w:rFonts w:hint="eastAsia" w:asciiTheme="minorEastAsia" w:hAnsiTheme="minorEastAsia"/>
          <w:lang w:eastAsia="zh-CN"/>
        </w:rPr>
        <w:t>采购</w:t>
      </w:r>
      <w:r>
        <w:rPr>
          <w:rFonts w:asciiTheme="minorEastAsia" w:hAnsiTheme="minorEastAsia"/>
          <w:lang w:eastAsia="zh-CN"/>
        </w:rPr>
        <w:t>需求表</w:t>
      </w:r>
      <w:bookmarkEnd w:id="1"/>
    </w:p>
    <w:p w14:paraId="204C6031">
      <w:pPr>
        <w:widowControl w:val="0"/>
        <w:spacing w:before="64"/>
        <w:rPr>
          <w:rFonts w:hint="eastAsia" w:asciiTheme="minorEastAsia" w:hAnsiTheme="minorEastAsia" w:eastAsiaTheme="minorEastAsia"/>
          <w:color w:val="auto"/>
          <w:lang w:eastAsia="zh-CN"/>
        </w:rPr>
      </w:pPr>
    </w:p>
    <w:tbl>
      <w:tblPr>
        <w:tblStyle w:val="8"/>
        <w:tblW w:w="4999"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892"/>
        <w:gridCol w:w="756"/>
        <w:gridCol w:w="5690"/>
      </w:tblGrid>
      <w:tr w14:paraId="2B96BE49">
        <w:tblPrEx>
          <w:tblCellMar>
            <w:top w:w="0" w:type="dxa"/>
            <w:left w:w="0" w:type="dxa"/>
            <w:bottom w:w="0" w:type="dxa"/>
            <w:right w:w="0" w:type="dxa"/>
          </w:tblCellMar>
        </w:tblPrEx>
        <w:trPr>
          <w:trHeight w:val="2292" w:hRule="atLeast"/>
        </w:trPr>
        <w:tc>
          <w:tcPr>
            <w:tcW w:w="1135" w:type="pct"/>
            <w:tcBorders>
              <w:right w:val="nil"/>
            </w:tcBorders>
          </w:tcPr>
          <w:p w14:paraId="01B7430F">
            <w:pPr>
              <w:widowControl w:val="0"/>
              <w:spacing w:before="183" w:line="223" w:lineRule="auto"/>
              <w:ind w:left="1091"/>
              <w:rPr>
                <w:rFonts w:hint="eastAsia" w:cs="宋体" w:asciiTheme="minorEastAsia" w:hAnsiTheme="minorEastAsia" w:eastAsiaTheme="minorEastAsia"/>
                <w:color w:val="auto"/>
                <w:sz w:val="24"/>
                <w:szCs w:val="24"/>
              </w:rPr>
            </w:pPr>
            <w:r>
              <w:rPr>
                <w:rFonts w:asciiTheme="minorEastAsia" w:hAnsiTheme="minorEastAsia" w:eastAsiaTheme="minorEastAsia"/>
                <w:color w:val="auto"/>
              </w:rPr>
              <w:drawing>
                <wp:anchor distT="0" distB="0" distL="0" distR="0" simplePos="0" relativeHeight="251659264"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4"/>
                          <a:stretch>
                            <a:fillRect/>
                          </a:stretch>
                        </pic:blipFill>
                        <pic:spPr>
                          <a:xfrm>
                            <a:off x="0" y="0"/>
                            <a:ext cx="1805051" cy="1485442"/>
                          </a:xfrm>
                          <a:prstGeom prst="rect">
                            <a:avLst/>
                          </a:prstGeom>
                        </pic:spPr>
                      </pic:pic>
                    </a:graphicData>
                  </a:graphic>
                </wp:anchor>
              </w:drawing>
            </w:r>
            <w:r>
              <w:rPr>
                <w:rFonts w:cs="宋体" w:asciiTheme="minorEastAsia" w:hAnsiTheme="minorEastAsia" w:eastAsiaTheme="minorEastAsia"/>
                <w:color w:val="auto"/>
                <w:sz w:val="24"/>
                <w:szCs w:val="24"/>
              </w:rPr>
              <w:t>名</w:t>
            </w:r>
          </w:p>
          <w:p w14:paraId="77CB0B5E">
            <w:pPr>
              <w:pStyle w:val="9"/>
              <w:widowControl w:val="0"/>
              <w:spacing w:line="245" w:lineRule="auto"/>
              <w:rPr>
                <w:rFonts w:hint="eastAsia" w:asciiTheme="minorEastAsia" w:hAnsiTheme="minorEastAsia" w:eastAsiaTheme="minorEastAsia"/>
                <w:color w:val="auto"/>
              </w:rPr>
            </w:pPr>
          </w:p>
          <w:p w14:paraId="72FFE8D5">
            <w:pPr>
              <w:pStyle w:val="9"/>
              <w:widowControl w:val="0"/>
              <w:spacing w:line="246" w:lineRule="auto"/>
              <w:rPr>
                <w:rFonts w:hint="eastAsia" w:asciiTheme="minorEastAsia" w:hAnsiTheme="minorEastAsia" w:eastAsiaTheme="minorEastAsia"/>
                <w:color w:val="auto"/>
              </w:rPr>
            </w:pPr>
          </w:p>
          <w:p w14:paraId="70E38460">
            <w:pPr>
              <w:widowControl w:val="0"/>
              <w:spacing w:before="78" w:line="219" w:lineRule="auto"/>
              <w:ind w:left="481"/>
              <w:rPr>
                <w:rFonts w:hint="eastAsia" w:cs="宋体" w:asciiTheme="minorEastAsia" w:hAnsiTheme="minorEastAsia" w:eastAsiaTheme="minorEastAsia"/>
                <w:color w:val="auto"/>
                <w:sz w:val="24"/>
                <w:szCs w:val="24"/>
              </w:rPr>
            </w:pPr>
            <w:r>
              <w:rPr>
                <w:rFonts w:cs="宋体" w:asciiTheme="minorEastAsia" w:hAnsiTheme="minorEastAsia" w:eastAsiaTheme="minorEastAsia"/>
                <w:color w:val="auto"/>
                <w:sz w:val="24"/>
                <w:szCs w:val="24"/>
              </w:rPr>
              <w:t>内</w:t>
            </w:r>
          </w:p>
          <w:p w14:paraId="7D084D42">
            <w:pPr>
              <w:pStyle w:val="9"/>
              <w:widowControl w:val="0"/>
              <w:spacing w:line="338" w:lineRule="auto"/>
              <w:rPr>
                <w:rFonts w:hint="eastAsia" w:asciiTheme="minorEastAsia" w:hAnsiTheme="minorEastAsia" w:eastAsiaTheme="minorEastAsia"/>
                <w:color w:val="auto"/>
              </w:rPr>
            </w:pPr>
          </w:p>
          <w:p w14:paraId="2AFB5612">
            <w:pPr>
              <w:widowControl w:val="0"/>
              <w:spacing w:before="78" w:line="220" w:lineRule="auto"/>
              <w:ind w:left="1311"/>
              <w:rPr>
                <w:rFonts w:hint="eastAsia" w:cs="宋体" w:asciiTheme="minorEastAsia" w:hAnsiTheme="minorEastAsia" w:eastAsiaTheme="minorEastAsia"/>
                <w:color w:val="auto"/>
                <w:sz w:val="24"/>
                <w:szCs w:val="24"/>
              </w:rPr>
            </w:pPr>
            <w:r>
              <w:rPr>
                <w:rFonts w:cs="宋体" w:asciiTheme="minorEastAsia" w:hAnsiTheme="minorEastAsia" w:eastAsiaTheme="minorEastAsia"/>
                <w:color w:val="auto"/>
                <w:sz w:val="24"/>
                <w:szCs w:val="24"/>
              </w:rPr>
              <w:t>容</w:t>
            </w:r>
          </w:p>
        </w:tc>
        <w:tc>
          <w:tcPr>
            <w:tcW w:w="453" w:type="pct"/>
            <w:tcBorders>
              <w:left w:val="nil"/>
            </w:tcBorders>
          </w:tcPr>
          <w:p w14:paraId="4EC4CF40">
            <w:pPr>
              <w:pStyle w:val="9"/>
              <w:widowControl w:val="0"/>
              <w:spacing w:line="263" w:lineRule="auto"/>
              <w:rPr>
                <w:rFonts w:hint="eastAsia" w:asciiTheme="minorEastAsia" w:hAnsiTheme="minorEastAsia" w:eastAsiaTheme="minorEastAsia"/>
                <w:color w:val="auto"/>
              </w:rPr>
            </w:pPr>
          </w:p>
          <w:p w14:paraId="19C41DCE">
            <w:pPr>
              <w:pStyle w:val="9"/>
              <w:widowControl w:val="0"/>
              <w:spacing w:line="263" w:lineRule="auto"/>
              <w:rPr>
                <w:rFonts w:hint="eastAsia" w:asciiTheme="minorEastAsia" w:hAnsiTheme="minorEastAsia" w:eastAsiaTheme="minorEastAsia"/>
                <w:color w:val="auto"/>
              </w:rPr>
            </w:pPr>
          </w:p>
          <w:p w14:paraId="664ECBE5">
            <w:pPr>
              <w:pStyle w:val="9"/>
              <w:widowControl w:val="0"/>
              <w:spacing w:line="264" w:lineRule="auto"/>
              <w:rPr>
                <w:rFonts w:hint="eastAsia" w:asciiTheme="minorEastAsia" w:hAnsiTheme="minorEastAsia" w:eastAsiaTheme="minorEastAsia"/>
                <w:color w:val="auto"/>
              </w:rPr>
            </w:pPr>
          </w:p>
          <w:p w14:paraId="35346E7D">
            <w:pPr>
              <w:widowControl w:val="0"/>
              <w:spacing w:before="78" w:line="221" w:lineRule="auto"/>
              <w:ind w:left="192"/>
              <w:rPr>
                <w:rFonts w:hint="eastAsia" w:cs="宋体" w:asciiTheme="minorEastAsia" w:hAnsiTheme="minorEastAsia" w:eastAsiaTheme="minorEastAsia"/>
                <w:color w:val="auto"/>
                <w:sz w:val="24"/>
                <w:szCs w:val="24"/>
              </w:rPr>
            </w:pPr>
            <w:r>
              <w:rPr>
                <w:rFonts w:cs="宋体" w:asciiTheme="minorEastAsia" w:hAnsiTheme="minorEastAsia" w:eastAsiaTheme="minorEastAsia"/>
                <w:color w:val="auto"/>
                <w:sz w:val="24"/>
                <w:szCs w:val="24"/>
              </w:rPr>
              <w:t>称</w:t>
            </w:r>
          </w:p>
        </w:tc>
        <w:tc>
          <w:tcPr>
            <w:tcW w:w="3411" w:type="pct"/>
            <w:vAlign w:val="center"/>
          </w:tcPr>
          <w:p w14:paraId="3A9FA16C">
            <w:pPr>
              <w:spacing w:line="900" w:lineRule="exact"/>
              <w:jc w:val="center"/>
              <w:rPr>
                <w:rFonts w:hint="eastAsia" w:asciiTheme="minorEastAsia" w:hAnsiTheme="minorEastAsia" w:eastAsiaTheme="minorEastAsia"/>
                <w:color w:val="auto"/>
              </w:rPr>
            </w:pPr>
            <w:r>
              <w:rPr>
                <w:rFonts w:hint="eastAsia" w:asciiTheme="minorEastAsia" w:hAnsiTheme="minorEastAsia" w:eastAsiaTheme="minorEastAsia" w:cstheme="minorEastAsia"/>
                <w:color w:val="auto"/>
                <w:sz w:val="24"/>
                <w:lang w:eastAsia="zh-CN"/>
              </w:rPr>
              <w:t>详见“第一章磋商邀请”</w:t>
            </w:r>
          </w:p>
        </w:tc>
      </w:tr>
      <w:tr w14:paraId="5BC8E9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1588" w:type="pct"/>
            <w:gridSpan w:val="2"/>
          </w:tcPr>
          <w:p w14:paraId="45BE060A">
            <w:pPr>
              <w:widowControl w:val="0"/>
              <w:spacing w:before="253" w:line="219" w:lineRule="auto"/>
              <w:ind w:left="1188"/>
              <w:rPr>
                <w:rFonts w:hint="eastAsia" w:cs="宋体" w:asciiTheme="minorEastAsia" w:hAnsiTheme="minorEastAsia" w:eastAsiaTheme="minorEastAsia"/>
                <w:color w:val="auto"/>
                <w:sz w:val="24"/>
                <w:szCs w:val="24"/>
              </w:rPr>
            </w:pPr>
            <w:r>
              <w:rPr>
                <w:rFonts w:cs="宋体" w:asciiTheme="minorEastAsia" w:hAnsiTheme="minorEastAsia" w:eastAsiaTheme="minorEastAsia"/>
                <w:color w:val="auto"/>
                <w:spacing w:val="-6"/>
                <w:sz w:val="24"/>
                <w:szCs w:val="24"/>
              </w:rPr>
              <w:t>数量</w:t>
            </w:r>
          </w:p>
        </w:tc>
        <w:tc>
          <w:tcPr>
            <w:tcW w:w="3411" w:type="pct"/>
            <w:vAlign w:val="center"/>
          </w:tcPr>
          <w:p w14:paraId="27EB7886">
            <w:pPr>
              <w:spacing w:line="360" w:lineRule="auto"/>
              <w:jc w:val="center"/>
              <w:rPr>
                <w:rFonts w:hint="eastAsia" w:asciiTheme="minorEastAsia" w:hAnsiTheme="minorEastAsia" w:eastAsiaTheme="minorEastAsia"/>
                <w:color w:val="auto"/>
              </w:rPr>
            </w:pPr>
            <w:r>
              <w:rPr>
                <w:rFonts w:hint="eastAsia" w:asciiTheme="minorEastAsia" w:hAnsiTheme="minorEastAsia" w:eastAsiaTheme="minorEastAsia" w:cstheme="minorEastAsia"/>
                <w:color w:val="auto"/>
                <w:sz w:val="24"/>
                <w:lang w:eastAsia="zh-CN"/>
              </w:rPr>
              <w:t>详见第五章中的“采购</w:t>
            </w:r>
            <w:r>
              <w:rPr>
                <w:rFonts w:hint="eastAsia" w:asciiTheme="minorEastAsia" w:hAnsiTheme="minorEastAsia" w:eastAsiaTheme="minorEastAsia" w:cstheme="minorEastAsia"/>
                <w:color w:val="auto"/>
                <w:sz w:val="24"/>
                <w:lang w:val="en-US" w:eastAsia="zh-CN"/>
              </w:rPr>
              <w:t>需</w:t>
            </w:r>
            <w:r>
              <w:rPr>
                <w:rFonts w:hint="eastAsia" w:asciiTheme="minorEastAsia" w:hAnsiTheme="minorEastAsia" w:eastAsiaTheme="minorEastAsia" w:cstheme="minorEastAsia"/>
                <w:color w:val="auto"/>
                <w:sz w:val="24"/>
                <w:lang w:eastAsia="zh-CN"/>
              </w:rPr>
              <w:t>求”</w:t>
            </w:r>
          </w:p>
        </w:tc>
      </w:tr>
      <w:tr w14:paraId="1D7848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1588" w:type="pct"/>
            <w:gridSpan w:val="2"/>
          </w:tcPr>
          <w:p w14:paraId="4A6B4583">
            <w:pPr>
              <w:widowControl w:val="0"/>
              <w:spacing w:before="253" w:line="219" w:lineRule="auto"/>
              <w:ind w:left="1071"/>
              <w:rPr>
                <w:rFonts w:hint="eastAsia" w:cs="宋体" w:asciiTheme="minorEastAsia" w:hAnsiTheme="minorEastAsia" w:eastAsiaTheme="minorEastAsia"/>
                <w:color w:val="auto"/>
                <w:sz w:val="24"/>
                <w:szCs w:val="24"/>
              </w:rPr>
            </w:pPr>
            <w:r>
              <w:rPr>
                <w:rFonts w:hint="eastAsia" w:cs="宋体" w:asciiTheme="minorEastAsia" w:hAnsiTheme="minorEastAsia" w:eastAsiaTheme="minorEastAsia"/>
                <w:color w:val="auto"/>
                <w:spacing w:val="-5"/>
                <w:sz w:val="24"/>
                <w:szCs w:val="24"/>
                <w:lang w:eastAsia="zh-CN"/>
              </w:rPr>
              <w:t>服务</w:t>
            </w:r>
            <w:r>
              <w:rPr>
                <w:rFonts w:cs="宋体" w:asciiTheme="minorEastAsia" w:hAnsiTheme="minorEastAsia" w:eastAsiaTheme="minorEastAsia"/>
                <w:color w:val="auto"/>
                <w:spacing w:val="-5"/>
                <w:sz w:val="24"/>
                <w:szCs w:val="24"/>
              </w:rPr>
              <w:t>期</w:t>
            </w:r>
          </w:p>
        </w:tc>
        <w:tc>
          <w:tcPr>
            <w:tcW w:w="3411" w:type="pct"/>
            <w:vAlign w:val="center"/>
          </w:tcPr>
          <w:p w14:paraId="64E93DD5">
            <w:pPr>
              <w:spacing w:line="360" w:lineRule="auto"/>
              <w:jc w:val="center"/>
              <w:rPr>
                <w:rFonts w:hint="eastAsia" w:asciiTheme="minorEastAsia" w:hAnsiTheme="minorEastAsia" w:eastAsiaTheme="minorEastAsia"/>
                <w:color w:val="auto"/>
              </w:rPr>
            </w:pPr>
            <w:r>
              <w:rPr>
                <w:rFonts w:hint="eastAsia" w:asciiTheme="minorEastAsia" w:hAnsiTheme="minorEastAsia" w:eastAsiaTheme="minorEastAsia" w:cstheme="minorEastAsia"/>
                <w:color w:val="auto"/>
                <w:sz w:val="24"/>
                <w:lang w:eastAsia="zh-CN"/>
              </w:rPr>
              <w:t>详见第五章中的“商务条</w:t>
            </w:r>
            <w:r>
              <w:rPr>
                <w:rFonts w:hint="eastAsia" w:asciiTheme="minorEastAsia" w:hAnsiTheme="minorEastAsia" w:eastAsiaTheme="minorEastAsia" w:cstheme="minorEastAsia"/>
                <w:color w:val="auto"/>
                <w:sz w:val="24"/>
                <w:lang w:val="en-US" w:eastAsia="zh-CN"/>
              </w:rPr>
              <w:t>件</w:t>
            </w:r>
            <w:r>
              <w:rPr>
                <w:rFonts w:hint="eastAsia" w:asciiTheme="minorEastAsia" w:hAnsiTheme="minorEastAsia" w:eastAsiaTheme="minorEastAsia" w:cstheme="minorEastAsia"/>
                <w:color w:val="auto"/>
                <w:sz w:val="24"/>
                <w:lang w:eastAsia="zh-CN"/>
              </w:rPr>
              <w:t>”</w:t>
            </w:r>
          </w:p>
        </w:tc>
      </w:tr>
      <w:tr w14:paraId="0AD08E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1588" w:type="pct"/>
            <w:gridSpan w:val="2"/>
          </w:tcPr>
          <w:p w14:paraId="5DF644C1">
            <w:pPr>
              <w:widowControl w:val="0"/>
              <w:spacing w:before="256" w:line="219" w:lineRule="auto"/>
              <w:ind w:left="951"/>
              <w:rPr>
                <w:rFonts w:hint="eastAsia" w:cs="宋体" w:asciiTheme="minorEastAsia" w:hAnsiTheme="minorEastAsia" w:eastAsiaTheme="minorEastAsia"/>
                <w:color w:val="auto"/>
                <w:sz w:val="24"/>
                <w:szCs w:val="24"/>
              </w:rPr>
            </w:pPr>
            <w:r>
              <w:rPr>
                <w:rFonts w:hint="eastAsia" w:cs="宋体" w:asciiTheme="minorEastAsia" w:hAnsiTheme="minorEastAsia" w:eastAsiaTheme="minorEastAsia"/>
                <w:color w:val="auto"/>
                <w:spacing w:val="-4"/>
                <w:sz w:val="24"/>
                <w:szCs w:val="24"/>
                <w:lang w:eastAsia="zh-CN"/>
              </w:rPr>
              <w:t>服务</w:t>
            </w:r>
            <w:r>
              <w:rPr>
                <w:rFonts w:cs="宋体" w:asciiTheme="minorEastAsia" w:hAnsiTheme="minorEastAsia" w:eastAsiaTheme="minorEastAsia"/>
                <w:color w:val="auto"/>
                <w:spacing w:val="-4"/>
                <w:sz w:val="24"/>
                <w:szCs w:val="24"/>
              </w:rPr>
              <w:t>地点</w:t>
            </w:r>
          </w:p>
        </w:tc>
        <w:tc>
          <w:tcPr>
            <w:tcW w:w="3411" w:type="pct"/>
            <w:vAlign w:val="center"/>
          </w:tcPr>
          <w:p w14:paraId="1755F670">
            <w:pPr>
              <w:spacing w:line="360" w:lineRule="auto"/>
              <w:jc w:val="center"/>
              <w:rPr>
                <w:rFonts w:hint="eastAsia" w:asciiTheme="minorEastAsia" w:hAnsiTheme="minorEastAsia" w:eastAsiaTheme="minorEastAsia"/>
                <w:color w:val="auto"/>
              </w:rPr>
            </w:pPr>
            <w:r>
              <w:rPr>
                <w:rFonts w:hint="eastAsia" w:asciiTheme="minorEastAsia" w:hAnsiTheme="minorEastAsia" w:eastAsiaTheme="minorEastAsia" w:cstheme="minorEastAsia"/>
                <w:color w:val="auto"/>
                <w:sz w:val="24"/>
                <w:lang w:eastAsia="zh-CN"/>
              </w:rPr>
              <w:t>详见第五章中的“商务条</w:t>
            </w:r>
            <w:r>
              <w:rPr>
                <w:rFonts w:hint="eastAsia" w:asciiTheme="minorEastAsia" w:hAnsiTheme="minorEastAsia" w:eastAsiaTheme="minorEastAsia" w:cstheme="minorEastAsia"/>
                <w:color w:val="auto"/>
                <w:sz w:val="24"/>
                <w:lang w:val="en-US" w:eastAsia="zh-CN"/>
              </w:rPr>
              <w:t>件</w:t>
            </w:r>
            <w:r>
              <w:rPr>
                <w:rFonts w:hint="eastAsia" w:asciiTheme="minorEastAsia" w:hAnsiTheme="minorEastAsia" w:eastAsiaTheme="minorEastAsia" w:cstheme="minorEastAsia"/>
                <w:color w:val="auto"/>
                <w:sz w:val="24"/>
                <w:lang w:eastAsia="zh-CN"/>
              </w:rPr>
              <w:t>”</w:t>
            </w:r>
          </w:p>
        </w:tc>
      </w:tr>
      <w:tr w14:paraId="1FB848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1588" w:type="pct"/>
            <w:gridSpan w:val="2"/>
            <w:vAlign w:val="center"/>
          </w:tcPr>
          <w:p w14:paraId="70F0F39D">
            <w:pPr>
              <w:widowControl w:val="0"/>
              <w:spacing w:before="256" w:line="221" w:lineRule="auto"/>
              <w:ind w:left="1189"/>
              <w:jc w:val="both"/>
              <w:rPr>
                <w:rFonts w:hint="eastAsia" w:cs="宋体" w:asciiTheme="minorEastAsia" w:hAnsiTheme="minorEastAsia" w:eastAsiaTheme="minorEastAsia"/>
                <w:color w:val="auto"/>
                <w:sz w:val="24"/>
                <w:szCs w:val="24"/>
              </w:rPr>
            </w:pPr>
            <w:r>
              <w:rPr>
                <w:rFonts w:cs="宋体" w:asciiTheme="minorEastAsia" w:hAnsiTheme="minorEastAsia" w:eastAsiaTheme="minorEastAsia"/>
                <w:color w:val="auto"/>
                <w:spacing w:val="-7"/>
                <w:sz w:val="24"/>
                <w:szCs w:val="24"/>
              </w:rPr>
              <w:t>备注</w:t>
            </w:r>
          </w:p>
        </w:tc>
        <w:tc>
          <w:tcPr>
            <w:tcW w:w="3411" w:type="pct"/>
            <w:vAlign w:val="center"/>
          </w:tcPr>
          <w:p w14:paraId="2A6E48A4">
            <w:pPr>
              <w:keepNext w:val="0"/>
              <w:keepLines w:val="0"/>
              <w:pageBreakBefore w:val="0"/>
              <w:widowControl/>
              <w:kinsoku w:val="0"/>
              <w:wordWrap/>
              <w:overflowPunct/>
              <w:topLinePunct w:val="0"/>
              <w:autoSpaceDE w:val="0"/>
              <w:autoSpaceDN w:val="0"/>
              <w:bidi w:val="0"/>
              <w:adjustRightInd w:val="0"/>
              <w:snapToGrid w:val="0"/>
              <w:spacing w:line="360" w:lineRule="auto"/>
              <w:ind w:left="63" w:leftChars="30" w:right="63" w:rightChars="30"/>
              <w:jc w:val="both"/>
              <w:textAlignment w:val="baseline"/>
              <w:rPr>
                <w:rFonts w:hint="eastAsia" w:asciiTheme="minorEastAsia" w:hAnsiTheme="minorEastAsia" w:eastAsiaTheme="minorEastAsia"/>
                <w:color w:val="auto"/>
              </w:rPr>
            </w:pPr>
            <w:r>
              <w:rPr>
                <w:rFonts w:hint="eastAsia" w:asciiTheme="minorEastAsia" w:hAnsiTheme="minorEastAsia" w:eastAsiaTheme="minorEastAsia" w:cstheme="minorEastAsia"/>
                <w:color w:val="auto"/>
                <w:sz w:val="24"/>
                <w:highlight w:val="none"/>
                <w:lang w:eastAsia="zh-CN"/>
              </w:rPr>
              <w:t>磋商报价包含磋商文件所约定的范围内全部内容价格体现的“交钥匙工程”。磋商报价包括但不限于施工机械、劳务、材料(包括采购人选定的材料供应商所供材料的运输、到现场的卸力及采购保管费用等)、墙地面及窗漏水修复、临时设施(包括场地内施工用水、电及场内施工道路等)、余土外运、垃圾清运至政府指定位置（含结构拆除等建筑垃圾）、缺陷修补、利润、保险、税金等各项直接、间接费用等完成本项目所需的一切相关费用。</w:t>
            </w:r>
          </w:p>
        </w:tc>
      </w:tr>
    </w:tbl>
    <w:p w14:paraId="4288DDA6">
      <w:pPr>
        <w:widowControl w:val="0"/>
        <w:rPr>
          <w:rFonts w:hint="eastAsia" w:asciiTheme="minorEastAsia" w:hAnsiTheme="minorEastAsia" w:eastAsiaTheme="minorEastAsia"/>
          <w:color w:val="auto"/>
        </w:rPr>
      </w:pPr>
    </w:p>
    <w:p w14:paraId="515588FF">
      <w:pPr>
        <w:widowControl w:val="0"/>
        <w:rPr>
          <w:rFonts w:hint="eastAsia" w:asciiTheme="minorEastAsia" w:hAnsiTheme="minorEastAsia" w:eastAsiaTheme="minorEastAsia"/>
          <w:color w:val="auto"/>
        </w:rPr>
        <w:sectPr>
          <w:pgSz w:w="11906" w:h="16839"/>
          <w:pgMar w:top="1232" w:right="1786" w:bottom="1156" w:left="1786" w:header="850" w:footer="850" w:gutter="0"/>
          <w:cols w:space="720" w:num="1"/>
          <w:docGrid w:linePitch="286" w:charSpace="0"/>
        </w:sectPr>
      </w:pPr>
    </w:p>
    <w:p w14:paraId="34E0E957">
      <w:pPr>
        <w:pStyle w:val="4"/>
        <w:jc w:val="center"/>
        <w:rPr>
          <w:rFonts w:hint="eastAsia" w:asciiTheme="minorEastAsia" w:hAnsiTheme="minorEastAsia" w:eastAsiaTheme="minorEastAsia"/>
          <w:color w:val="auto"/>
        </w:rPr>
      </w:pPr>
      <w:bookmarkStart w:id="2" w:name="bookmark81"/>
      <w:bookmarkEnd w:id="2"/>
      <w:bookmarkStart w:id="3" w:name="_Toc24535"/>
      <w:r>
        <w:rPr>
          <w:rFonts w:asciiTheme="minorEastAsia" w:hAnsiTheme="minorEastAsia"/>
        </w:rPr>
        <w:t>二、采购</w:t>
      </w:r>
      <w:r>
        <w:rPr>
          <w:rFonts w:hint="eastAsia" w:asciiTheme="minorEastAsia" w:hAnsiTheme="minorEastAsia"/>
          <w:lang w:eastAsia="zh-CN"/>
        </w:rPr>
        <w:t>要</w:t>
      </w:r>
      <w:r>
        <w:rPr>
          <w:rFonts w:asciiTheme="minorEastAsia" w:hAnsiTheme="minorEastAsia"/>
        </w:rPr>
        <w:t>求</w:t>
      </w:r>
      <w:bookmarkEnd w:id="3"/>
    </w:p>
    <w:p w14:paraId="0C729C81">
      <w:pPr>
        <w:pStyle w:val="5"/>
        <w:pageBreakBefore w:val="0"/>
        <w:widowControl/>
        <w:kinsoku w:val="0"/>
        <w:wordWrap/>
        <w:overflowPunct/>
        <w:topLinePunct w:val="0"/>
        <w:autoSpaceDE w:val="0"/>
        <w:autoSpaceDN w:val="0"/>
        <w:bidi w:val="0"/>
        <w:adjustRightInd w:val="0"/>
        <w:snapToGrid w:val="0"/>
        <w:spacing w:line="500" w:lineRule="exact"/>
        <w:textAlignment w:val="baseline"/>
        <w:rPr>
          <w:rFonts w:hint="eastAsia" w:asciiTheme="minorEastAsia" w:hAnsiTheme="minorEastAsia"/>
          <w:lang w:eastAsia="zh-CN"/>
        </w:rPr>
      </w:pPr>
      <w:bookmarkStart w:id="4" w:name="_Toc22503"/>
      <w:r>
        <w:rPr>
          <w:rFonts w:asciiTheme="minorEastAsia" w:hAnsiTheme="minorEastAsia"/>
          <w:lang w:eastAsia="zh-CN"/>
        </w:rPr>
        <w:t>（一）</w:t>
      </w:r>
      <w:r>
        <w:rPr>
          <w:rFonts w:hint="eastAsia" w:asciiTheme="minorEastAsia" w:hAnsiTheme="minorEastAsia"/>
          <w:lang w:eastAsia="zh-CN"/>
        </w:rPr>
        <w:t>服务</w:t>
      </w:r>
      <w:r>
        <w:rPr>
          <w:rFonts w:asciiTheme="minorEastAsia" w:hAnsiTheme="minorEastAsia"/>
          <w:lang w:eastAsia="zh-CN"/>
        </w:rPr>
        <w:t>需求</w:t>
      </w:r>
      <w:bookmarkEnd w:id="4"/>
    </w:p>
    <w:p w14:paraId="4E085E16">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2" w:firstLineChars="200"/>
        <w:textAlignment w:val="baseline"/>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1、交通位置</w:t>
      </w:r>
    </w:p>
    <w:p w14:paraId="608B8C50">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普查区位于铅山县汪二镇，附近有沪昆高铁、沪昆高速，320国道通过，交通便利。（图1-1）</w:t>
      </w:r>
    </w:p>
    <w:p w14:paraId="20EB8C19">
      <w:pPr>
        <w:spacing w:line="360" w:lineRule="auto"/>
        <w:jc w:val="center"/>
        <w:rPr>
          <w:rFonts w:hint="eastAsia" w:ascii="仿宋" w:hAnsi="仿宋" w:eastAsia="仿宋" w:cs="仿宋"/>
          <w:color w:val="000000"/>
        </w:rPr>
      </w:pPr>
      <w:r>
        <w:drawing>
          <wp:inline distT="0" distB="0" distL="114300" distR="114300">
            <wp:extent cx="4832350" cy="4413250"/>
            <wp:effectExtent l="0" t="0" r="6350" b="635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5"/>
                    <a:stretch>
                      <a:fillRect/>
                    </a:stretch>
                  </pic:blipFill>
                  <pic:spPr>
                    <a:xfrm>
                      <a:off x="0" y="0"/>
                      <a:ext cx="4832350" cy="4413250"/>
                    </a:xfrm>
                    <a:prstGeom prst="rect">
                      <a:avLst/>
                    </a:prstGeom>
                    <a:noFill/>
                    <a:ln>
                      <a:noFill/>
                    </a:ln>
                  </pic:spPr>
                </pic:pic>
              </a:graphicData>
            </a:graphic>
          </wp:inline>
        </w:drawing>
      </w:r>
    </w:p>
    <w:p w14:paraId="24400680">
      <w:pPr>
        <w:spacing w:before="196" w:line="240" w:lineRule="auto"/>
        <w:ind w:left="37" w:right="239"/>
        <w:jc w:val="center"/>
        <w:rPr>
          <w:rFonts w:hint="eastAsia" w:ascii="仿宋" w:hAnsi="仿宋" w:eastAsia="仿宋" w:cs="仿宋"/>
          <w:b w:val="0"/>
          <w:bCs w:val="0"/>
          <w:color w:val="000000"/>
          <w:sz w:val="21"/>
          <w:szCs w:val="21"/>
        </w:rPr>
      </w:pPr>
      <w:r>
        <w:rPr>
          <w:rFonts w:hint="eastAsia" w:ascii="仿宋" w:hAnsi="仿宋" w:eastAsia="仿宋" w:cs="仿宋"/>
          <w:b w:val="0"/>
          <w:bCs w:val="0"/>
          <w:spacing w:val="-5"/>
          <w:sz w:val="21"/>
          <w:szCs w:val="21"/>
        </w:rPr>
        <w:t>1-市；2-县；3-乡、镇；4-铁路； 5-高速； 6</w:t>
      </w:r>
      <w:r>
        <w:rPr>
          <w:rFonts w:hint="eastAsia" w:ascii="仿宋" w:hAnsi="仿宋" w:eastAsia="仿宋" w:cs="仿宋"/>
          <w:b w:val="0"/>
          <w:bCs w:val="0"/>
          <w:spacing w:val="-6"/>
          <w:sz w:val="21"/>
          <w:szCs w:val="21"/>
        </w:rPr>
        <w:t>-省道； 7-县道； 8-乡道； 9-湖泊； 10-水系；</w:t>
      </w:r>
      <w:r>
        <w:rPr>
          <w:rFonts w:hint="eastAsia" w:ascii="仿宋" w:hAnsi="仿宋" w:eastAsia="仿宋" w:cs="仿宋"/>
          <w:b w:val="0"/>
          <w:bCs w:val="0"/>
          <w:sz w:val="21"/>
          <w:szCs w:val="21"/>
        </w:rPr>
        <w:t xml:space="preserve"> </w:t>
      </w:r>
      <w:r>
        <w:rPr>
          <w:rFonts w:hint="eastAsia" w:ascii="仿宋" w:hAnsi="仿宋" w:eastAsia="仿宋" w:cs="仿宋"/>
          <w:b w:val="0"/>
          <w:bCs w:val="0"/>
          <w:spacing w:val="-3"/>
          <w:sz w:val="21"/>
          <w:szCs w:val="21"/>
        </w:rPr>
        <w:t>11-县界； 12-工作区</w:t>
      </w:r>
    </w:p>
    <w:p w14:paraId="49C69BB5">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0" w:firstLineChars="20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图1-1  普查区交通位置图</w:t>
      </w:r>
    </w:p>
    <w:p w14:paraId="3695A6EE">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2" w:firstLineChars="200"/>
        <w:textAlignment w:val="baseline"/>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2、地质概况</w:t>
      </w:r>
    </w:p>
    <w:p w14:paraId="32738EA7">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2" w:firstLineChars="200"/>
        <w:textAlignment w:val="baseline"/>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2.1 地层</w:t>
      </w:r>
    </w:p>
    <w:p w14:paraId="7E54965D">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2.1.1 工作区出露地层主要为侏罗系水北组（J1s）白垩系打鼓顶组（K1d）、鹅湖岭组（K1e）、石溪组（K1s）等，火山熔岩、火山碎屑岩与碎屑沉积岩成互层产出。</w:t>
      </w:r>
    </w:p>
    <w:p w14:paraId="6DF399AB">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2.1.2 水北组（J1s）为普查区主要含矿地层，岩性为长石石英砂岩夹灰黑色、黑色炭质粉砂岩。沿盆地呈北北东走向，倾向南 170~230 °分布，倾角14 ~57 °。岩石中可见碳酸盐化、黄铁矿化蚀变现象。局部可见团块状、脉状、网状方解石及块状、粒状黄铁矿，见有灰白色、灰色石英斑岩侵入。</w:t>
      </w:r>
    </w:p>
    <w:p w14:paraId="2A42B7BE">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2.1.3 打鼓顶组（K1d）为紫红色砂砾岩、含砾粗砂岩、粉砂岩，次要有脉石英和硅质岩。局部地段岩石有褪色(灰白、灰绿色)现象、紫色熔结灰岩。</w:t>
      </w:r>
    </w:p>
    <w:p w14:paraId="55C96106">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2.1.4 鹅湖岭组(K1e)底部多为黄褐色含砾凝灰质砂岩、砂砾岩，往上为不含砾粗粒、细粒凝灰质砂岩，凝灰质粉砂岩。其中长石矿物多包高岭石-迪开石化，岩石局部见强烈硅化。与下伏地层之间为断裂接触。</w:t>
      </w:r>
    </w:p>
    <w:p w14:paraId="06049B84">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2.1.5 石溪组（K1s）为砾岩、砂砾岩、含砾砂岩、砂岩、粉砂岩、粉砂质泥岩、泥岩，底部常见灰白色石英质砾岩，与含砾长石石英砂岩互层，泥岩常与粉砂岩互层。其中上部常见火山碎裂岩类夹层。</w:t>
      </w:r>
    </w:p>
    <w:p w14:paraId="71320173">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2" w:firstLineChars="200"/>
        <w:textAlignment w:val="baseline"/>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2.2 构造</w:t>
      </w:r>
    </w:p>
    <w:p w14:paraId="365842B4">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2"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 xml:space="preserve">2.2.1 </w:t>
      </w:r>
      <w:r>
        <w:rPr>
          <w:rFonts w:hint="eastAsia" w:ascii="宋体" w:hAnsi="宋体" w:eastAsia="宋体" w:cs="宋体"/>
          <w:color w:val="auto"/>
          <w:sz w:val="24"/>
          <w:szCs w:val="24"/>
          <w:highlight w:val="none"/>
          <w:lang w:val="en-US" w:eastAsia="zh-CN"/>
        </w:rPr>
        <w:t>区域上构造推挤和断隆分异形成了褶皱、逆冲推覆及断陷盆地。</w:t>
      </w:r>
    </w:p>
    <w:p w14:paraId="6527D9F6">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2"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 xml:space="preserve">2.2.2 </w:t>
      </w:r>
      <w:r>
        <w:rPr>
          <w:rFonts w:hint="eastAsia" w:ascii="宋体" w:hAnsi="宋体" w:eastAsia="宋体" w:cs="宋体"/>
          <w:color w:val="auto"/>
          <w:sz w:val="24"/>
          <w:szCs w:val="24"/>
          <w:highlight w:val="none"/>
          <w:lang w:val="en-US" w:eastAsia="zh-CN"/>
        </w:rPr>
        <w:t>工作区断裂构造发育，组合形态复杂。按形成时间及活动标志，可分为燕山早期挤压推覆断裂体系和燕山晚期张性滑覆断裂体系。</w:t>
      </w:r>
    </w:p>
    <w:p w14:paraId="5AE85D48">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2"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 xml:space="preserve">2.2.3 </w:t>
      </w:r>
      <w:r>
        <w:rPr>
          <w:rFonts w:hint="eastAsia" w:ascii="宋体" w:hAnsi="宋体" w:eastAsia="宋体" w:cs="宋体"/>
          <w:color w:val="auto"/>
          <w:sz w:val="24"/>
          <w:szCs w:val="24"/>
          <w:highlight w:val="none"/>
          <w:lang w:val="en-US" w:eastAsia="zh-CN"/>
        </w:rPr>
        <w:t>前者为成矿前断裂体系，其中早期的配套张性断裂控制了花岗斑岩等群脉的侵位和面状“硅化域”的展布；后者经历了不同阶段的发育和构造形式的转变；根据控矿、蚀变和相互交切情况又可分矿前引张滑覆断裂系和矿后重力滑覆断裂系。矿前引张断裂体系及其以前的配套张性断裂控制了矿床内霏细岩及其稍后衍生的隐爆角砾岩系、钼银多金属矿化的产出。</w:t>
      </w:r>
    </w:p>
    <w:p w14:paraId="2A0B8FAC">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2" w:firstLineChars="200"/>
        <w:textAlignment w:val="baseline"/>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2.3 岩浆岩</w:t>
      </w:r>
    </w:p>
    <w:p w14:paraId="002AAFD4">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2"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 xml:space="preserve">2.3.1 </w:t>
      </w:r>
      <w:r>
        <w:rPr>
          <w:rFonts w:hint="eastAsia" w:ascii="宋体" w:hAnsi="宋体" w:eastAsia="宋体" w:cs="宋体"/>
          <w:color w:val="auto"/>
          <w:sz w:val="24"/>
          <w:szCs w:val="24"/>
          <w:highlight w:val="none"/>
          <w:lang w:val="en-US" w:eastAsia="zh-CN"/>
        </w:rPr>
        <w:t>工作区矿床范围次火山岩分布广、种类多，主要为燕山早期造山系列的中一酸性次火山岩，如安山玢岩、闪长玢岩、英安岩、英安斑岩、花岗斑岩、石英斑岩、霏细岩、霏细斑岩。次为燕山晚期拉张系列的基性、碱性次火山岩，如辉绿岩、辉长岩、粗面斑岩。</w:t>
      </w:r>
    </w:p>
    <w:p w14:paraId="46FFAC66">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2"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 xml:space="preserve">2.4  </w:t>
      </w:r>
      <w:r>
        <w:rPr>
          <w:rFonts w:hint="eastAsia" w:ascii="宋体" w:hAnsi="宋体" w:eastAsia="宋体" w:cs="宋体"/>
          <w:color w:val="auto"/>
          <w:sz w:val="24"/>
          <w:szCs w:val="24"/>
          <w:highlight w:val="none"/>
          <w:lang w:val="en-US" w:eastAsia="zh-CN"/>
        </w:rPr>
        <w:t>矿化体特征</w:t>
      </w:r>
    </w:p>
    <w:p w14:paraId="3FF135BE">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2"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 xml:space="preserve">2.4.1 </w:t>
      </w:r>
      <w:r>
        <w:rPr>
          <w:rFonts w:hint="eastAsia" w:ascii="宋体" w:hAnsi="宋体" w:eastAsia="宋体" w:cs="宋体"/>
          <w:color w:val="auto"/>
          <w:sz w:val="24"/>
          <w:szCs w:val="24"/>
          <w:highlight w:val="none"/>
          <w:lang w:val="en-US" w:eastAsia="zh-CN"/>
        </w:rPr>
        <w:t>工作区发现的钼银矿（化）带受控于碎裂化蚀变带控制，钼银矿带产状与碎裂化带基本一致。</w:t>
      </w:r>
    </w:p>
    <w:p w14:paraId="178B54A7">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2" w:firstLineChars="200"/>
        <w:textAlignment w:val="baseline"/>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3、工作量</w:t>
      </w:r>
    </w:p>
    <w:p w14:paraId="7573B0AE">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钻探工程设计2700米/13 孔(75°斜孔)，孔深在0-300米内。</w:t>
      </w:r>
    </w:p>
    <w:p w14:paraId="3CFDD55A">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2" w:firstLineChars="200"/>
        <w:textAlignment w:val="baseline"/>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4、技术要求</w:t>
      </w:r>
    </w:p>
    <w:p w14:paraId="684A908B">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钻探工程践行一孔多用的原则。采用金刚石钻进、绳索取芯工艺，钻孔施工和质量管理严格按《固体矿产勘查工作规范GB∕T 33444-2020》中的钻探六大指标进行控制。</w:t>
      </w:r>
    </w:p>
    <w:p w14:paraId="0C593772">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4.1 岩矿心采取率：钻孔穿矿孔径不小于75mm，平均岩心采取率≥75%，矿心及矿体顶底板5米采取率≥85%。</w:t>
      </w:r>
    </w:p>
    <w:p w14:paraId="05F52D1A">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4.2 钻孔弯曲与测量间距：钻进25米测量一次顶角和方位角，然后每钻进50米测量一次顶角和方位角，要求每100米顶角偏斜不应超过3°，如果发现偏斜过大，立即纠正，穿矿方位偏线距不超过25米。</w:t>
      </w:r>
    </w:p>
    <w:p w14:paraId="1ADD1400">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4.3 孔深误差测量与校正：每钻进100米及其倍数时进出矿层时（矿层厚度小于5m时，只测量一次）和终孔后校正一次孔深。孔深误差小于1‰时可不修正报表，孔深误差大于1‰时要修正报表。孔深误差率按下列公式计算：孔深误差率=[∣（校正前的孔深-校正后的孔深）∣/校正后的孔深]×1000‰。</w:t>
      </w:r>
    </w:p>
    <w:p w14:paraId="34662119">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4.4 简易水文观测：设计钻孔使用清水钻进，要求每小班至少观测孔内水位一次。每次观测中，提钻后、下钻前各测量一次水位，间隔时间应大于5分钟。终孔后测量稳定水位。在钻进过程中如遇涌水、漏水、涌砂、掉块、坍塌、缩径、逸气、裂隙、溶洞及钻杆坠落等异常现象时，应及时记录其深度。另外，孔内发现热水，应测量孔口和孔底温度。</w:t>
      </w:r>
    </w:p>
    <w:p w14:paraId="554AA8F8">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4.5 原始报表：包括钻探班报表（含简易水文观测记录表）、交接班记录表。要求各班应指定专人在现场及时填写原始报表，做到真实、齐全、准确、整洁。</w:t>
      </w:r>
    </w:p>
    <w:p w14:paraId="55ECE14D">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4.6 封孔：临近终孔项目部探矿工程师根据地质工程师提供的实际钻孔柱状图和封孔要求，编写封孔设计，然后交机台实施封孔。机台应按照封孔设计的要求严格执行。封孔后，应在孔口中心处设立水泥标桩，写明孔号、施工单位及日期。封孔后，机长应将钻孔封孔设计和封孔记录送交探矿工程师和项目部存档。</w:t>
      </w:r>
    </w:p>
    <w:p w14:paraId="3B223FFE">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用规范岩心箱按顺序装好岩心，并按要求对岩心葙及岩心进行编号，及时将岩心箱抬到指定存放位置，野外验收结束后搬运到大队（或业主指定处）岩芯库存放。</w:t>
      </w:r>
    </w:p>
    <w:p w14:paraId="3C5CB66D">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钻孔验收：根据填写好的《终孔验收报告书》，会同实施单位监审人员和项目部地质、水文、探矿、安全部门及机台，依据岩芯钻探六大指标进行钻孔的评定验收。  </w:t>
      </w:r>
    </w:p>
    <w:p w14:paraId="7FADF62A">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4.7 绿色勘查：施工场地依据现场地形条件进行分区布置，以满足减小环境影响和安全文明施工为原则，严格控制场地平整使用土地面积。施工主要设备及配套技术具有施工操作安全简便、劳动强度低、生产效率高，工程质量好、节能减排和安全环保等特点。施工采用无固相或低固相的优质环保浆液，泥浆材料及处理剂具备无毒无害、可自然降解性能，符合环保标准要求。加强循环液的现场使用管理，做好施工中防渗、护壁及净化处理，预防浆液使用中造成地面及地下污染。施工现场场地平整中彻底清除场地上污染物，废浆、废液进行固化处理，深埋于开挖的坑、池底部，上部回填无污染的土壤。</w:t>
      </w:r>
    </w:p>
    <w:p w14:paraId="5C8D0838">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道路实地布设中以占地面积小、土石方工程量小为优选方案，道路线位应对地质灾害实施避让；场地宜选择在自然平坦、无自然灾害、无安全隐患地段，如在较陡峭地段时，进行边坡挂绿网防护。 </w:t>
      </w:r>
    </w:p>
    <w:p w14:paraId="58632202">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施工完后按绿色勘查实施方案，开展复垦复绿，钻机机坪台种植松树、杉木等。</w:t>
      </w:r>
    </w:p>
    <w:p w14:paraId="4D7E6403">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0" w:firstLineChars="200"/>
        <w:textAlignment w:val="baseline"/>
        <w:rPr>
          <w:rFonts w:hint="eastAsia" w:ascii="宋体" w:hAnsi="宋体" w:eastAsia="宋体" w:cs="宋体"/>
          <w:color w:val="auto"/>
          <w:sz w:val="24"/>
          <w:szCs w:val="24"/>
          <w:highlight w:val="none"/>
          <w:lang w:val="en-US" w:eastAsia="zh-CN"/>
        </w:rPr>
      </w:pPr>
    </w:p>
    <w:p w14:paraId="44A3703D">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2" w:firstLineChars="200"/>
        <w:textAlignment w:val="baseline"/>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5、人员要求：须为本项目配备1名项目负责人，1名技术负责人，3名技术人员。</w:t>
      </w:r>
    </w:p>
    <w:p w14:paraId="7DF38511">
      <w:pPr>
        <w:keepNext w:val="0"/>
        <w:keepLines w:val="0"/>
        <w:pageBreakBefore w:val="0"/>
        <w:widowControl w:val="0"/>
        <w:kinsoku w:val="0"/>
        <w:wordWrap/>
        <w:overflowPunct/>
        <w:topLinePunct w:val="0"/>
        <w:autoSpaceDE w:val="0"/>
        <w:autoSpaceDN w:val="0"/>
        <w:bidi w:val="0"/>
        <w:adjustRightInd w:val="0"/>
        <w:snapToGrid w:val="0"/>
        <w:spacing w:line="500" w:lineRule="atLeast"/>
        <w:ind w:left="0" w:leftChars="0" w:firstLine="480" w:firstLineChars="200"/>
        <w:textAlignment w:val="baseline"/>
        <w:rPr>
          <w:rFonts w:hint="eastAsia" w:ascii="宋体" w:hAnsi="宋体" w:eastAsia="宋体" w:cs="宋体"/>
          <w:color w:val="auto"/>
          <w:sz w:val="24"/>
          <w:szCs w:val="24"/>
          <w:highlight w:val="none"/>
          <w:lang w:val="en-US" w:eastAsia="zh-CN"/>
        </w:rPr>
      </w:pPr>
    </w:p>
    <w:p w14:paraId="5B2CB951">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pacing w:val="2"/>
          <w:kern w:val="0"/>
          <w:sz w:val="24"/>
          <w:szCs w:val="24"/>
          <w:highlight w:val="none"/>
        </w:rPr>
        <w:t>注：以上</w:t>
      </w:r>
      <w:r>
        <w:rPr>
          <w:rFonts w:hint="eastAsia" w:ascii="宋体" w:hAnsi="宋体" w:eastAsia="宋体" w:cs="宋体"/>
          <w:b/>
          <w:bCs/>
          <w:color w:val="auto"/>
          <w:spacing w:val="2"/>
          <w:kern w:val="0"/>
          <w:sz w:val="24"/>
          <w:szCs w:val="24"/>
          <w:highlight w:val="none"/>
          <w:lang w:val="en-US" w:eastAsia="zh-CN"/>
        </w:rPr>
        <w:t>服务需求</w:t>
      </w:r>
      <w:r>
        <w:rPr>
          <w:rFonts w:hint="eastAsia" w:ascii="宋体" w:hAnsi="宋体" w:eastAsia="宋体" w:cs="宋体"/>
          <w:b/>
          <w:bCs/>
          <w:color w:val="auto"/>
          <w:spacing w:val="2"/>
          <w:kern w:val="0"/>
          <w:sz w:val="24"/>
          <w:szCs w:val="24"/>
          <w:highlight w:val="none"/>
        </w:rPr>
        <w:t>为实质性条款须完全响应，否则</w:t>
      </w:r>
      <w:r>
        <w:rPr>
          <w:rFonts w:hint="eastAsia" w:ascii="宋体" w:hAnsi="宋体" w:eastAsia="宋体" w:cs="宋体"/>
          <w:b/>
          <w:bCs/>
          <w:color w:val="auto"/>
          <w:spacing w:val="2"/>
          <w:kern w:val="0"/>
          <w:sz w:val="24"/>
          <w:szCs w:val="24"/>
          <w:highlight w:val="none"/>
          <w:lang w:val="en-US" w:eastAsia="zh-CN"/>
        </w:rPr>
        <w:t>视为无效响应</w:t>
      </w:r>
      <w:r>
        <w:rPr>
          <w:rFonts w:hint="eastAsia" w:ascii="宋体" w:hAnsi="宋体" w:eastAsia="宋体" w:cs="宋体"/>
          <w:b/>
          <w:bCs/>
          <w:color w:val="auto"/>
          <w:spacing w:val="2"/>
          <w:kern w:val="0"/>
          <w:sz w:val="24"/>
          <w:szCs w:val="24"/>
          <w:highlight w:val="none"/>
        </w:rPr>
        <w:t>。</w:t>
      </w:r>
    </w:p>
    <w:p w14:paraId="727541B8">
      <w:pPr>
        <w:rPr>
          <w:rFonts w:hint="eastAsia" w:ascii="宋体" w:hAnsi="宋体" w:eastAsia="宋体" w:cs="宋体"/>
          <w:color w:val="auto"/>
          <w:sz w:val="24"/>
          <w:szCs w:val="24"/>
          <w:highlight w:val="none"/>
          <w:lang w:val="en-US" w:eastAsia="zh-CN"/>
        </w:rPr>
      </w:pPr>
      <w:bookmarkStart w:id="5" w:name="_GoBack"/>
      <w:bookmarkEnd w:id="5"/>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32D29B0"/>
    <w:rsid w:val="67BB37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1"/>
    <w:basedOn w:val="1"/>
    <w:next w:val="1"/>
    <w:qFormat/>
    <w:uiPriority w:val="0"/>
    <w:pPr>
      <w:keepNext/>
      <w:keepLines/>
      <w:widowControl w:val="0"/>
      <w:spacing w:before="120" w:after="120" w:line="360" w:lineRule="auto"/>
      <w:jc w:val="center"/>
      <w:outlineLvl w:val="0"/>
    </w:pPr>
    <w:rPr>
      <w:rFonts w:ascii="宋体" w:hAnsi="宋体" w:eastAsia="宋体" w:cs="Times New Roman"/>
      <w:b/>
      <w:bCs/>
      <w:kern w:val="44"/>
      <w:sz w:val="30"/>
      <w:szCs w:val="24"/>
    </w:rPr>
  </w:style>
  <w:style w:type="paragraph" w:styleId="4">
    <w:name w:val="heading 2"/>
    <w:basedOn w:val="1"/>
    <w:next w:val="1"/>
    <w:qFormat/>
    <w:uiPriority w:val="0"/>
    <w:pPr>
      <w:keepNext/>
      <w:keepLines/>
      <w:spacing w:line="360" w:lineRule="auto"/>
      <w:outlineLvl w:val="1"/>
    </w:pPr>
    <w:rPr>
      <w:rFonts w:ascii="宋体" w:hAnsi="宋体" w:eastAsiaTheme="minorEastAsia"/>
      <w:b/>
      <w:bCs/>
      <w:sz w:val="24"/>
      <w:szCs w:val="32"/>
    </w:rPr>
  </w:style>
  <w:style w:type="paragraph" w:styleId="5">
    <w:name w:val="heading 3"/>
    <w:basedOn w:val="1"/>
    <w:next w:val="1"/>
    <w:unhideWhenUsed/>
    <w:qFormat/>
    <w:uiPriority w:val="0"/>
    <w:pPr>
      <w:keepNext/>
      <w:keepLines/>
      <w:spacing w:line="360" w:lineRule="auto"/>
      <w:outlineLvl w:val="2"/>
    </w:pPr>
    <w:rPr>
      <w:rFonts w:ascii="宋体" w:hAnsi="宋体" w:eastAsiaTheme="minorEastAsia"/>
      <w:b/>
      <w:bCs/>
      <w:sz w:val="24"/>
      <w:szCs w:val="32"/>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customStyle="1" w:styleId="2">
    <w:name w:val="表格文字"/>
    <w:basedOn w:val="1"/>
    <w:qFormat/>
    <w:uiPriority w:val="0"/>
    <w:pPr>
      <w:textAlignment w:val="top"/>
    </w:pPr>
    <w:rPr>
      <w:rFonts w:eastAsia="仿宋"/>
      <w:sz w:val="18"/>
      <w:szCs w:val="24"/>
    </w:rPr>
  </w:style>
  <w:style w:type="table" w:customStyle="1" w:styleId="8">
    <w:name w:val="Table Normal"/>
    <w:autoRedefine/>
    <w:semiHidden/>
    <w:unhideWhenUsed/>
    <w:qFormat/>
    <w:uiPriority w:val="0"/>
    <w:tblPr>
      <w:tblCellMar>
        <w:top w:w="0" w:type="dxa"/>
        <w:left w:w="0" w:type="dxa"/>
        <w:bottom w:w="0" w:type="dxa"/>
        <w:right w:w="0" w:type="dxa"/>
      </w:tblCellMar>
    </w:tblPr>
  </w:style>
  <w:style w:type="paragraph" w:customStyle="1" w:styleId="9">
    <w:name w:val="Table Text"/>
    <w:basedOn w:val="1"/>
    <w:autoRedefine/>
    <w:semiHidden/>
    <w:qFormat/>
    <w:uiPriority w:val="0"/>
  </w:style>
  <w:style w:type="paragraph" w:customStyle="1" w:styleId="10">
    <w:name w:val="正文3"/>
    <w:basedOn w:val="1"/>
    <w:qFormat/>
    <w:uiPriority w:val="0"/>
    <w:pPr>
      <w:spacing w:line="273" w:lineRule="auto"/>
      <w:contextualSpacing/>
    </w:pPr>
    <w:rPr>
      <w:rFonts w:ascii="Arial" w:hAnsi="Arial" w:cs="Arial"/>
      <w:color w:val="000000"/>
      <w:sz w:val="22"/>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3328</Words>
  <Characters>3488</Characters>
  <Lines>0</Lines>
  <Paragraphs>0</Paragraphs>
  <TotalTime>0</TotalTime>
  <ScaleCrop>false</ScaleCrop>
  <LinksUpToDate>false</LinksUpToDate>
  <CharactersWithSpaces>3535</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2026-06-08T08:37:00Z</dcterms:created>
  <dc:creator>Administrator</dc:creator>
  <cp:lastModifiedBy>cxwy.</cp:lastModifiedBy>
  <dcterms:modified xsi:type="dcterms:W3CDTF">2026-06-08T08:42:08Z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eyJoZGlkIjoiNDMyN2NhODcxZmY3NDE0MmJmMTkwNzhkMTVhY2JlNDEiLCJ1c2VySWQiOiIxNjYyNDExMjYzIn0=</vt:lpwstr>
  </property>
  <property fmtid="{D5CDD505-2E9C-101B-9397-08002B2CF9AE}" pid="4" name="ICV">
    <vt:lpwstr>3FE1BA689E5C43D695CA56FCA38F2F4E_12</vt:lpwstr>
  </property>
</Properties>
</file>