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F3CE12">
      <w:pPr>
        <w:keepNext w:val="0"/>
        <w:keepLines w:val="0"/>
        <w:pageBreakBefore w:val="0"/>
        <w:widowControl w:val="0"/>
        <w:numPr>
          <w:ilvl w:val="0"/>
          <w:numId w:val="1"/>
        </w:numPr>
        <w:kinsoku/>
        <w:wordWrap/>
        <w:overflowPunct/>
        <w:topLinePunct w:val="0"/>
        <w:autoSpaceDE/>
        <w:autoSpaceDN/>
        <w:bidi w:val="0"/>
        <w:adjustRightInd w:val="0"/>
        <w:snapToGrid/>
        <w:spacing w:line="360" w:lineRule="auto"/>
        <w:textAlignment w:val="auto"/>
        <w:rPr>
          <w:rFonts w:hint="eastAsia" w:ascii="宋体" w:hAnsi="宋体" w:cs="宋体"/>
          <w:b/>
          <w:bCs/>
          <w:color w:val="000000"/>
          <w:sz w:val="28"/>
          <w:szCs w:val="28"/>
        </w:rPr>
      </w:pPr>
      <w:bookmarkStart w:id="0" w:name="OLE_LINK11"/>
      <w:r>
        <w:rPr>
          <w:rFonts w:hint="eastAsia" w:ascii="宋体" w:hAnsi="宋体" w:cs="宋体"/>
          <w:b/>
          <w:bCs/>
          <w:color w:val="000000"/>
          <w:sz w:val="28"/>
          <w:szCs w:val="28"/>
        </w:rPr>
        <w:t>服务要求</w:t>
      </w:r>
      <w:bookmarkStart w:id="1" w:name="_Toc147844478"/>
    </w:p>
    <w:bookmarkEnd w:id="0"/>
    <w:bookmarkEnd w:id="1"/>
    <w:p w14:paraId="6B44AE84">
      <w:pPr>
        <w:keepNext w:val="0"/>
        <w:keepLines w:val="0"/>
        <w:pageBreakBefore w:val="0"/>
        <w:widowControl w:val="0"/>
        <w:kinsoku/>
        <w:wordWrap/>
        <w:overflowPunct/>
        <w:topLinePunct w:val="0"/>
        <w:autoSpaceDE/>
        <w:autoSpaceDN/>
        <w:bidi w:val="0"/>
        <w:snapToGrid/>
        <w:spacing w:line="360" w:lineRule="auto"/>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1.供应商需要承担涉及到食堂经营管理、服务的人工费、管理费、税费等所有相关费用。</w:t>
      </w:r>
    </w:p>
    <w:p w14:paraId="2823274D">
      <w:pPr>
        <w:keepNext w:val="0"/>
        <w:keepLines w:val="0"/>
        <w:pageBreakBefore w:val="0"/>
        <w:widowControl w:val="0"/>
        <w:kinsoku/>
        <w:wordWrap/>
        <w:overflowPunct/>
        <w:topLinePunct w:val="0"/>
        <w:autoSpaceDE/>
        <w:autoSpaceDN/>
        <w:bidi w:val="0"/>
        <w:snapToGrid/>
        <w:spacing w:line="360" w:lineRule="auto"/>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2.经营要求：</w:t>
      </w:r>
    </w:p>
    <w:p w14:paraId="5DE2AD73">
      <w:pPr>
        <w:keepNext w:val="0"/>
        <w:keepLines w:val="0"/>
        <w:pageBreakBefore w:val="0"/>
        <w:widowControl w:val="0"/>
        <w:kinsoku/>
        <w:wordWrap/>
        <w:overflowPunct/>
        <w:topLinePunct w:val="0"/>
        <w:autoSpaceDE/>
        <w:autoSpaceDN/>
        <w:bidi w:val="0"/>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2.1食堂管理工作职责：</w:t>
      </w:r>
    </w:p>
    <w:p w14:paraId="319225A4">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2.1.1根据采购人需要，提供工作日及节假日早、中、晚三餐；</w:t>
      </w:r>
    </w:p>
    <w:p w14:paraId="04062F57">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早餐：多样化，以面点（油条/麻圆/包、花卷/馒头）、炒粉、配粥、豆浆例汤，及汤粉（面）、炒粉（面）等为主，每天至少提供 10 个品种自由干湿搭配。</w:t>
      </w:r>
    </w:p>
    <w:p w14:paraId="0DF05CF0">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中餐：按厨师长提前一周出具的菜单供应，营养和口味均衡搭配，每天保障各类菜品不少于 8 个，含主荤、花荤、素菜、例汤、小菜等，逐步增加品种。</w:t>
      </w:r>
    </w:p>
    <w:p w14:paraId="27669A63">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晚餐：按晚餐菜单提前下单（一个月内提供晚餐未达到20个日历日，扣减20%当月服务费）。</w:t>
      </w:r>
    </w:p>
    <w:p w14:paraId="35E199DB">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 xml:space="preserve">2.1.2每周提供面点订购工作 </w:t>
      </w:r>
      <w:r>
        <w:rPr>
          <w:rFonts w:hint="eastAsia" w:ascii="宋体" w:hAnsi="宋体" w:eastAsia="宋体" w:cs="宋体"/>
          <w:color w:val="000000"/>
          <w:sz w:val="24"/>
          <w:szCs w:val="24"/>
          <w:highlight w:val="none"/>
          <w:lang w:val="en-US" w:eastAsia="zh-CN"/>
        </w:rPr>
        <w:t>5</w:t>
      </w:r>
      <w:r>
        <w:rPr>
          <w:rFonts w:hint="default" w:ascii="宋体" w:hAnsi="宋体" w:eastAsia="宋体" w:cs="宋体"/>
          <w:color w:val="000000"/>
          <w:sz w:val="24"/>
          <w:szCs w:val="24"/>
          <w:highlight w:val="none"/>
          <w:lang w:val="en-US"/>
        </w:rPr>
        <w:t>次，</w:t>
      </w:r>
      <w:r>
        <w:rPr>
          <w:rFonts w:hint="eastAsia" w:ascii="宋体" w:hAnsi="宋体" w:eastAsia="宋体" w:cs="宋体"/>
          <w:color w:val="000000"/>
          <w:sz w:val="24"/>
          <w:szCs w:val="24"/>
          <w:highlight w:val="none"/>
          <w:lang w:val="en-US" w:eastAsia="zh-CN"/>
        </w:rPr>
        <w:t>卤菜4次，</w:t>
      </w:r>
      <w:r>
        <w:rPr>
          <w:rFonts w:hint="default" w:ascii="宋体" w:hAnsi="宋体" w:eastAsia="宋体" w:cs="宋体"/>
          <w:color w:val="000000"/>
          <w:sz w:val="24"/>
          <w:szCs w:val="24"/>
          <w:highlight w:val="none"/>
          <w:lang w:val="en-US"/>
        </w:rPr>
        <w:t>员工按要求定量下单，根据运行情况再做调整；</w:t>
      </w:r>
    </w:p>
    <w:p w14:paraId="5883E418">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2.1.3逢节假日订购食堂自制食品，例如：卤味、酱菜、年夜饭等。夏季视职工需求提供减脂餐、下午茶，供应频次、品种及定价须提前报</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审批，未经批准不得擅自供应。</w:t>
      </w:r>
    </w:p>
    <w:p w14:paraId="466DCA7A">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2.1.4配合医院工会组织的活动，食品的提供（例如：各类活动的小吃制作，美食的教学等）；</w:t>
      </w:r>
    </w:p>
    <w:p w14:paraId="676F181B">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rPr>
        <w:t>2.1.5配合并完成医院组织的活动用餐（例如：学术活动、医考等）</w:t>
      </w:r>
      <w:r>
        <w:rPr>
          <w:rFonts w:hint="eastAsia" w:ascii="宋体" w:hAnsi="宋体" w:cs="宋体"/>
          <w:color w:val="000000"/>
          <w:sz w:val="24"/>
          <w:szCs w:val="24"/>
          <w:highlight w:val="none"/>
          <w:lang w:val="en-US" w:eastAsia="zh-CN"/>
        </w:rPr>
        <w:t>；</w:t>
      </w:r>
    </w:p>
    <w:p w14:paraId="3EF2F76B">
      <w:pPr>
        <w:keepNext w:val="0"/>
        <w:keepLines w:val="0"/>
        <w:pageBreakBefore w:val="0"/>
        <w:widowControl w:val="0"/>
        <w:kinsoku/>
        <w:wordWrap/>
        <w:overflowPunct/>
        <w:topLinePunct w:val="0"/>
        <w:autoSpaceDE/>
        <w:autoSpaceDN/>
        <w:bidi w:val="0"/>
        <w:snapToGrid/>
        <w:spacing w:line="360" w:lineRule="auto"/>
        <w:ind w:firstLine="480" w:firstLineChars="200"/>
        <w:textAlignment w:val="auto"/>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2.1.6 其他团餐。</w:t>
      </w:r>
    </w:p>
    <w:p w14:paraId="63F21DFB">
      <w:pPr>
        <w:pStyle w:val="5"/>
        <w:keepNext w:val="0"/>
        <w:keepLines w:val="0"/>
        <w:pageBreakBefore w:val="0"/>
        <w:widowControl w:val="0"/>
        <w:kinsoku/>
        <w:wordWrap/>
        <w:overflowPunct/>
        <w:topLinePunct w:val="0"/>
        <w:autoSpaceDE/>
        <w:autoSpaceDN/>
        <w:bidi w:val="0"/>
        <w:snapToGrid/>
        <w:spacing w:after="0" w:line="360" w:lineRule="auto"/>
        <w:ind w:firstLine="480" w:firstLineChars="200"/>
        <w:textAlignment w:val="auto"/>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2.1.7供应商全部服务仅面向采购人在职职工，严禁对外营业或为非采购人人员提供服务。发现存在此类问题，对采购人造成损失的，成交供应商应全额赔偿并处罚200元/次，且采购人有权解除合同。情节严重的还将移送司法部门处理。</w:t>
      </w:r>
    </w:p>
    <w:p w14:paraId="386D85ED">
      <w:pPr>
        <w:pStyle w:val="5"/>
        <w:keepNext w:val="0"/>
        <w:keepLines w:val="0"/>
        <w:pageBreakBefore w:val="0"/>
        <w:widowControl w:val="0"/>
        <w:kinsoku/>
        <w:wordWrap/>
        <w:overflowPunct/>
        <w:topLinePunct w:val="0"/>
        <w:autoSpaceDE/>
        <w:autoSpaceDN/>
        <w:bidi w:val="0"/>
        <w:snapToGrid/>
        <w:spacing w:after="0" w:line="360" w:lineRule="auto"/>
        <w:ind w:firstLine="480" w:firstLineChars="200"/>
        <w:textAlignment w:val="auto"/>
        <w:rPr>
          <w:rFonts w:hint="default"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2.1.8供应商工作人员原则上按照排班表严格上下班，并且根据就餐情况合理调整排班人数。如需准备会议餐及接待餐，成交供应商应及时安排人员提供服务。</w:t>
      </w:r>
    </w:p>
    <w:p w14:paraId="5F92538E">
      <w:pPr>
        <w:pageBreakBefore w:val="0"/>
        <w:widowControl w:val="0"/>
        <w:kinsoku/>
        <w:wordWrap/>
        <w:overflowPunct/>
        <w:topLinePunct w:val="0"/>
        <w:autoSpaceDE/>
        <w:autoSpaceDN/>
        <w:bidi w:val="0"/>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2.2人员配置</w:t>
      </w:r>
    </w:p>
    <w:tbl>
      <w:tblPr>
        <w:tblStyle w:val="6"/>
        <w:tblpPr w:leftFromText="180" w:rightFromText="180" w:vertAnchor="text" w:horzAnchor="page" w:tblpX="1639" w:tblpY="154"/>
        <w:tblOverlap w:val="never"/>
        <w:tblW w:w="8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26"/>
        <w:gridCol w:w="1581"/>
        <w:gridCol w:w="5892"/>
      </w:tblGrid>
      <w:tr w14:paraId="63432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6" w:hRule="atLeast"/>
        </w:trPr>
        <w:tc>
          <w:tcPr>
            <w:tcW w:w="1526" w:type="dxa"/>
            <w:tcBorders>
              <w:top w:val="single" w:color="000000" w:sz="8" w:space="0"/>
              <w:left w:val="single" w:color="000000" w:sz="4" w:space="0"/>
              <w:bottom w:val="single" w:color="000000" w:sz="4" w:space="0"/>
              <w:right w:val="single" w:color="000000" w:sz="4" w:space="0"/>
            </w:tcBorders>
            <w:noWrap w:val="0"/>
            <w:vAlign w:val="center"/>
          </w:tcPr>
          <w:p w14:paraId="14619537">
            <w:pPr>
              <w:spacing w:line="500" w:lineRule="atLeast"/>
              <w:jc w:val="center"/>
              <w:rPr>
                <w:rFonts w:hint="eastAsia" w:ascii="宋体" w:hAnsi="宋体" w:eastAsia="宋体" w:cs="宋体"/>
                <w:b/>
                <w:bCs/>
                <w:color w:val="000000"/>
                <w:sz w:val="24"/>
                <w:szCs w:val="24"/>
                <w:highlight w:val="none"/>
                <w:lang w:val="en-US"/>
              </w:rPr>
            </w:pPr>
            <w:r>
              <w:rPr>
                <w:rFonts w:hint="eastAsia" w:ascii="宋体" w:hAnsi="宋体" w:eastAsia="宋体" w:cs="宋体"/>
                <w:b/>
                <w:bCs/>
                <w:color w:val="000000"/>
                <w:sz w:val="24"/>
                <w:szCs w:val="24"/>
                <w:highlight w:val="none"/>
                <w:lang w:val="en-US" w:eastAsia="zh-CN"/>
              </w:rPr>
              <w:t>岗位</w:t>
            </w:r>
          </w:p>
        </w:tc>
        <w:tc>
          <w:tcPr>
            <w:tcW w:w="1581" w:type="dxa"/>
            <w:tcBorders>
              <w:top w:val="single" w:color="000000" w:sz="8" w:space="0"/>
              <w:left w:val="single" w:color="000000" w:sz="4" w:space="0"/>
              <w:bottom w:val="single" w:color="000000" w:sz="4" w:space="0"/>
              <w:right w:val="single" w:color="000000" w:sz="4" w:space="0"/>
            </w:tcBorders>
            <w:noWrap w:val="0"/>
            <w:vAlign w:val="center"/>
          </w:tcPr>
          <w:p w14:paraId="33582463">
            <w:pPr>
              <w:spacing w:line="500" w:lineRule="atLeast"/>
              <w:jc w:val="center"/>
              <w:rPr>
                <w:rFonts w:hint="eastAsia" w:ascii="宋体" w:hAnsi="宋体" w:eastAsia="宋体" w:cs="宋体"/>
                <w:b/>
                <w:bCs/>
                <w:color w:val="000000"/>
                <w:sz w:val="24"/>
                <w:szCs w:val="24"/>
                <w:highlight w:val="none"/>
                <w:lang w:val="en-US"/>
              </w:rPr>
            </w:pPr>
            <w:r>
              <w:rPr>
                <w:rFonts w:hint="eastAsia" w:ascii="宋体" w:hAnsi="宋体" w:eastAsia="宋体" w:cs="宋体"/>
                <w:b/>
                <w:bCs/>
                <w:color w:val="000000"/>
                <w:sz w:val="24"/>
                <w:szCs w:val="24"/>
                <w:highlight w:val="none"/>
                <w:lang w:val="en-US" w:eastAsia="zh-CN"/>
              </w:rPr>
              <w:t>拟采购服务人员数量</w:t>
            </w:r>
          </w:p>
        </w:tc>
        <w:tc>
          <w:tcPr>
            <w:tcW w:w="5892" w:type="dxa"/>
            <w:tcBorders>
              <w:top w:val="single" w:color="000000" w:sz="8" w:space="0"/>
              <w:left w:val="single" w:color="000000" w:sz="4" w:space="0"/>
              <w:bottom w:val="single" w:color="000000" w:sz="4" w:space="0"/>
              <w:right w:val="single" w:color="000000" w:sz="4" w:space="0"/>
            </w:tcBorders>
            <w:noWrap w:val="0"/>
            <w:vAlign w:val="center"/>
          </w:tcPr>
          <w:p w14:paraId="186D75F4">
            <w:pPr>
              <w:spacing w:line="500" w:lineRule="atLeast"/>
              <w:jc w:val="center"/>
              <w:rPr>
                <w:rFonts w:hint="eastAsia"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lang w:val="en-US" w:eastAsia="zh-CN"/>
              </w:rPr>
              <w:t>年龄及要求</w:t>
            </w:r>
          </w:p>
        </w:tc>
      </w:tr>
      <w:tr w14:paraId="6CD35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9"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AA4F9">
            <w:pPr>
              <w:spacing w:line="500" w:lineRule="atLeast"/>
              <w:jc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项目经理</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41E894">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w:t>
            </w:r>
          </w:p>
        </w:tc>
        <w:tc>
          <w:tcPr>
            <w:tcW w:w="5892" w:type="dxa"/>
            <w:tcBorders>
              <w:top w:val="single" w:color="000000" w:sz="4" w:space="0"/>
              <w:left w:val="single" w:color="000000" w:sz="4" w:space="0"/>
              <w:bottom w:val="single" w:color="000000" w:sz="4" w:space="0"/>
              <w:right w:val="single" w:color="000000" w:sz="4" w:space="0"/>
            </w:tcBorders>
            <w:noWrap w:val="0"/>
            <w:vAlign w:val="center"/>
          </w:tcPr>
          <w:p w14:paraId="5875BC2D">
            <w:pPr>
              <w:spacing w:line="500" w:lineRule="atLeast"/>
              <w:jc w:val="left"/>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年龄不超过45岁，有过3年以上食堂管理经验，具有大专或以上学历，具备食品安全管理能力和营养搭配专业知识，具备良好的沟通协调能力，团队管理能力和问题解决能力</w:t>
            </w:r>
            <w:r>
              <w:rPr>
                <w:rFonts w:hint="eastAsia" w:ascii="宋体" w:hAnsi="宋体" w:cs="宋体"/>
                <w:color w:val="000000"/>
                <w:sz w:val="24"/>
                <w:szCs w:val="24"/>
                <w:highlight w:val="none"/>
                <w:lang w:val="en-US" w:eastAsia="zh-CN"/>
              </w:rPr>
              <w:t>。</w:t>
            </w:r>
          </w:p>
        </w:tc>
      </w:tr>
      <w:tr w14:paraId="65B06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CD8B7A">
            <w:pPr>
              <w:spacing w:line="500" w:lineRule="atLeast"/>
              <w:jc w:val="center"/>
              <w:rPr>
                <w:rFonts w:hint="eastAsia"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厨师长</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818F4E">
            <w:pPr>
              <w:spacing w:line="500" w:lineRule="atLeast"/>
              <w:jc w:val="center"/>
              <w:rPr>
                <w:rFonts w:hint="eastAsia"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1</w:t>
            </w:r>
          </w:p>
        </w:tc>
        <w:tc>
          <w:tcPr>
            <w:tcW w:w="589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3A22E0">
            <w:pPr>
              <w:spacing w:line="500" w:lineRule="atLeast"/>
              <w:jc w:val="left"/>
              <w:rPr>
                <w:rFonts w:hint="eastAsia"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大型酒店（四星级以上）有过10年上经验，会赣菜，粤菜，湘菜，川菜，杭帮菜，有过10年以上厨师长经验，年龄不超过</w:t>
            </w:r>
            <w:r>
              <w:rPr>
                <w:rFonts w:hint="eastAsia" w:ascii="宋体" w:hAnsi="宋体" w:cs="宋体"/>
                <w:color w:val="000000"/>
                <w:sz w:val="24"/>
                <w:szCs w:val="24"/>
                <w:highlight w:val="none"/>
                <w:lang w:val="en-US" w:eastAsia="zh-CN"/>
              </w:rPr>
              <w:t>60</w:t>
            </w:r>
            <w:r>
              <w:rPr>
                <w:rFonts w:hint="eastAsia" w:ascii="宋体" w:hAnsi="宋体" w:eastAsia="宋体" w:cs="宋体"/>
                <w:color w:val="000000"/>
                <w:sz w:val="24"/>
                <w:szCs w:val="24"/>
                <w:highlight w:val="none"/>
                <w:lang w:val="en-US" w:eastAsia="zh-CN"/>
              </w:rPr>
              <w:t>岁。厨师长原则上保持稳定，确需更换须经采购人同意，每年更换不超过一次。</w:t>
            </w:r>
          </w:p>
        </w:tc>
      </w:tr>
      <w:tr w14:paraId="5A00A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2"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BD4E17">
            <w:pPr>
              <w:spacing w:line="500" w:lineRule="atLeast"/>
              <w:jc w:val="center"/>
              <w:rPr>
                <w:rFonts w:hint="eastAsia"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切配师</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F0F950">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4</w:t>
            </w:r>
          </w:p>
        </w:tc>
        <w:tc>
          <w:tcPr>
            <w:tcW w:w="589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9A1617">
            <w:pPr>
              <w:spacing w:line="500" w:lineRule="atLeast"/>
              <w:jc w:val="left"/>
              <w:rPr>
                <w:rFonts w:hint="eastAsia"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5年以上切配经验，熟悉各种菜品搭，年龄不超过</w:t>
            </w:r>
            <w:r>
              <w:rPr>
                <w:rFonts w:hint="eastAsia" w:ascii="宋体" w:hAnsi="宋体" w:cs="宋体"/>
                <w:color w:val="000000"/>
                <w:sz w:val="24"/>
                <w:szCs w:val="24"/>
                <w:highlight w:val="none"/>
                <w:lang w:val="en-US" w:eastAsia="zh-CN"/>
              </w:rPr>
              <w:t>60</w:t>
            </w:r>
            <w:r>
              <w:rPr>
                <w:rFonts w:hint="eastAsia" w:ascii="宋体" w:hAnsi="宋体" w:eastAsia="宋体" w:cs="宋体"/>
                <w:color w:val="000000"/>
                <w:sz w:val="24"/>
                <w:szCs w:val="24"/>
                <w:highlight w:val="none"/>
                <w:lang w:val="en-US" w:eastAsia="zh-CN"/>
              </w:rPr>
              <w:t>岁。</w:t>
            </w:r>
          </w:p>
        </w:tc>
      </w:tr>
      <w:tr w14:paraId="3C76F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21117A">
            <w:pPr>
              <w:spacing w:line="500" w:lineRule="atLeast"/>
              <w:jc w:val="center"/>
              <w:rPr>
                <w:rFonts w:hint="eastAsia"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厨师</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F0E7B1">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3</w:t>
            </w:r>
          </w:p>
        </w:tc>
        <w:tc>
          <w:tcPr>
            <w:tcW w:w="5892" w:type="dxa"/>
            <w:tcBorders>
              <w:top w:val="single" w:color="000000" w:sz="4" w:space="0"/>
              <w:left w:val="single" w:color="000000" w:sz="4" w:space="0"/>
              <w:right w:val="single" w:color="000000" w:sz="4" w:space="0"/>
            </w:tcBorders>
            <w:shd w:val="clear" w:color="auto" w:fill="FFFFFF"/>
            <w:noWrap w:val="0"/>
            <w:vAlign w:val="center"/>
          </w:tcPr>
          <w:p w14:paraId="5E193F96">
            <w:pPr>
              <w:spacing w:line="500" w:lineRule="atLeast"/>
              <w:jc w:val="left"/>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5年以上炒锅经验，熟悉各种大小锅烹饪技术，独立完成各种菜，年龄不超过</w:t>
            </w:r>
            <w:r>
              <w:rPr>
                <w:rFonts w:hint="eastAsia" w:ascii="宋体" w:hAnsi="宋体" w:cs="宋体"/>
                <w:color w:val="000000"/>
                <w:sz w:val="24"/>
                <w:szCs w:val="24"/>
                <w:highlight w:val="none"/>
                <w:lang w:val="en-US" w:eastAsia="zh-CN"/>
              </w:rPr>
              <w:t>60</w:t>
            </w:r>
            <w:r>
              <w:rPr>
                <w:rFonts w:hint="eastAsia" w:ascii="宋体" w:hAnsi="宋体" w:eastAsia="宋体" w:cs="宋体"/>
                <w:color w:val="000000"/>
                <w:sz w:val="24"/>
                <w:szCs w:val="24"/>
                <w:highlight w:val="none"/>
                <w:lang w:val="en-US" w:eastAsia="zh-CN"/>
              </w:rPr>
              <w:t>岁。</w:t>
            </w:r>
          </w:p>
        </w:tc>
      </w:tr>
      <w:tr w14:paraId="4B8C0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8D2B85">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勤杂工</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0563EF">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4</w:t>
            </w:r>
          </w:p>
        </w:tc>
        <w:tc>
          <w:tcPr>
            <w:tcW w:w="5892" w:type="dxa"/>
            <w:tcBorders>
              <w:top w:val="single" w:color="000000" w:sz="4" w:space="0"/>
              <w:left w:val="single" w:color="000000" w:sz="4" w:space="0"/>
              <w:right w:val="single" w:color="000000" w:sz="4" w:space="0"/>
            </w:tcBorders>
            <w:shd w:val="clear" w:color="auto" w:fill="FFFFFF"/>
            <w:noWrap w:val="0"/>
            <w:vAlign w:val="center"/>
          </w:tcPr>
          <w:p w14:paraId="0257BDCB">
            <w:pPr>
              <w:spacing w:line="500" w:lineRule="atLeast"/>
              <w:jc w:val="left"/>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熟悉团餐要求的各项操作清洁流程，</w:t>
            </w:r>
            <w:bookmarkStart w:id="2" w:name="OLE_LINK17"/>
            <w:r>
              <w:rPr>
                <w:rFonts w:hint="eastAsia" w:ascii="宋体" w:hAnsi="宋体" w:eastAsia="宋体" w:cs="宋体"/>
                <w:color w:val="000000"/>
                <w:sz w:val="24"/>
                <w:szCs w:val="24"/>
                <w:highlight w:val="none"/>
                <w:lang w:val="en-US" w:eastAsia="zh-CN"/>
              </w:rPr>
              <w:t>年龄</w:t>
            </w:r>
            <w:bookmarkEnd w:id="2"/>
            <w:r>
              <w:rPr>
                <w:rFonts w:hint="eastAsia" w:ascii="宋体" w:hAnsi="宋体" w:eastAsia="宋体" w:cs="宋体"/>
                <w:color w:val="000000"/>
                <w:sz w:val="24"/>
                <w:szCs w:val="24"/>
                <w:highlight w:val="none"/>
                <w:lang w:val="en-US" w:eastAsia="zh-CN"/>
              </w:rPr>
              <w:t>不超过</w:t>
            </w:r>
            <w:r>
              <w:rPr>
                <w:rFonts w:hint="eastAsia" w:ascii="宋体" w:hAnsi="宋体" w:cs="宋体"/>
                <w:color w:val="000000"/>
                <w:sz w:val="24"/>
                <w:szCs w:val="24"/>
                <w:highlight w:val="none"/>
                <w:lang w:val="en-US" w:eastAsia="zh-CN"/>
              </w:rPr>
              <w:t>60</w:t>
            </w:r>
            <w:r>
              <w:rPr>
                <w:rFonts w:hint="eastAsia" w:ascii="宋体" w:hAnsi="宋体" w:eastAsia="宋体" w:cs="宋体"/>
                <w:color w:val="000000"/>
                <w:sz w:val="24"/>
                <w:szCs w:val="24"/>
                <w:highlight w:val="none"/>
                <w:lang w:val="en-US" w:eastAsia="zh-CN"/>
              </w:rPr>
              <w:t>岁。</w:t>
            </w:r>
          </w:p>
        </w:tc>
      </w:tr>
      <w:tr w14:paraId="1F40E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689BD8">
            <w:pPr>
              <w:spacing w:line="500" w:lineRule="atLeast"/>
              <w:jc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服务员</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8E1795">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w:t>
            </w:r>
          </w:p>
        </w:tc>
        <w:tc>
          <w:tcPr>
            <w:tcW w:w="5892" w:type="dxa"/>
            <w:tcBorders>
              <w:top w:val="single" w:color="000000" w:sz="4" w:space="0"/>
              <w:left w:val="single" w:color="000000" w:sz="4" w:space="0"/>
              <w:right w:val="single" w:color="000000" w:sz="4" w:space="0"/>
            </w:tcBorders>
            <w:shd w:val="clear" w:color="auto" w:fill="FFFFFF"/>
            <w:noWrap w:val="0"/>
            <w:vAlign w:val="center"/>
          </w:tcPr>
          <w:p w14:paraId="17C6D604">
            <w:pPr>
              <w:spacing w:line="500" w:lineRule="atLeast"/>
              <w:jc w:val="left"/>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年龄不超过</w:t>
            </w:r>
            <w:r>
              <w:rPr>
                <w:rFonts w:hint="eastAsia" w:ascii="宋体" w:hAnsi="宋体" w:cs="宋体"/>
                <w:color w:val="000000"/>
                <w:sz w:val="24"/>
                <w:szCs w:val="24"/>
                <w:highlight w:val="none"/>
                <w:lang w:val="en-US" w:eastAsia="zh-CN"/>
              </w:rPr>
              <w:t>45</w:t>
            </w:r>
            <w:r>
              <w:rPr>
                <w:rFonts w:hint="eastAsia" w:ascii="宋体" w:hAnsi="宋体" w:eastAsia="宋体" w:cs="宋体"/>
                <w:color w:val="000000"/>
                <w:sz w:val="24"/>
                <w:szCs w:val="24"/>
                <w:highlight w:val="none"/>
                <w:lang w:val="en-US" w:eastAsia="zh-CN"/>
              </w:rPr>
              <w:t>岁，熟悉团餐基本要求，有一定工作经验。</w:t>
            </w:r>
          </w:p>
        </w:tc>
      </w:tr>
      <w:tr w14:paraId="11DAE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4"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A39643">
            <w:pPr>
              <w:spacing w:line="500" w:lineRule="atLeast"/>
              <w:jc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面点师</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90CD51">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w:t>
            </w:r>
          </w:p>
        </w:tc>
        <w:tc>
          <w:tcPr>
            <w:tcW w:w="5892" w:type="dxa"/>
            <w:tcBorders>
              <w:top w:val="single" w:color="000000" w:sz="4" w:space="0"/>
              <w:left w:val="single" w:color="000000" w:sz="4" w:space="0"/>
              <w:right w:val="single" w:color="000000" w:sz="4" w:space="0"/>
            </w:tcBorders>
            <w:shd w:val="clear" w:color="auto" w:fill="FFFFFF"/>
            <w:noWrap w:val="0"/>
            <w:vAlign w:val="center"/>
          </w:tcPr>
          <w:p w14:paraId="771CF08D">
            <w:pPr>
              <w:spacing w:line="500" w:lineRule="atLeast"/>
              <w:jc w:val="left"/>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具有高级面点师证，团餐有5</w:t>
            </w:r>
            <w:r>
              <w:rPr>
                <w:rFonts w:hint="eastAsia" w:ascii="宋体" w:hAnsi="宋体" w:cs="宋体"/>
                <w:color w:val="000000"/>
                <w:sz w:val="24"/>
                <w:szCs w:val="24"/>
                <w:highlight w:val="none"/>
                <w:lang w:val="en-US" w:eastAsia="zh-CN"/>
              </w:rPr>
              <w:t>年</w:t>
            </w:r>
            <w:r>
              <w:rPr>
                <w:rFonts w:hint="eastAsia" w:ascii="宋体" w:hAnsi="宋体" w:eastAsia="宋体" w:cs="宋体"/>
                <w:color w:val="000000"/>
                <w:sz w:val="24"/>
                <w:szCs w:val="24"/>
                <w:highlight w:val="none"/>
                <w:lang w:val="en-US" w:eastAsia="zh-CN"/>
              </w:rPr>
              <w:t>以上工作经验，年龄不超过</w:t>
            </w:r>
            <w:r>
              <w:rPr>
                <w:rFonts w:hint="eastAsia" w:ascii="宋体" w:hAnsi="宋体" w:cs="宋体"/>
                <w:color w:val="000000"/>
                <w:sz w:val="24"/>
                <w:szCs w:val="24"/>
                <w:highlight w:val="none"/>
                <w:lang w:val="en-US" w:eastAsia="zh-CN"/>
              </w:rPr>
              <w:t>60</w:t>
            </w:r>
            <w:r>
              <w:rPr>
                <w:rFonts w:hint="eastAsia" w:ascii="宋体" w:hAnsi="宋体" w:eastAsia="宋体" w:cs="宋体"/>
                <w:color w:val="000000"/>
                <w:sz w:val="24"/>
                <w:szCs w:val="24"/>
                <w:highlight w:val="none"/>
                <w:lang w:val="en-US" w:eastAsia="zh-CN"/>
              </w:rPr>
              <w:t>岁。</w:t>
            </w:r>
          </w:p>
        </w:tc>
      </w:tr>
      <w:tr w14:paraId="2CA6B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152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AE1A5A">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合计</w:t>
            </w:r>
          </w:p>
        </w:tc>
        <w:tc>
          <w:tcPr>
            <w:tcW w:w="158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2F6634">
            <w:pPr>
              <w:spacing w:line="500" w:lineRule="atLeas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15人</w:t>
            </w:r>
          </w:p>
        </w:tc>
        <w:tc>
          <w:tcPr>
            <w:tcW w:w="589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F0BC1A">
            <w:pPr>
              <w:spacing w:line="500" w:lineRule="atLeast"/>
              <w:ind w:firstLine="240" w:firstLineChars="100"/>
              <w:jc w:val="center"/>
              <w:rPr>
                <w:rFonts w:hint="eastAsia" w:ascii="宋体" w:hAnsi="宋体" w:eastAsia="宋体" w:cs="宋体"/>
                <w:color w:val="000000"/>
                <w:sz w:val="24"/>
                <w:szCs w:val="24"/>
                <w:highlight w:val="none"/>
                <w:lang w:val="en-US"/>
              </w:rPr>
            </w:pPr>
          </w:p>
        </w:tc>
      </w:tr>
    </w:tbl>
    <w:p w14:paraId="2D891831">
      <w:pPr>
        <w:pStyle w:val="5"/>
        <w:ind w:left="0" w:leftChars="0" w:firstLine="0" w:firstLineChars="0"/>
        <w:rPr>
          <w:rFonts w:hint="default"/>
          <w:color w:val="000000"/>
          <w:lang w:val="en-US"/>
        </w:rPr>
      </w:pPr>
    </w:p>
    <w:p w14:paraId="4C81D243">
      <w:pPr>
        <w:spacing w:line="500" w:lineRule="atLeast"/>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2.3人员主要责任</w:t>
      </w:r>
    </w:p>
    <w:p w14:paraId="5A4E4357">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2.3.1厨师长主要负责每日</w:t>
      </w:r>
      <w:r>
        <w:rPr>
          <w:rFonts w:hint="eastAsia" w:ascii="宋体" w:hAnsi="宋体" w:cs="宋体"/>
          <w:color w:val="000000"/>
          <w:sz w:val="24"/>
          <w:szCs w:val="24"/>
          <w:highlight w:val="none"/>
          <w:lang w:val="en-US" w:eastAsia="zh-CN"/>
        </w:rPr>
        <w:t>菜单的制定、</w:t>
      </w:r>
      <w:r>
        <w:rPr>
          <w:rFonts w:hint="default" w:ascii="宋体" w:hAnsi="宋体" w:eastAsia="宋体" w:cs="宋体"/>
          <w:color w:val="000000"/>
          <w:sz w:val="24"/>
          <w:szCs w:val="24"/>
          <w:highlight w:val="none"/>
          <w:lang w:val="en-US"/>
        </w:rPr>
        <w:t>餐点的制作以及节假日订购食品的制作，食堂食材交由后勤保障部工作人员进行下单</w:t>
      </w:r>
      <w:r>
        <w:rPr>
          <w:rFonts w:hint="eastAsia" w:ascii="宋体" w:hAnsi="宋体" w:cs="宋体"/>
          <w:color w:val="000000"/>
          <w:sz w:val="24"/>
          <w:szCs w:val="24"/>
          <w:highlight w:val="none"/>
          <w:lang w:val="en-US" w:eastAsia="zh-CN"/>
        </w:rPr>
        <w:t>，</w:t>
      </w:r>
      <w:r>
        <w:rPr>
          <w:rFonts w:hint="default" w:ascii="宋体" w:hAnsi="宋体" w:eastAsia="宋体" w:cs="宋体"/>
          <w:color w:val="000000"/>
          <w:sz w:val="24"/>
          <w:szCs w:val="24"/>
          <w:highlight w:val="none"/>
          <w:lang w:val="en-US"/>
        </w:rPr>
        <w:t>合理调配人力，统筹各工作环节，对消防安全定期排查，确保厨房工作的正常运作；</w:t>
      </w:r>
    </w:p>
    <w:p w14:paraId="783324CA">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2.3.2厨师主要负责协助厨师长制作菜单，餐点的制作以及做好开餐前的各项准备工作，做好成本核算、日常事务管理等工作；</w:t>
      </w:r>
    </w:p>
    <w:p w14:paraId="79331FCC">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2.3.3切配师傅主要负责日常厨房工作的清洁、洗菜、配菜以及厨师工作的辅助，保证厨房用具以及切配间的清洁；</w:t>
      </w:r>
    </w:p>
    <w:p w14:paraId="7E6CF424">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2.3.4面点师傅主要负责医院早餐的制作，日常面点的订购，活动期间小吃的制作，确保面点的供应量；</w:t>
      </w:r>
    </w:p>
    <w:p w14:paraId="3DB590D5">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2.3.5服务员负责做好就餐人员的迎送接待工作，了解和收集就餐人员的意见和建议并及时反馈，每日做好食堂运营情况汇总，树立食堂优质服务形象；</w:t>
      </w:r>
    </w:p>
    <w:p w14:paraId="7B978D72">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2.3.6 勤杂工负责做好厨房和餐厅的清洁卫生工作，保证物品摆放标准，严格按照相关规章制度操作，确保就餐人员使用安全。</w:t>
      </w:r>
    </w:p>
    <w:p w14:paraId="3636D537">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2.3.7拟派的食品安全总监由公司派驻，不驻场项目，主要负责该项目的食品安全等安全相关事宜</w:t>
      </w:r>
      <w:r>
        <w:rPr>
          <w:rFonts w:hint="eastAsia" w:ascii="宋体" w:hAnsi="宋体" w:eastAsia="宋体" w:cs="宋体"/>
          <w:color w:val="000000"/>
          <w:sz w:val="24"/>
          <w:szCs w:val="24"/>
          <w:highlight w:val="none"/>
          <w:lang w:val="en-US" w:eastAsia="zh-CN"/>
        </w:rPr>
        <w:t>，且需具备一定营养管理能力</w:t>
      </w:r>
      <w:r>
        <w:rPr>
          <w:rFonts w:hint="default" w:ascii="宋体" w:hAnsi="宋体" w:eastAsia="宋体" w:cs="宋体"/>
          <w:color w:val="000000"/>
          <w:sz w:val="24"/>
          <w:szCs w:val="24"/>
          <w:highlight w:val="none"/>
          <w:lang w:val="en-US"/>
        </w:rPr>
        <w:t>。</w:t>
      </w:r>
    </w:p>
    <w:p w14:paraId="07F32043">
      <w:pPr>
        <w:spacing w:line="500" w:lineRule="atLeast"/>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2.4食材准备情况：食堂的食材由厨师按照收集完成的用餐人数提前一天下单，与配送公司协商送货时间。</w:t>
      </w:r>
    </w:p>
    <w:p w14:paraId="055F35EE">
      <w:pPr>
        <w:spacing w:line="500" w:lineRule="atLeast"/>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3.人员要求：</w:t>
      </w:r>
    </w:p>
    <w:p w14:paraId="1C5D5F0E">
      <w:pPr>
        <w:spacing w:line="500" w:lineRule="atLeast"/>
        <w:ind w:firstLine="240" w:firstLineChars="100"/>
        <w:rPr>
          <w:rFonts w:hint="eastAsia"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rPr>
        <w:t>3.1工作人员均必须经采购人认可方可上岗，须配备有规范统一工作服装。</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全部人员须在到岗前3日报</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备案，包括姓名、身份证号、健康证号、岗位、联系方式，未经备案不得上岗</w:t>
      </w:r>
      <w:r>
        <w:rPr>
          <w:rFonts w:hint="eastAsia" w:ascii="宋体" w:hAnsi="宋体" w:eastAsia="宋体" w:cs="宋体"/>
          <w:color w:val="000000"/>
          <w:sz w:val="24"/>
          <w:szCs w:val="24"/>
          <w:highlight w:val="none"/>
          <w:lang w:val="en-US" w:eastAsia="zh-CN"/>
        </w:rPr>
        <w:t>。成交供应商须保证关键岗位人员与采购人职工无近亲属关系，如有隐瞒视为重大违约。成交供应商应给工作人员配备工作服、帽子等个人物品，费用均由成交供应商承担。</w:t>
      </w:r>
    </w:p>
    <w:p w14:paraId="4E17F35D">
      <w:pPr>
        <w:spacing w:line="500" w:lineRule="atLeast"/>
        <w:ind w:firstLine="240" w:firstLineChars="1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3.2如成交供应商聘请的厨师、勤杂工专业能力、综合素质不符合岗位要求，采购人有权要求成交供应商在1周内更换合格人员。如成交供应商更换三次人员后仍不符合采购人要求的，采购人有权单方面解除合同。</w:t>
      </w:r>
    </w:p>
    <w:p w14:paraId="24A3C9F4">
      <w:pPr>
        <w:spacing w:line="500" w:lineRule="atLeast"/>
        <w:ind w:firstLine="240" w:firstLineChars="1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3.3成交供应商需自觉爱护厨房设施设备和餐饮用具，餐具报损率不得高于1.5‰，高于1.5‰以上部分的餐具费用由成交供应商照价赔偿。服务期限内，必须新增或更换就餐设施设备及厨具或其他物品的，由成交供应商提出书面请求，经采购人签字同意后，由采购人负责购买，双方办理交接手续。</w:t>
      </w:r>
    </w:p>
    <w:p w14:paraId="78748B84">
      <w:pPr>
        <w:spacing w:line="500" w:lineRule="atLeast"/>
        <w:ind w:firstLine="240" w:firstLineChars="100"/>
        <w:rPr>
          <w:rFonts w:hint="default"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rPr>
        <w:t>3.</w:t>
      </w:r>
      <w:r>
        <w:rPr>
          <w:rFonts w:hint="eastAsia" w:ascii="宋体" w:hAnsi="宋体" w:eastAsia="宋体" w:cs="宋体"/>
          <w:color w:val="000000"/>
          <w:sz w:val="24"/>
          <w:szCs w:val="24"/>
          <w:highlight w:val="none"/>
          <w:lang w:val="en-US" w:eastAsia="zh-CN"/>
        </w:rPr>
        <w:t>4</w:t>
      </w:r>
      <w:r>
        <w:rPr>
          <w:rFonts w:hint="default" w:ascii="宋体" w:hAnsi="宋体" w:eastAsia="宋体" w:cs="宋体"/>
          <w:color w:val="000000"/>
          <w:sz w:val="24"/>
          <w:szCs w:val="24"/>
          <w:highlight w:val="none"/>
          <w:lang w:val="en-US"/>
        </w:rPr>
        <w:t>食堂从业人员需按照食品安全法律法规规定，每年组织工作人员进行预防性健康检查，并持有效健康证明上岗，新上岗食品从业人员必须先体检并取得健康合格证明方可上岗。</w:t>
      </w:r>
      <w:r>
        <w:rPr>
          <w:rFonts w:hint="eastAsia" w:ascii="宋体" w:hAnsi="宋体" w:eastAsia="宋体" w:cs="宋体"/>
          <w:color w:val="000000"/>
          <w:sz w:val="24"/>
          <w:szCs w:val="24"/>
          <w:highlight w:val="none"/>
          <w:lang w:val="en-US" w:eastAsia="zh-CN"/>
        </w:rPr>
        <w:t>所提供的人员必须是专职为采购人服务。</w:t>
      </w:r>
    </w:p>
    <w:p w14:paraId="31F8C2D9">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3.</w:t>
      </w:r>
      <w:r>
        <w:rPr>
          <w:rFonts w:hint="eastAsia" w:ascii="宋体" w:hAnsi="宋体" w:eastAsia="宋体" w:cs="宋体"/>
          <w:color w:val="000000"/>
          <w:sz w:val="24"/>
          <w:szCs w:val="24"/>
          <w:highlight w:val="none"/>
          <w:lang w:val="en-US" w:eastAsia="zh-CN"/>
        </w:rPr>
        <w:t>5</w:t>
      </w:r>
      <w:r>
        <w:rPr>
          <w:rFonts w:hint="default" w:ascii="宋体" w:hAnsi="宋体" w:eastAsia="宋体" w:cs="宋体"/>
          <w:color w:val="000000"/>
          <w:sz w:val="24"/>
          <w:szCs w:val="24"/>
          <w:highlight w:val="none"/>
          <w:lang w:val="en-US"/>
        </w:rPr>
        <w:t>食堂招聘的工作人员在为采购人服务期间，应该受采购人制度的约束。因食堂工作人员违法违纪，给采购人或其他第三方造成的一切损失和责任由供应商承担。食堂负责人应当参加</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召开的有关工作会议，听取</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用餐人员意见，并及时进行改进。</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应向</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提供《食品安全承诺书》，并按规定进行公示。</w:t>
      </w:r>
    </w:p>
    <w:p w14:paraId="1744FA40">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3.</w:t>
      </w:r>
      <w:r>
        <w:rPr>
          <w:rFonts w:hint="eastAsia" w:ascii="宋体" w:hAnsi="宋体" w:eastAsia="宋体" w:cs="宋体"/>
          <w:color w:val="000000"/>
          <w:sz w:val="24"/>
          <w:szCs w:val="24"/>
          <w:highlight w:val="none"/>
          <w:lang w:val="en-US" w:eastAsia="zh-CN"/>
        </w:rPr>
        <w:t>6</w:t>
      </w:r>
      <w:r>
        <w:rPr>
          <w:rFonts w:hint="default" w:ascii="宋体" w:hAnsi="宋体" w:eastAsia="宋体" w:cs="宋体"/>
          <w:color w:val="000000"/>
          <w:sz w:val="24"/>
          <w:szCs w:val="24"/>
          <w:highlight w:val="none"/>
          <w:lang w:val="en-US"/>
        </w:rPr>
        <w:t>供应商负责食堂工作人员的培训及管理，与其配置的食堂人员签订劳动合同，按照《劳动合同法》等相关法律规定，履行用人单位的义务，必须负责并承担食堂工作人员的工资、体检、健康证办理、工伤、交通费、福利待遇等，供应商与其提供服务人员签订劳动合同建立劳动关系，食堂所有员工引发的劳动争议和产生的相关责任和费用，均由供应商自行承担</w:t>
      </w:r>
      <w:r>
        <w:rPr>
          <w:rFonts w:hint="eastAsia" w:ascii="宋体" w:hAnsi="宋体" w:eastAsia="宋体" w:cs="宋体"/>
          <w:color w:val="000000"/>
          <w:sz w:val="24"/>
          <w:szCs w:val="24"/>
          <w:highlight w:val="none"/>
          <w:lang w:val="en-US" w:eastAsia="zh-CN"/>
        </w:rPr>
        <w:t>，采购人因此遭受损失的，成交供应商应赔偿采购人全部损失</w:t>
      </w:r>
      <w:r>
        <w:rPr>
          <w:rFonts w:hint="default" w:ascii="宋体" w:hAnsi="宋体" w:eastAsia="宋体" w:cs="宋体"/>
          <w:color w:val="000000"/>
          <w:sz w:val="24"/>
          <w:szCs w:val="24"/>
          <w:highlight w:val="none"/>
          <w:lang w:val="en-US"/>
        </w:rPr>
        <w:t>。因</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原因造成的安全事故，均由</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承担由此带来的所有责任。</w:t>
      </w:r>
    </w:p>
    <w:p w14:paraId="5B42710C">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3.</w:t>
      </w:r>
      <w:r>
        <w:rPr>
          <w:rFonts w:hint="eastAsia" w:ascii="宋体" w:hAnsi="宋体" w:eastAsia="宋体" w:cs="宋体"/>
          <w:color w:val="000000"/>
          <w:sz w:val="24"/>
          <w:szCs w:val="24"/>
          <w:highlight w:val="none"/>
          <w:lang w:val="en-US" w:eastAsia="zh-CN"/>
        </w:rPr>
        <w:t>7</w:t>
      </w:r>
      <w:r>
        <w:rPr>
          <w:rFonts w:hint="default" w:ascii="宋体" w:hAnsi="宋体" w:eastAsia="宋体" w:cs="宋体"/>
          <w:color w:val="000000"/>
          <w:sz w:val="24"/>
          <w:szCs w:val="24"/>
          <w:highlight w:val="none"/>
          <w:lang w:val="en-US"/>
        </w:rPr>
        <w:t>供应商工作人员在食堂工作中或上班途中发生人身意外均与采购人无关，产生的相关责任和费用，由供应商自行承担。</w:t>
      </w:r>
    </w:p>
    <w:p w14:paraId="133F7D08">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3.</w:t>
      </w:r>
      <w:r>
        <w:rPr>
          <w:rFonts w:hint="eastAsia" w:ascii="宋体" w:hAnsi="宋体" w:eastAsia="宋体" w:cs="宋体"/>
          <w:color w:val="000000"/>
          <w:sz w:val="24"/>
          <w:szCs w:val="24"/>
          <w:highlight w:val="none"/>
          <w:lang w:val="en-US" w:eastAsia="zh-CN"/>
        </w:rPr>
        <w:t>8成交供应商</w:t>
      </w:r>
      <w:r>
        <w:rPr>
          <w:rFonts w:hint="default" w:ascii="宋体" w:hAnsi="宋体" w:eastAsia="宋体" w:cs="宋体"/>
          <w:color w:val="000000"/>
          <w:sz w:val="24"/>
          <w:szCs w:val="24"/>
          <w:highlight w:val="none"/>
          <w:lang w:val="en-US"/>
        </w:rPr>
        <w:t>须在食堂就餐区显著位置，按相关要求公示食品经营许可证、本食堂从业人员健康证、食品安全等相关管理制度等和</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要求公开的信息，自觉接受</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及用餐者监督。</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有权对</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的服务行为进行监督和检查，对</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不按相应规范操作的行为有权要求</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限期整改；</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经整改仍未达到</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的合理要求的，应从整改期限届满之日起向</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支付200元/每日的违约金直到整改符合要求。</w:t>
      </w:r>
    </w:p>
    <w:p w14:paraId="2A3C71D5">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3.</w:t>
      </w:r>
      <w:r>
        <w:rPr>
          <w:rFonts w:hint="eastAsia" w:ascii="宋体" w:hAnsi="宋体" w:eastAsia="宋体" w:cs="宋体"/>
          <w:color w:val="000000"/>
          <w:sz w:val="24"/>
          <w:szCs w:val="24"/>
          <w:highlight w:val="none"/>
          <w:lang w:val="en-US" w:eastAsia="zh-CN"/>
        </w:rPr>
        <w:t>9</w:t>
      </w:r>
      <w:r>
        <w:rPr>
          <w:rFonts w:hint="default" w:ascii="宋体" w:hAnsi="宋体" w:eastAsia="宋体" w:cs="宋体"/>
          <w:color w:val="000000"/>
          <w:sz w:val="24"/>
          <w:szCs w:val="24"/>
          <w:highlight w:val="none"/>
          <w:lang w:val="en-US"/>
        </w:rPr>
        <w:t>工作人员住宿由供应商负责，采购人只负责当班工作人员用餐，工作人员用餐不得与职工用餐时间同步。</w:t>
      </w:r>
    </w:p>
    <w:p w14:paraId="28B2803E">
      <w:pPr>
        <w:spacing w:line="500" w:lineRule="atLeast"/>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4.其他要求：</w:t>
      </w:r>
    </w:p>
    <w:p w14:paraId="1D48E64D">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4.1因</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管理不善导致卫生监督部门检查不合格或行政处罚的，由</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承担全部罚款及整改费用，一年内出现2次及以上行政处罚的，</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有权解除合同。</w:t>
      </w:r>
    </w:p>
    <w:p w14:paraId="4E3B2BFB">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4.2食堂的卫生防疫、就餐环境、消防安全等必须达到相关标准</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kern w:val="0"/>
          <w:sz w:val="24"/>
          <w:szCs w:val="24"/>
        </w:rPr>
        <w:t>向就餐者提供的餐饮器具必须按规定清洗消毒，并作好相应记录。</w:t>
      </w:r>
      <w:r>
        <w:rPr>
          <w:rFonts w:hint="eastAsia" w:ascii="宋体" w:hAnsi="宋体" w:eastAsia="宋体" w:cs="宋体"/>
          <w:color w:val="000000"/>
          <w:kern w:val="0"/>
          <w:sz w:val="24"/>
          <w:szCs w:val="24"/>
          <w:lang w:val="en-US" w:eastAsia="zh-CN"/>
        </w:rPr>
        <w:t>成交供应商</w:t>
      </w:r>
      <w:r>
        <w:rPr>
          <w:rFonts w:hint="eastAsia" w:ascii="宋体" w:hAnsi="宋体" w:eastAsia="宋体" w:cs="宋体"/>
          <w:color w:val="000000"/>
          <w:kern w:val="0"/>
          <w:sz w:val="24"/>
          <w:szCs w:val="24"/>
        </w:rPr>
        <w:t>应当保持餐厅</w:t>
      </w:r>
      <w:r>
        <w:rPr>
          <w:rFonts w:hint="eastAsia" w:ascii="宋体" w:hAnsi="宋体" w:eastAsia="宋体" w:cs="宋体"/>
          <w:color w:val="000000"/>
          <w:kern w:val="0"/>
          <w:sz w:val="24"/>
          <w:szCs w:val="24"/>
          <w:lang w:val="en-US" w:eastAsia="zh-CN"/>
        </w:rPr>
        <w:t>及周边环境的</w:t>
      </w:r>
      <w:r>
        <w:rPr>
          <w:rFonts w:hint="eastAsia" w:ascii="宋体" w:hAnsi="宋体" w:eastAsia="宋体" w:cs="宋体"/>
          <w:color w:val="000000"/>
          <w:kern w:val="0"/>
          <w:sz w:val="24"/>
          <w:szCs w:val="24"/>
        </w:rPr>
        <w:t>洁净，如因地面湿滑、物品摆放混乱等原因造成人员或财产损失的，由</w:t>
      </w:r>
      <w:r>
        <w:rPr>
          <w:rFonts w:hint="eastAsia" w:ascii="宋体" w:hAnsi="宋体" w:eastAsia="宋体" w:cs="宋体"/>
          <w:color w:val="000000"/>
          <w:kern w:val="0"/>
          <w:sz w:val="24"/>
          <w:szCs w:val="24"/>
          <w:lang w:val="en-US" w:eastAsia="zh-CN"/>
        </w:rPr>
        <w:t>成交供应商</w:t>
      </w:r>
      <w:r>
        <w:rPr>
          <w:rFonts w:hint="eastAsia" w:ascii="宋体" w:hAnsi="宋体" w:eastAsia="宋体" w:cs="宋体"/>
          <w:color w:val="000000"/>
          <w:kern w:val="0"/>
          <w:sz w:val="24"/>
          <w:szCs w:val="24"/>
        </w:rPr>
        <w:t>承担责任</w:t>
      </w:r>
      <w:r>
        <w:rPr>
          <w:rFonts w:hint="default" w:ascii="宋体" w:hAnsi="宋体" w:eastAsia="宋体" w:cs="宋体"/>
          <w:color w:val="000000"/>
          <w:sz w:val="24"/>
          <w:szCs w:val="24"/>
          <w:highlight w:val="none"/>
          <w:lang w:val="en-US"/>
        </w:rPr>
        <w:t>。采购人有权对食堂的环境卫生、服务质量、饭菜质量进行监督检查，对采购人提出的意见及建议必须立即整改。因经营管理不善造成职工食物中毒，由供应商负全部责任，还将追究相关法律责任，且采购人有权单面方面解除合同。</w:t>
      </w:r>
    </w:p>
    <w:p w14:paraId="62DE3970">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4.3</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须与</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保持良好沟通，加强食材成本控制，</w:t>
      </w:r>
      <w:r>
        <w:rPr>
          <w:rFonts w:hint="eastAsia" w:ascii="宋体" w:hAnsi="宋体" w:cs="宋体"/>
          <w:color w:val="000000"/>
          <w:sz w:val="24"/>
          <w:szCs w:val="24"/>
          <w:highlight w:val="none"/>
          <w:lang w:val="en-US" w:eastAsia="zh-CN"/>
        </w:rPr>
        <w:t>供应商</w:t>
      </w:r>
      <w:r>
        <w:rPr>
          <w:rFonts w:hint="default" w:ascii="宋体" w:hAnsi="宋体" w:eastAsia="宋体" w:cs="宋体"/>
          <w:color w:val="000000"/>
          <w:sz w:val="24"/>
          <w:szCs w:val="24"/>
          <w:highlight w:val="none"/>
          <w:lang w:val="en-US"/>
        </w:rPr>
        <w:t>应根据采购人提供的就餐人数及菜谱安排，合理做好食堂原材料报料申请，避免造成浪费或不足。同时对入库原材料的数量、质量进行验收把关，发现配送原材料质量有问题、料缺斤少两或菜品送货不全应在当日配送单上备注清楚，并及时反馈采购人，否则等同视为供应商责任。合同签订后，</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应及时制定有关食材成本的控制管理制度并报</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备案。如因</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管理不善，导致食材、原料过期、变质，造成的损失全额由</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承担。</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有权随时查阅</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食堂经营账簿、采购凭证、人员工资发放记录，</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不得拒绝。</w:t>
      </w:r>
    </w:p>
    <w:p w14:paraId="0060569D">
      <w:pPr>
        <w:spacing w:line="500" w:lineRule="atLeast"/>
        <w:ind w:firstLine="240" w:firstLineChars="100"/>
        <w:rPr>
          <w:rFonts w:hint="eastAsia" w:ascii="宋体" w:hAnsi="宋体" w:cs="宋体"/>
          <w:color w:val="000000"/>
          <w:sz w:val="24"/>
          <w:szCs w:val="24"/>
          <w:highlight w:val="none"/>
          <w:lang w:val="en-US" w:eastAsia="zh-CN"/>
        </w:rPr>
      </w:pPr>
      <w:r>
        <w:rPr>
          <w:rFonts w:hint="default" w:ascii="宋体" w:hAnsi="宋体" w:eastAsia="宋体" w:cs="宋体"/>
          <w:color w:val="000000"/>
          <w:sz w:val="24"/>
          <w:szCs w:val="24"/>
          <w:highlight w:val="none"/>
          <w:lang w:val="en-US"/>
        </w:rPr>
        <w:t>4.</w:t>
      </w:r>
      <w:r>
        <w:rPr>
          <w:rFonts w:hint="eastAsia" w:ascii="宋体" w:hAnsi="宋体" w:cs="宋体"/>
          <w:color w:val="000000"/>
          <w:sz w:val="24"/>
          <w:szCs w:val="24"/>
          <w:highlight w:val="none"/>
          <w:lang w:val="en-US" w:eastAsia="zh-CN"/>
        </w:rPr>
        <w:t>4</w:t>
      </w:r>
      <w:r>
        <w:rPr>
          <w:rFonts w:hint="default" w:ascii="宋体" w:hAnsi="宋体" w:eastAsia="宋体" w:cs="宋体"/>
          <w:color w:val="000000"/>
          <w:sz w:val="24"/>
          <w:szCs w:val="24"/>
          <w:highlight w:val="none"/>
          <w:lang w:val="en-US"/>
        </w:rPr>
        <w:t>应急方案：供应商须针对本项目特点，提供应急预备方案</w:t>
      </w:r>
      <w:r>
        <w:rPr>
          <w:rFonts w:hint="eastAsia" w:ascii="宋体" w:hAnsi="宋体" w:cs="宋体"/>
          <w:color w:val="000000"/>
          <w:sz w:val="24"/>
          <w:szCs w:val="24"/>
          <w:highlight w:val="none"/>
          <w:lang w:val="en-US" w:eastAsia="zh-CN"/>
        </w:rPr>
        <w:t>。</w:t>
      </w:r>
    </w:p>
    <w:p w14:paraId="661D1653">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w:t>
      </w:r>
      <w:r>
        <w:rPr>
          <w:rFonts w:hint="eastAsia" w:ascii="宋体" w:hAnsi="宋体" w:cs="宋体"/>
          <w:color w:val="000000"/>
          <w:sz w:val="24"/>
          <w:szCs w:val="24"/>
          <w:highlight w:val="none"/>
          <w:lang w:val="en-US" w:eastAsia="zh-CN"/>
        </w:rPr>
        <w:t>5</w:t>
      </w:r>
      <w:r>
        <w:rPr>
          <w:rFonts w:hint="default" w:ascii="宋体" w:hAnsi="宋体" w:eastAsia="宋体" w:cs="宋体"/>
          <w:color w:val="000000"/>
          <w:sz w:val="24"/>
          <w:szCs w:val="24"/>
          <w:highlight w:val="none"/>
          <w:lang w:val="en-US"/>
        </w:rPr>
        <w:t>供应商需提供各项工作制度。</w:t>
      </w:r>
    </w:p>
    <w:p w14:paraId="240E722D">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w:t>
      </w:r>
      <w:r>
        <w:rPr>
          <w:rFonts w:hint="eastAsia" w:ascii="宋体" w:hAnsi="宋体" w:cs="宋体"/>
          <w:color w:val="000000"/>
          <w:sz w:val="24"/>
          <w:szCs w:val="24"/>
          <w:highlight w:val="none"/>
          <w:lang w:val="en-US" w:eastAsia="zh-CN"/>
        </w:rPr>
        <w:t>6</w:t>
      </w:r>
      <w:r>
        <w:rPr>
          <w:rFonts w:hint="default" w:ascii="宋体" w:hAnsi="宋体" w:eastAsia="宋体" w:cs="宋体"/>
          <w:color w:val="000000"/>
          <w:sz w:val="24"/>
          <w:szCs w:val="24"/>
          <w:highlight w:val="none"/>
          <w:lang w:val="en-US"/>
        </w:rPr>
        <w:t>运营场地、食堂设施设备、供水供电、就餐的主副食品及原材料的采购选择等均由采购人提供，设备由采购人一次性提供完好无损的设备并与成交供应商进行设备清点交接，后期如有因为使用管理不当造成设备维修费用均由供应商承担。</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不得转委托其他任何第三方履行本合同约定的权利与义务，不得利用</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提供的场地和设施经营食堂餐饮以外的业务，不得擅自改变</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食堂各场所的使用功能，不得将</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食堂的设施、设备、物品等挪作他用。</w:t>
      </w:r>
    </w:p>
    <w:p w14:paraId="7B5F74FA">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w:t>
      </w:r>
      <w:r>
        <w:rPr>
          <w:rFonts w:hint="eastAsia" w:ascii="宋体" w:hAnsi="宋体" w:cs="宋体"/>
          <w:color w:val="000000"/>
          <w:sz w:val="24"/>
          <w:szCs w:val="24"/>
          <w:highlight w:val="none"/>
          <w:lang w:val="en-US" w:eastAsia="zh-CN"/>
        </w:rPr>
        <w:t>7</w:t>
      </w:r>
      <w:r>
        <w:rPr>
          <w:rFonts w:hint="default" w:ascii="宋体" w:hAnsi="宋体" w:eastAsia="宋体" w:cs="宋体"/>
          <w:color w:val="000000"/>
          <w:sz w:val="24"/>
          <w:szCs w:val="24"/>
          <w:highlight w:val="none"/>
          <w:lang w:val="en-US"/>
        </w:rPr>
        <w:t>供应商须对所有的产品按规定留样（48小时）并做好记录</w:t>
      </w:r>
      <w:r>
        <w:rPr>
          <w:rFonts w:hint="eastAsia" w:ascii="宋体" w:hAnsi="宋体" w:eastAsia="宋体" w:cs="宋体"/>
          <w:color w:val="000000"/>
          <w:sz w:val="24"/>
          <w:szCs w:val="24"/>
          <w:highlight w:val="none"/>
          <w:lang w:val="en-US" w:eastAsia="zh-CN"/>
        </w:rPr>
        <w:t>，</w:t>
      </w:r>
      <w:r>
        <w:rPr>
          <w:rFonts w:hint="default" w:ascii="宋体" w:hAnsi="宋体" w:eastAsia="宋体" w:cs="宋体"/>
          <w:color w:val="000000"/>
          <w:sz w:val="24"/>
          <w:szCs w:val="24"/>
          <w:highlight w:val="none"/>
          <w:lang w:val="en-US"/>
        </w:rPr>
        <w:t>留样重量不少于125克，留样记录包括食品名称、留样时间、留样人员、审核人员；须做好餐具的消毒记录；须做好场所紫外灯消毒记录；须做好晨检记录；须做好剩饭剩菜的登记处理记录；须做好生、熟盘分类及消毒。</w:t>
      </w:r>
    </w:p>
    <w:p w14:paraId="52ED884F">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w:t>
      </w:r>
      <w:r>
        <w:rPr>
          <w:rFonts w:hint="eastAsia" w:ascii="宋体" w:hAnsi="宋体" w:cs="宋体"/>
          <w:color w:val="000000"/>
          <w:sz w:val="24"/>
          <w:szCs w:val="24"/>
          <w:highlight w:val="none"/>
          <w:lang w:val="en-US" w:eastAsia="zh-CN"/>
        </w:rPr>
        <w:t>8</w:t>
      </w:r>
      <w:r>
        <w:rPr>
          <w:rFonts w:hint="default" w:ascii="宋体" w:hAnsi="宋体" w:eastAsia="宋体" w:cs="宋体"/>
          <w:color w:val="000000"/>
          <w:sz w:val="24"/>
          <w:szCs w:val="24"/>
          <w:highlight w:val="none"/>
          <w:lang w:val="en-US"/>
        </w:rPr>
        <w:t>供应商应按采购人相关规定对</w:t>
      </w:r>
      <w:r>
        <w:rPr>
          <w:rFonts w:hint="eastAsia" w:ascii="宋体" w:hAnsi="宋体" w:cs="宋体"/>
          <w:color w:val="000000"/>
          <w:sz w:val="24"/>
          <w:szCs w:val="24"/>
          <w:highlight w:val="none"/>
          <w:lang w:val="en-US" w:eastAsia="zh-CN"/>
        </w:rPr>
        <w:t>厨余</w:t>
      </w:r>
      <w:r>
        <w:rPr>
          <w:rFonts w:hint="default" w:ascii="宋体" w:hAnsi="宋体" w:eastAsia="宋体" w:cs="宋体"/>
          <w:color w:val="000000"/>
          <w:sz w:val="24"/>
          <w:szCs w:val="24"/>
          <w:highlight w:val="none"/>
          <w:lang w:val="en-US"/>
        </w:rPr>
        <w:t>垃圾进行</w:t>
      </w:r>
      <w:r>
        <w:rPr>
          <w:rFonts w:hint="eastAsia" w:ascii="宋体" w:hAnsi="宋体" w:cs="宋体"/>
          <w:color w:val="000000"/>
          <w:sz w:val="24"/>
          <w:szCs w:val="24"/>
          <w:highlight w:val="none"/>
          <w:lang w:val="en-US" w:eastAsia="zh-CN"/>
        </w:rPr>
        <w:t>收集和</w:t>
      </w:r>
      <w:r>
        <w:rPr>
          <w:rFonts w:hint="default" w:ascii="宋体" w:hAnsi="宋体" w:eastAsia="宋体" w:cs="宋体"/>
          <w:color w:val="000000"/>
          <w:sz w:val="24"/>
          <w:szCs w:val="24"/>
          <w:highlight w:val="none"/>
          <w:lang w:val="en-US"/>
        </w:rPr>
        <w:t>处理，食堂厨余垃圾按规定放置专用垃圾箱</w:t>
      </w:r>
      <w:r>
        <w:rPr>
          <w:rFonts w:hint="eastAsia" w:ascii="宋体" w:hAnsi="宋体" w:eastAsia="宋体" w:cs="宋体"/>
          <w:color w:val="000000"/>
          <w:sz w:val="24"/>
          <w:szCs w:val="24"/>
          <w:highlight w:val="none"/>
          <w:lang w:val="en-US" w:eastAsia="zh-CN"/>
        </w:rPr>
        <w:t>，</w:t>
      </w:r>
      <w:r>
        <w:rPr>
          <w:rFonts w:hint="default" w:ascii="宋体" w:hAnsi="宋体" w:eastAsia="宋体" w:cs="宋体"/>
          <w:color w:val="000000"/>
          <w:sz w:val="24"/>
          <w:szCs w:val="24"/>
          <w:highlight w:val="none"/>
          <w:lang w:val="en-US"/>
        </w:rPr>
        <w:t>不得随意倾倒</w:t>
      </w:r>
      <w:r>
        <w:rPr>
          <w:rFonts w:hint="eastAsia" w:ascii="宋体" w:hAnsi="宋体" w:cs="宋体"/>
          <w:color w:val="000000"/>
          <w:sz w:val="24"/>
          <w:szCs w:val="24"/>
          <w:highlight w:val="none"/>
          <w:lang w:val="en-US" w:eastAsia="zh-CN"/>
        </w:rPr>
        <w:t>，涉及转运等相关费用，包含在本项目报价中，采购人不再另行支付</w:t>
      </w:r>
      <w:r>
        <w:rPr>
          <w:rFonts w:hint="default" w:ascii="宋体" w:hAnsi="宋体" w:eastAsia="宋体" w:cs="宋体"/>
          <w:color w:val="000000"/>
          <w:sz w:val="24"/>
          <w:szCs w:val="24"/>
          <w:highlight w:val="none"/>
          <w:lang w:val="en-US"/>
        </w:rPr>
        <w:t>；因供应商未按法律法规及其他相关规定处理垃圾导致被有关部门处罚或侵犯第三人权利的，则全部处罚和赔偿金均由供应商方承担；上述行为导致采购人损失的，供应商应向采购人承担赔偿损失。</w:t>
      </w:r>
    </w:p>
    <w:p w14:paraId="4C46037C">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w:t>
      </w:r>
      <w:r>
        <w:rPr>
          <w:rFonts w:hint="eastAsia" w:ascii="宋体" w:hAnsi="宋体" w:cs="宋体"/>
          <w:color w:val="000000"/>
          <w:sz w:val="24"/>
          <w:szCs w:val="24"/>
          <w:highlight w:val="none"/>
          <w:lang w:val="en-US" w:eastAsia="zh-CN"/>
        </w:rPr>
        <w:t>9</w:t>
      </w:r>
      <w:r>
        <w:rPr>
          <w:rFonts w:hint="default" w:ascii="宋体" w:hAnsi="宋体" w:eastAsia="宋体" w:cs="宋体"/>
          <w:color w:val="000000"/>
          <w:sz w:val="24"/>
          <w:szCs w:val="24"/>
          <w:highlight w:val="none"/>
          <w:lang w:val="en-US"/>
        </w:rPr>
        <w:t>采购人每季度开展一次绩效考评，考评依照《食堂检查考核表》， 主要围绕物资采购、餐食标准、仪容仪表、人员服务、环境卫生、水电气防火防盗等项进行考评，将成交供应商中标的经营管理费用作为考核基数。考评80分以上不扣款，70-79分扣款</w:t>
      </w:r>
      <w:r>
        <w:rPr>
          <w:rFonts w:hint="eastAsia" w:ascii="宋体" w:hAnsi="宋体" w:eastAsia="宋体" w:cs="宋体"/>
          <w:color w:val="000000"/>
          <w:sz w:val="24"/>
          <w:szCs w:val="24"/>
          <w:highlight w:val="none"/>
          <w:lang w:val="en-US" w:eastAsia="zh-CN"/>
        </w:rPr>
        <w:t>1</w:t>
      </w:r>
      <w:r>
        <w:rPr>
          <w:rFonts w:hint="default" w:ascii="宋体" w:hAnsi="宋体" w:eastAsia="宋体" w:cs="宋体"/>
          <w:color w:val="000000"/>
          <w:sz w:val="24"/>
          <w:szCs w:val="24"/>
          <w:highlight w:val="none"/>
          <w:lang w:val="en-US"/>
        </w:rPr>
        <w:t>000元，60-69分扣款</w:t>
      </w:r>
      <w:r>
        <w:rPr>
          <w:rFonts w:hint="eastAsia" w:ascii="宋体" w:hAnsi="宋体" w:eastAsia="宋体" w:cs="宋体"/>
          <w:color w:val="000000"/>
          <w:sz w:val="24"/>
          <w:szCs w:val="24"/>
          <w:highlight w:val="none"/>
          <w:lang w:val="en-US" w:eastAsia="zh-CN"/>
        </w:rPr>
        <w:t>3</w:t>
      </w:r>
      <w:r>
        <w:rPr>
          <w:rFonts w:hint="default" w:ascii="宋体" w:hAnsi="宋体" w:eastAsia="宋体" w:cs="宋体"/>
          <w:color w:val="000000"/>
          <w:sz w:val="24"/>
          <w:szCs w:val="24"/>
          <w:highlight w:val="none"/>
          <w:lang w:val="en-US"/>
        </w:rPr>
        <w:t>000元，低于60分扣款10000元并限期整改，连续两次低于60分或</w:t>
      </w:r>
      <w:r>
        <w:rPr>
          <w:rFonts w:hint="eastAsia" w:ascii="宋体" w:hAnsi="宋体" w:eastAsia="宋体" w:cs="宋体"/>
          <w:color w:val="000000"/>
          <w:sz w:val="24"/>
          <w:szCs w:val="24"/>
          <w:highlight w:val="none"/>
          <w:lang w:val="en-US" w:eastAsia="zh-CN"/>
        </w:rPr>
        <w:t>半</w:t>
      </w:r>
      <w:r>
        <w:rPr>
          <w:rFonts w:hint="default" w:ascii="宋体" w:hAnsi="宋体" w:eastAsia="宋体" w:cs="宋体"/>
          <w:color w:val="000000"/>
          <w:sz w:val="24"/>
          <w:szCs w:val="24"/>
          <w:highlight w:val="none"/>
          <w:lang w:val="en-US"/>
        </w:rPr>
        <w:t>年度平均低于75分的，</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有权解除合同。</w:t>
      </w:r>
    </w:p>
    <w:p w14:paraId="394811FE">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4.1</w:t>
      </w:r>
      <w:r>
        <w:rPr>
          <w:rFonts w:hint="eastAsia" w:ascii="宋体" w:hAnsi="宋体" w:cs="宋体"/>
          <w:color w:val="000000"/>
          <w:sz w:val="24"/>
          <w:szCs w:val="24"/>
          <w:highlight w:val="none"/>
          <w:lang w:val="en-US" w:eastAsia="zh-CN"/>
        </w:rPr>
        <w:t>0</w:t>
      </w:r>
      <w:r>
        <w:rPr>
          <w:rFonts w:hint="default" w:ascii="宋体" w:hAnsi="宋体" w:eastAsia="宋体" w:cs="宋体"/>
          <w:color w:val="000000"/>
          <w:sz w:val="24"/>
          <w:szCs w:val="24"/>
          <w:highlight w:val="none"/>
          <w:lang w:val="en-US"/>
        </w:rPr>
        <w:t>供应商为就餐职工投保不少于 1000 万元的食品安全意外保险。供应商须在接到中标通知书的 30 个工作日内将保险复印件上交采购人。</w:t>
      </w:r>
    </w:p>
    <w:p w14:paraId="77FF50ED">
      <w:pPr>
        <w:spacing w:line="500" w:lineRule="atLeast"/>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5.履约保证金</w:t>
      </w:r>
    </w:p>
    <w:p w14:paraId="7FFD3F8D">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5.1合同履约保证金为</w:t>
      </w:r>
      <w:bookmarkStart w:id="3" w:name="OLE_LINK20"/>
      <w:r>
        <w:rPr>
          <w:rFonts w:hint="default" w:ascii="宋体" w:hAnsi="宋体" w:eastAsia="宋体" w:cs="宋体"/>
          <w:color w:val="000000"/>
          <w:sz w:val="24"/>
          <w:szCs w:val="24"/>
          <w:highlight w:val="none"/>
          <w:lang w:val="en-US"/>
        </w:rPr>
        <w:t>中标金额的</w:t>
      </w:r>
      <w:bookmarkEnd w:id="3"/>
      <w:r>
        <w:rPr>
          <w:rFonts w:hint="eastAsia" w:ascii="宋体" w:hAnsi="宋体" w:eastAsia="宋体" w:cs="宋体"/>
          <w:color w:val="000000"/>
          <w:sz w:val="24"/>
          <w:szCs w:val="24"/>
          <w:highlight w:val="none"/>
          <w:lang w:val="en-US" w:eastAsia="zh-CN"/>
        </w:rPr>
        <w:t>5%</w:t>
      </w:r>
      <w:r>
        <w:rPr>
          <w:rFonts w:hint="default" w:ascii="宋体" w:hAnsi="宋体" w:eastAsia="宋体" w:cs="宋体"/>
          <w:color w:val="000000"/>
          <w:sz w:val="24"/>
          <w:szCs w:val="24"/>
          <w:highlight w:val="none"/>
          <w:lang w:val="en-US"/>
        </w:rPr>
        <w:t>。为确保诚信，成交供应商须在接到中标通知书的7 个工作日内，将履约保证金汇入采购人指定账号或提供银行保函，逾期未缴纳的视为放弃中标资格。</w:t>
      </w:r>
    </w:p>
    <w:p w14:paraId="61D427D2">
      <w:pPr>
        <w:spacing w:line="500" w:lineRule="atLeast"/>
        <w:ind w:firstLine="240" w:firstLineChars="100"/>
        <w:rPr>
          <w:rFonts w:hint="eastAsia"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rPr>
        <w:t>5.2履约保证金在合同履行完毕后 15 个工作日内，</w:t>
      </w:r>
      <w:r>
        <w:rPr>
          <w:rFonts w:hint="eastAsia" w:ascii="宋体" w:hAnsi="宋体" w:eastAsia="宋体" w:cs="宋体"/>
          <w:color w:val="000000"/>
          <w:sz w:val="24"/>
          <w:szCs w:val="24"/>
          <w:highlight w:val="none"/>
          <w:lang w:val="en-US" w:eastAsia="zh-CN"/>
        </w:rPr>
        <w:t>一次性</w:t>
      </w:r>
      <w:r>
        <w:rPr>
          <w:rFonts w:hint="default" w:ascii="宋体" w:hAnsi="宋体" w:eastAsia="宋体" w:cs="宋体"/>
          <w:color w:val="000000"/>
          <w:sz w:val="24"/>
          <w:szCs w:val="24"/>
          <w:highlight w:val="none"/>
          <w:lang w:val="en-US"/>
        </w:rPr>
        <w:t>无息退还。若成交供应商违约，采购人视情节扣除保证金；若该保证金不足以赔付违约责任的，按合同相应条款约定赔付，且采购人可按“违约责任规定条款”处置。</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应于扣付之日起日内补足履约保证金。逾期未补足的，每日按</w:t>
      </w:r>
      <w:r>
        <w:rPr>
          <w:rFonts w:hint="eastAsia" w:ascii="宋体" w:hAnsi="宋体" w:eastAsia="宋体" w:cs="宋体"/>
          <w:color w:val="000000"/>
          <w:sz w:val="24"/>
          <w:szCs w:val="24"/>
          <w:highlight w:val="none"/>
          <w:lang w:val="en-US" w:eastAsia="zh-CN"/>
        </w:rPr>
        <w:t>履约</w:t>
      </w:r>
      <w:r>
        <w:rPr>
          <w:rFonts w:hint="default" w:ascii="宋体" w:hAnsi="宋体" w:eastAsia="宋体" w:cs="宋体"/>
          <w:color w:val="000000"/>
          <w:sz w:val="24"/>
          <w:szCs w:val="24"/>
          <w:highlight w:val="none"/>
          <w:lang w:val="en-US"/>
        </w:rPr>
        <w:t>保证金总额的每日万分之五支付滞纳金</w:t>
      </w:r>
      <w:r>
        <w:rPr>
          <w:rFonts w:hint="eastAsia" w:ascii="宋体" w:hAnsi="宋体" w:eastAsia="宋体" w:cs="宋体"/>
          <w:color w:val="000000"/>
          <w:sz w:val="24"/>
          <w:szCs w:val="24"/>
          <w:highlight w:val="none"/>
          <w:lang w:val="en-US" w:eastAsia="zh-CN"/>
        </w:rPr>
        <w:t>。</w:t>
      </w:r>
    </w:p>
    <w:p w14:paraId="034D9830">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5.3违约责任按双方签订合同及《中华人民共和国民法典》的相关规定执行。</w:t>
      </w:r>
    </w:p>
    <w:p w14:paraId="545DD3AD">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5.4被扣除的履约保证金应在 7 个工作日内补回采购人财务，否则采购人有权单面方面解除合同。</w:t>
      </w:r>
    </w:p>
    <w:p w14:paraId="76078E08">
      <w:pPr>
        <w:spacing w:line="500" w:lineRule="atLeast"/>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6违约责任</w:t>
      </w:r>
    </w:p>
    <w:p w14:paraId="6FDCD6C3">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6.1工作期间，发现供应商工作人员不穿工作服、不</w:t>
      </w:r>
      <w:r>
        <w:rPr>
          <w:rFonts w:hint="eastAsia" w:ascii="宋体" w:hAnsi="宋体" w:eastAsia="宋体" w:cs="宋体"/>
          <w:color w:val="000000"/>
          <w:sz w:val="24"/>
          <w:szCs w:val="24"/>
          <w:highlight w:val="none"/>
          <w:lang w:val="en-US" w:eastAsia="zh-CN"/>
        </w:rPr>
        <w:t>规范</w:t>
      </w:r>
      <w:r>
        <w:rPr>
          <w:rFonts w:hint="default" w:ascii="宋体" w:hAnsi="宋体" w:eastAsia="宋体" w:cs="宋体"/>
          <w:color w:val="000000"/>
          <w:sz w:val="24"/>
          <w:szCs w:val="24"/>
          <w:highlight w:val="none"/>
          <w:lang w:val="en-US"/>
        </w:rPr>
        <w:t>佩戴帽子口罩、不遵守卫生要求等，每次扣100元，且采购人有权要求供应商更换工作人员。食堂工作人员</w:t>
      </w:r>
      <w:r>
        <w:rPr>
          <w:rFonts w:hint="eastAsia" w:ascii="宋体" w:hAnsi="宋体" w:eastAsia="宋体" w:cs="宋体"/>
          <w:color w:val="000000"/>
          <w:sz w:val="24"/>
          <w:szCs w:val="24"/>
          <w:highlight w:val="none"/>
          <w:lang w:val="en-US" w:eastAsia="zh-CN"/>
        </w:rPr>
        <w:t>应</w:t>
      </w:r>
      <w:r>
        <w:rPr>
          <w:rFonts w:hint="default" w:ascii="宋体" w:hAnsi="宋体" w:eastAsia="宋体" w:cs="宋体"/>
          <w:color w:val="000000"/>
          <w:sz w:val="24"/>
          <w:szCs w:val="24"/>
          <w:highlight w:val="none"/>
          <w:lang w:val="en-US"/>
        </w:rPr>
        <w:t>按时上下班，</w:t>
      </w:r>
      <w:r>
        <w:rPr>
          <w:rFonts w:hint="eastAsia" w:ascii="宋体" w:hAnsi="宋体" w:eastAsia="宋体" w:cs="宋体"/>
          <w:color w:val="000000"/>
          <w:sz w:val="24"/>
          <w:szCs w:val="24"/>
          <w:highlight w:val="none"/>
          <w:lang w:val="en-US" w:eastAsia="zh-CN"/>
        </w:rPr>
        <w:t>如发现</w:t>
      </w:r>
      <w:r>
        <w:rPr>
          <w:rFonts w:hint="default" w:ascii="宋体" w:hAnsi="宋体" w:eastAsia="宋体" w:cs="宋体"/>
          <w:color w:val="000000"/>
          <w:sz w:val="24"/>
          <w:szCs w:val="24"/>
          <w:highlight w:val="none"/>
          <w:lang w:val="en-US"/>
        </w:rPr>
        <w:t>脱岗一次（通知后10分钟不能到岗）扣100元。</w:t>
      </w:r>
    </w:p>
    <w:p w14:paraId="7DF8F191">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6.2如发生饭菜有未熟、原材料未清洗，经核实情况属实，采购人有权更换供应商工作人员，发现饭菜有未熟、原材料未清洗干净或熟食中异物，经核实情况属实，每次扣100元，一个月内超过三次或</w:t>
      </w:r>
      <w:r>
        <w:rPr>
          <w:rFonts w:hint="eastAsia" w:ascii="宋体" w:hAnsi="宋体" w:eastAsia="宋体" w:cs="宋体"/>
          <w:color w:val="000000"/>
          <w:sz w:val="24"/>
          <w:szCs w:val="24"/>
          <w:highlight w:val="none"/>
          <w:lang w:val="en-US" w:eastAsia="zh-CN"/>
        </w:rPr>
        <w:t>半年内</w:t>
      </w:r>
      <w:r>
        <w:rPr>
          <w:rFonts w:hint="default" w:ascii="宋体" w:hAnsi="宋体" w:eastAsia="宋体" w:cs="宋体"/>
          <w:color w:val="000000"/>
          <w:sz w:val="24"/>
          <w:szCs w:val="24"/>
          <w:highlight w:val="none"/>
          <w:lang w:val="en-US"/>
        </w:rPr>
        <w:t>内共超过五次，采购人有权解除合同。</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工作人员不符合健康要求或提供的食品不符合食品安全标准造成就餐人员人身损害的，由</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承担全部责任。造成严重后果的，</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还有权单方解除合同。</w:t>
      </w:r>
    </w:p>
    <w:p w14:paraId="71D80194">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6.3采购人发现成交供应商使用的食材有腐烂、发霉、变质或其他不符合食用标准情形的，每次扣</w:t>
      </w:r>
      <w:r>
        <w:rPr>
          <w:rFonts w:hint="eastAsia" w:ascii="宋体" w:hAnsi="宋体" w:eastAsia="宋体" w:cs="宋体"/>
          <w:color w:val="000000"/>
          <w:sz w:val="24"/>
          <w:szCs w:val="24"/>
          <w:highlight w:val="none"/>
          <w:lang w:val="en-US" w:eastAsia="zh-CN"/>
        </w:rPr>
        <w:t>1000</w:t>
      </w:r>
      <w:r>
        <w:rPr>
          <w:rFonts w:hint="default" w:ascii="宋体" w:hAnsi="宋体" w:eastAsia="宋体" w:cs="宋体"/>
          <w:color w:val="000000"/>
          <w:sz w:val="24"/>
          <w:szCs w:val="24"/>
          <w:highlight w:val="none"/>
          <w:lang w:val="en-US"/>
        </w:rPr>
        <w:t>元，若发生三次及以上或造成食品安全责任事故，采购人有权解除合同。</w:t>
      </w:r>
    </w:p>
    <w:p w14:paraId="538665C0">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 xml:space="preserve">6.4发现食堂相关工作人员将原材料私自带走，对采购人造成损失的，成交供应商应全额赔偿并处罚 </w:t>
      </w:r>
      <w:r>
        <w:rPr>
          <w:rFonts w:hint="eastAsia" w:ascii="宋体" w:hAnsi="宋体" w:eastAsia="宋体" w:cs="宋体"/>
          <w:color w:val="000000"/>
          <w:sz w:val="24"/>
          <w:szCs w:val="24"/>
          <w:highlight w:val="none"/>
          <w:lang w:val="en-US" w:eastAsia="zh-CN"/>
        </w:rPr>
        <w:t>10</w:t>
      </w:r>
      <w:r>
        <w:rPr>
          <w:rFonts w:hint="default" w:ascii="宋体" w:hAnsi="宋体" w:eastAsia="宋体" w:cs="宋体"/>
          <w:color w:val="000000"/>
          <w:sz w:val="24"/>
          <w:szCs w:val="24"/>
          <w:highlight w:val="none"/>
          <w:lang w:val="en-US"/>
        </w:rPr>
        <w:t>00 元/次，且采购人有权解除合同。情节严重的还将移送司法部门处理。</w:t>
      </w:r>
    </w:p>
    <w:p w14:paraId="3A09CE56">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6.5如发现管理员与原材料配送公司私下勾结，对配送公司缺斤少两不提出补货或造假隐瞒原材料配送实际情况的，处罚 1000 元/次，</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有权要求</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更换相关管理人员，涉嫌犯罪的移送司法机关</w:t>
      </w:r>
      <w:r>
        <w:rPr>
          <w:rFonts w:hint="eastAsia" w:ascii="宋体" w:hAnsi="宋体" w:eastAsia="宋体" w:cs="宋体"/>
          <w:color w:val="000000"/>
          <w:sz w:val="24"/>
          <w:szCs w:val="24"/>
          <w:highlight w:val="none"/>
          <w:lang w:val="en-US" w:eastAsia="zh-CN"/>
        </w:rPr>
        <w:t>处理</w:t>
      </w:r>
      <w:r>
        <w:rPr>
          <w:rFonts w:hint="default" w:ascii="宋体" w:hAnsi="宋体" w:eastAsia="宋体" w:cs="宋体"/>
          <w:color w:val="000000"/>
          <w:sz w:val="24"/>
          <w:szCs w:val="24"/>
          <w:highlight w:val="none"/>
          <w:lang w:val="en-US"/>
        </w:rPr>
        <w:t>。</w:t>
      </w:r>
    </w:p>
    <w:p w14:paraId="28C26B75">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6.6遇有停水、停电、自然灾害等情形，成交供应商及时采取应急措施。</w:t>
      </w:r>
    </w:p>
    <w:p w14:paraId="57E5EF63">
      <w:pPr>
        <w:spacing w:line="500" w:lineRule="atLeast"/>
        <w:ind w:firstLine="240" w:firstLineChars="100"/>
        <w:rPr>
          <w:rFonts w:hint="default"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6.7中标供应商必须维护好</w:t>
      </w:r>
      <w:r>
        <w:rPr>
          <w:rFonts w:hint="default" w:ascii="宋体" w:hAnsi="宋体" w:eastAsia="宋体" w:cs="宋体"/>
          <w:color w:val="000000"/>
          <w:sz w:val="24"/>
          <w:szCs w:val="24"/>
          <w:highlight w:val="none"/>
          <w:lang w:val="en-US"/>
        </w:rPr>
        <w:t>食堂的环境卫生，</w:t>
      </w:r>
      <w:r>
        <w:rPr>
          <w:rFonts w:hint="eastAsia" w:ascii="宋体" w:hAnsi="宋体" w:eastAsia="宋体" w:cs="宋体"/>
          <w:color w:val="000000"/>
          <w:sz w:val="24"/>
          <w:szCs w:val="24"/>
          <w:highlight w:val="none"/>
          <w:lang w:val="en-US" w:eastAsia="zh-CN"/>
        </w:rPr>
        <w:t>如因管理不善造成食堂设施设备破损及环境污染，处罚1000元/次。</w:t>
      </w:r>
    </w:p>
    <w:p w14:paraId="4B0F2815">
      <w:pPr>
        <w:spacing w:line="500" w:lineRule="atLeast"/>
        <w:ind w:firstLine="240" w:firstLineChars="100"/>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w:t>
      </w:r>
      <w:r>
        <w:rPr>
          <w:rFonts w:hint="eastAsia" w:ascii="宋体" w:hAnsi="宋体" w:eastAsia="宋体" w:cs="宋体"/>
          <w:color w:val="000000"/>
          <w:sz w:val="24"/>
          <w:szCs w:val="24"/>
          <w:highlight w:val="none"/>
          <w:lang w:val="en-US" w:eastAsia="zh-CN"/>
        </w:rPr>
        <w:t>8</w:t>
      </w:r>
      <w:r>
        <w:rPr>
          <w:rFonts w:hint="default" w:ascii="宋体" w:hAnsi="宋体" w:eastAsia="宋体" w:cs="宋体"/>
          <w:color w:val="000000"/>
          <w:sz w:val="24"/>
          <w:szCs w:val="24"/>
          <w:highlight w:val="none"/>
          <w:lang w:val="en-US"/>
        </w:rPr>
        <w:t>采购人日常检查过程中发现成交供应商工作人员违反操作规程，有权扣除成交供应商 100 元/次的费用，违反操作规程 10 次</w:t>
      </w:r>
      <w:r>
        <w:rPr>
          <w:rFonts w:hint="eastAsia" w:ascii="宋体" w:hAnsi="宋体" w:eastAsia="宋体" w:cs="宋体"/>
          <w:color w:val="000000"/>
          <w:sz w:val="24"/>
          <w:szCs w:val="24"/>
          <w:highlight w:val="none"/>
          <w:lang w:val="en-US" w:eastAsia="zh-CN"/>
        </w:rPr>
        <w:t>，</w:t>
      </w:r>
      <w:r>
        <w:rPr>
          <w:rFonts w:hint="default" w:ascii="宋体" w:hAnsi="宋体" w:eastAsia="宋体" w:cs="宋体"/>
          <w:color w:val="000000"/>
          <w:sz w:val="24"/>
          <w:szCs w:val="24"/>
          <w:highlight w:val="none"/>
          <w:lang w:val="en-US"/>
        </w:rPr>
        <w:t>采购人有权解除合同。</w:t>
      </w:r>
    </w:p>
    <w:p w14:paraId="549682EA">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w:t>
      </w:r>
      <w:r>
        <w:rPr>
          <w:rFonts w:hint="eastAsia" w:ascii="宋体" w:hAnsi="宋体" w:eastAsia="宋体" w:cs="宋体"/>
          <w:color w:val="000000"/>
          <w:sz w:val="24"/>
          <w:szCs w:val="24"/>
          <w:highlight w:val="none"/>
          <w:lang w:val="en-US" w:eastAsia="zh-CN"/>
        </w:rPr>
        <w:t>9</w:t>
      </w:r>
      <w:r>
        <w:rPr>
          <w:rFonts w:hint="default" w:ascii="宋体" w:hAnsi="宋体" w:eastAsia="宋体" w:cs="宋体"/>
          <w:color w:val="000000"/>
          <w:sz w:val="24"/>
          <w:szCs w:val="24"/>
          <w:highlight w:val="none"/>
          <w:lang w:val="en-US"/>
        </w:rPr>
        <w:t>成交供应商经营管理期间，由于管理不善造成食物中毒事故的，采购人按事故轻重及以下标准予以处：（1）发生中毒人数在 10 人（含）以上 30 人以下的中毒事故，除接受政府职能部门的处罚和追究相关法律责任及承担受害人的医疗费用和赔偿费用外，成交供应商还应向采购人支付违约金 2 万元。在事故处理完毕后，由此造成的一切损失由成交供应商承担。（2）中毒人数少于 10 人的，除接受政府职能部门的处罚和追究相关法律责任及承担受害人的医疗费用和赔偿费用外，成交供应商还应向采购人支付违约金 1 万元。在事故处理完毕后，由此造成的一切损失由成交供应商承担。（3）出现人员中毒事件，采购人有权终止本合同。</w:t>
      </w:r>
    </w:p>
    <w:p w14:paraId="4A98A82F">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w:t>
      </w:r>
      <w:r>
        <w:rPr>
          <w:rFonts w:hint="eastAsia" w:ascii="宋体" w:hAnsi="宋体" w:eastAsia="宋体" w:cs="宋体"/>
          <w:color w:val="000000"/>
          <w:sz w:val="24"/>
          <w:szCs w:val="24"/>
          <w:highlight w:val="none"/>
          <w:lang w:val="en-US" w:eastAsia="zh-CN"/>
        </w:rPr>
        <w:t>10</w:t>
      </w:r>
      <w:r>
        <w:rPr>
          <w:rFonts w:hint="default" w:ascii="宋体" w:hAnsi="宋体" w:eastAsia="宋体" w:cs="宋体"/>
          <w:color w:val="000000"/>
          <w:sz w:val="24"/>
          <w:szCs w:val="24"/>
          <w:highlight w:val="none"/>
          <w:lang w:val="en-US"/>
        </w:rPr>
        <w:t>供应商按《职工食堂管理办法》要求，每季度进行一次职工《食堂满意度测评》，由采购人负责监督，</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提供的服务应达到以下要求：菜品做到每日新鲜；食堂卫生做到干净整洁；</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满意度达</w:t>
      </w:r>
      <w:r>
        <w:rPr>
          <w:rFonts w:hint="eastAsia" w:ascii="宋体" w:hAnsi="宋体" w:eastAsia="宋体" w:cs="宋体"/>
          <w:color w:val="000000"/>
          <w:sz w:val="24"/>
          <w:szCs w:val="24"/>
          <w:highlight w:val="none"/>
          <w:lang w:val="en-US" w:eastAsia="zh-CN"/>
        </w:rPr>
        <w:t>80分</w:t>
      </w:r>
      <w:r>
        <w:rPr>
          <w:rFonts w:hint="default" w:ascii="宋体" w:hAnsi="宋体" w:eastAsia="宋体" w:cs="宋体"/>
          <w:color w:val="000000"/>
          <w:sz w:val="24"/>
          <w:szCs w:val="24"/>
          <w:highlight w:val="none"/>
          <w:lang w:val="en-US"/>
        </w:rPr>
        <w:t>以上</w:t>
      </w:r>
      <w:r>
        <w:rPr>
          <w:rFonts w:hint="eastAsia" w:ascii="宋体" w:hAnsi="宋体" w:eastAsia="宋体" w:cs="宋体"/>
          <w:color w:val="000000"/>
          <w:sz w:val="24"/>
          <w:szCs w:val="24"/>
          <w:highlight w:val="none"/>
          <w:lang w:val="en-US" w:eastAsia="zh-CN"/>
        </w:rPr>
        <w:t>。</w:t>
      </w:r>
    </w:p>
    <w:p w14:paraId="4AF5E069">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6.1</w:t>
      </w:r>
      <w:r>
        <w:rPr>
          <w:rFonts w:hint="eastAsia" w:ascii="宋体" w:hAnsi="宋体" w:eastAsia="宋体" w:cs="宋体"/>
          <w:color w:val="000000"/>
          <w:sz w:val="24"/>
          <w:szCs w:val="24"/>
          <w:highlight w:val="none"/>
          <w:lang w:val="en-US" w:eastAsia="zh-CN"/>
        </w:rPr>
        <w:t>1</w:t>
      </w:r>
      <w:r>
        <w:rPr>
          <w:rFonts w:hint="default" w:ascii="宋体" w:hAnsi="宋体" w:eastAsia="宋体" w:cs="宋体"/>
          <w:color w:val="000000"/>
          <w:sz w:val="24"/>
          <w:szCs w:val="24"/>
          <w:highlight w:val="none"/>
          <w:lang w:val="en-US"/>
        </w:rPr>
        <w:t>合同履行期满或合同因其他原因终止的，</w:t>
      </w:r>
      <w:r>
        <w:rPr>
          <w:rFonts w:hint="eastAsia" w:ascii="宋体" w:hAnsi="宋体" w:eastAsia="宋体" w:cs="宋体"/>
          <w:color w:val="000000"/>
          <w:sz w:val="24"/>
          <w:szCs w:val="24"/>
          <w:highlight w:val="none"/>
          <w:lang w:val="en-US" w:eastAsia="zh-CN"/>
        </w:rPr>
        <w:t>成交供应商</w:t>
      </w:r>
      <w:r>
        <w:rPr>
          <w:rFonts w:hint="default" w:ascii="宋体" w:hAnsi="宋体" w:eastAsia="宋体" w:cs="宋体"/>
          <w:color w:val="000000"/>
          <w:sz w:val="24"/>
          <w:szCs w:val="24"/>
          <w:highlight w:val="none"/>
          <w:lang w:val="en-US"/>
        </w:rPr>
        <w:t>应配合</w:t>
      </w:r>
      <w:r>
        <w:rPr>
          <w:rFonts w:hint="eastAsia" w:ascii="宋体" w:hAnsi="宋体" w:eastAsia="宋体" w:cs="宋体"/>
          <w:color w:val="000000"/>
          <w:sz w:val="24"/>
          <w:szCs w:val="24"/>
          <w:highlight w:val="none"/>
          <w:lang w:val="en-US" w:eastAsia="zh-CN"/>
        </w:rPr>
        <w:t>采购人</w:t>
      </w:r>
      <w:r>
        <w:rPr>
          <w:rFonts w:hint="default" w:ascii="宋体" w:hAnsi="宋体" w:eastAsia="宋体" w:cs="宋体"/>
          <w:color w:val="000000"/>
          <w:sz w:val="24"/>
          <w:szCs w:val="24"/>
          <w:highlight w:val="none"/>
          <w:lang w:val="en-US"/>
        </w:rPr>
        <w:t>办理交接手续，交接完成后才能撤离，超出服务期的服务费用按原合同费用折合天数计算。合同因履行期满或其他原因终止，成交供应商未配合采购人办理好交接后就撤离的，采购人有权扣除 30%的履约保证金，若履约保证金不足以弥补给采购人造成的损失，成交供应商还应承担相应赔偿责任。</w:t>
      </w:r>
    </w:p>
    <w:p w14:paraId="1AF9DDE1">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6.1</w:t>
      </w:r>
      <w:r>
        <w:rPr>
          <w:rFonts w:hint="eastAsia" w:ascii="宋体" w:hAnsi="宋体" w:eastAsia="宋体" w:cs="宋体"/>
          <w:color w:val="000000"/>
          <w:sz w:val="24"/>
          <w:szCs w:val="24"/>
          <w:highlight w:val="none"/>
          <w:lang w:val="en-US" w:eastAsia="zh-CN"/>
        </w:rPr>
        <w:t>2</w:t>
      </w:r>
      <w:r>
        <w:rPr>
          <w:rFonts w:hint="default" w:ascii="宋体" w:hAnsi="宋体" w:eastAsia="宋体" w:cs="宋体"/>
          <w:color w:val="000000"/>
          <w:sz w:val="24"/>
          <w:szCs w:val="24"/>
          <w:highlight w:val="none"/>
          <w:lang w:val="en-US"/>
        </w:rPr>
        <w:t>经营管理期间，在未报备的情况下，成交供应商变更公司法人代表人，影响到食堂的正常运行的，采购人有权终止合同，并没收成交供应商方履约保证金。</w:t>
      </w:r>
    </w:p>
    <w:p w14:paraId="1EAD2E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7、合同解除条件</w:t>
      </w:r>
    </w:p>
    <w:p w14:paraId="4777EF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成交供应商出现以下情形之一的，采购人有权单方解除合同，并不予退还成交供应商履约保证金。有下列情形的，采购人同时还有权拒绝支付各类款项，要求成交供应商赔偿损失并承担相关费用；涉嫌犯罪的，交由司法部门处理。</w:t>
      </w:r>
    </w:p>
    <w:p w14:paraId="2C2D2CCD">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7.1成交供应商出现“违约责任”中及本文件中约定采购人有权单方面终止合同的情况。</w:t>
      </w:r>
    </w:p>
    <w:p w14:paraId="0EA33203">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7.2成交供应商经营管理服务能力丧失，致使食堂经营管理服务无法正常进行的；</w:t>
      </w:r>
    </w:p>
    <w:p w14:paraId="60092260">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7.3涉及食品安全、用工安全等重大事项的，经一次整改后仍不能达到采购人合理要求的；</w:t>
      </w:r>
    </w:p>
    <w:p w14:paraId="04E2B91C">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7.4成交供应商转让、转包、分包的；</w:t>
      </w:r>
    </w:p>
    <w:p w14:paraId="103EAAAC">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7.5成交供应商在未经采购人允许私自停止营业；</w:t>
      </w:r>
    </w:p>
    <w:p w14:paraId="172D2A9B">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7.6妨碍、阻挠采购人管理人员行使管理职责和维护正当权益，2 次劝说不改的；</w:t>
      </w:r>
    </w:p>
    <w:p w14:paraId="15AE2434">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7.7发生火灾造成重大经济损失或者造成人员死亡或重伤的；</w:t>
      </w:r>
    </w:p>
    <w:p w14:paraId="79196CC0">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宋体" w:hAnsi="宋体" w:eastAsia="宋体" w:cs="宋体"/>
          <w:color w:val="000000"/>
          <w:sz w:val="24"/>
          <w:szCs w:val="24"/>
          <w:highlight w:val="none"/>
          <w:lang w:val="en-US"/>
        </w:rPr>
      </w:pPr>
      <w:r>
        <w:rPr>
          <w:rFonts w:hint="default" w:ascii="宋体" w:hAnsi="宋体" w:eastAsia="宋体" w:cs="宋体"/>
          <w:color w:val="000000"/>
          <w:sz w:val="24"/>
          <w:szCs w:val="24"/>
          <w:highlight w:val="none"/>
          <w:lang w:val="en-US"/>
        </w:rPr>
        <w:t>7.8拒绝履行赔偿采购人损失的；</w:t>
      </w:r>
    </w:p>
    <w:p w14:paraId="5543A3C4">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黑体" w:eastAsia="黑体"/>
          <w:color w:val="000000"/>
          <w:spacing w:val="-2"/>
          <w:sz w:val="28"/>
        </w:rPr>
      </w:pPr>
      <w:r>
        <w:rPr>
          <w:rFonts w:hint="default" w:ascii="宋体" w:hAnsi="宋体" w:eastAsia="宋体" w:cs="宋体"/>
          <w:color w:val="000000"/>
          <w:sz w:val="24"/>
          <w:szCs w:val="24"/>
          <w:highlight w:val="none"/>
          <w:lang w:val="en-US"/>
        </w:rPr>
        <w:t>7.9依照《食堂检查考核办法》连续两</w:t>
      </w:r>
      <w:r>
        <w:rPr>
          <w:rFonts w:hint="eastAsia" w:ascii="宋体" w:hAnsi="宋体" w:eastAsia="宋体" w:cs="宋体"/>
          <w:color w:val="000000"/>
          <w:sz w:val="24"/>
          <w:szCs w:val="24"/>
          <w:highlight w:val="none"/>
          <w:lang w:val="en-US" w:eastAsia="zh-CN"/>
        </w:rPr>
        <w:t>次</w:t>
      </w:r>
      <w:r>
        <w:rPr>
          <w:rFonts w:hint="default" w:ascii="宋体" w:hAnsi="宋体" w:eastAsia="宋体" w:cs="宋体"/>
          <w:color w:val="000000"/>
          <w:sz w:val="24"/>
          <w:szCs w:val="24"/>
          <w:highlight w:val="none"/>
          <w:lang w:val="en-US"/>
        </w:rPr>
        <w:t>考评低于</w:t>
      </w:r>
      <w:r>
        <w:rPr>
          <w:rFonts w:hint="eastAsia" w:ascii="宋体" w:hAnsi="宋体" w:eastAsia="宋体" w:cs="宋体"/>
          <w:color w:val="000000"/>
          <w:sz w:val="24"/>
          <w:szCs w:val="24"/>
          <w:highlight w:val="none"/>
          <w:lang w:val="en-US" w:eastAsia="zh-CN"/>
        </w:rPr>
        <w:t>6</w:t>
      </w:r>
      <w:r>
        <w:rPr>
          <w:rFonts w:hint="default" w:ascii="宋体" w:hAnsi="宋体" w:eastAsia="宋体" w:cs="宋体"/>
          <w:color w:val="000000"/>
          <w:sz w:val="24"/>
          <w:szCs w:val="24"/>
          <w:highlight w:val="none"/>
          <w:lang w:val="en-US"/>
        </w:rPr>
        <w:t>0分或</w:t>
      </w:r>
      <w:r>
        <w:rPr>
          <w:rFonts w:hint="eastAsia" w:ascii="宋体" w:hAnsi="宋体" w:eastAsia="宋体" w:cs="宋体"/>
          <w:color w:val="000000"/>
          <w:sz w:val="24"/>
          <w:szCs w:val="24"/>
          <w:highlight w:val="none"/>
          <w:lang w:val="en-US" w:eastAsia="zh-CN"/>
        </w:rPr>
        <w:t>半</w:t>
      </w:r>
      <w:r>
        <w:rPr>
          <w:rFonts w:hint="default" w:ascii="宋体" w:hAnsi="宋体" w:eastAsia="宋体" w:cs="宋体"/>
          <w:color w:val="000000"/>
          <w:sz w:val="24"/>
          <w:szCs w:val="24"/>
          <w:highlight w:val="none"/>
          <w:lang w:val="en-US"/>
        </w:rPr>
        <w:t>年度平均低于7</w:t>
      </w:r>
      <w:r>
        <w:rPr>
          <w:rFonts w:hint="eastAsia" w:ascii="宋体" w:hAnsi="宋体" w:eastAsia="宋体" w:cs="宋体"/>
          <w:color w:val="000000"/>
          <w:sz w:val="24"/>
          <w:szCs w:val="24"/>
          <w:highlight w:val="none"/>
          <w:lang w:val="en-US" w:eastAsia="zh-CN"/>
        </w:rPr>
        <w:t>5</w:t>
      </w:r>
      <w:r>
        <w:rPr>
          <w:rFonts w:hint="default" w:ascii="宋体" w:hAnsi="宋体" w:eastAsia="宋体" w:cs="宋体"/>
          <w:color w:val="000000"/>
          <w:sz w:val="24"/>
          <w:szCs w:val="24"/>
          <w:highlight w:val="none"/>
          <w:lang w:val="en-US"/>
        </w:rPr>
        <w:t>分。</w:t>
      </w:r>
    </w:p>
    <w:p w14:paraId="5F1F6D9E">
      <w:pPr>
        <w:pStyle w:val="9"/>
        <w:keepNext w:val="0"/>
        <w:keepLines w:val="0"/>
        <w:pageBreakBefore w:val="0"/>
        <w:widowControl w:val="0"/>
        <w:kinsoku/>
        <w:wordWrap/>
        <w:overflowPunct/>
        <w:topLinePunct w:val="0"/>
        <w:autoSpaceDE w:val="0"/>
        <w:autoSpaceDN w:val="0"/>
        <w:bidi w:val="0"/>
        <w:adjustRightInd w:val="0"/>
        <w:snapToGrid/>
        <w:spacing w:before="157" w:beforeLines="50" w:line="400" w:lineRule="exact"/>
        <w:textAlignment w:val="auto"/>
        <w:rPr>
          <w:rFonts w:ascii="黑体" w:eastAsia="黑体"/>
          <w:color w:val="000000"/>
          <w:spacing w:val="-2"/>
          <w:sz w:val="28"/>
        </w:rPr>
        <w:sectPr>
          <w:headerReference r:id="rId3" w:type="default"/>
          <w:footerReference r:id="rId4" w:type="default"/>
          <w:pgSz w:w="11906" w:h="16838"/>
          <w:pgMar w:top="1100" w:right="1174" w:bottom="1100" w:left="1174" w:header="851" w:footer="992" w:gutter="0"/>
          <w:cols w:space="720" w:num="1"/>
          <w:docGrid w:type="linesAndChars" w:linePitch="312" w:charSpace="0"/>
        </w:sectPr>
      </w:pPr>
    </w:p>
    <w:p w14:paraId="32046222">
      <w:pPr>
        <w:pStyle w:val="9"/>
        <w:keepNext w:val="0"/>
        <w:keepLines w:val="0"/>
        <w:pageBreakBefore w:val="0"/>
        <w:widowControl w:val="0"/>
        <w:kinsoku/>
        <w:wordWrap/>
        <w:overflowPunct/>
        <w:topLinePunct w:val="0"/>
        <w:autoSpaceDE w:val="0"/>
        <w:autoSpaceDN w:val="0"/>
        <w:bidi w:val="0"/>
        <w:adjustRightInd w:val="0"/>
        <w:snapToGrid/>
        <w:spacing w:before="157" w:beforeLines="50" w:line="400" w:lineRule="exact"/>
        <w:textAlignment w:val="auto"/>
        <w:rPr>
          <w:rFonts w:ascii="黑体" w:eastAsia="黑体"/>
          <w:color w:val="000000"/>
          <w:spacing w:val="-10"/>
          <w:sz w:val="28"/>
        </w:rPr>
      </w:pPr>
      <w:r>
        <w:rPr>
          <w:rFonts w:ascii="黑体" w:eastAsia="黑体"/>
          <w:color w:val="000000"/>
          <w:spacing w:val="-2"/>
          <w:sz w:val="28"/>
        </w:rPr>
        <w:t>附件</w:t>
      </w:r>
      <w:r>
        <w:rPr>
          <w:rFonts w:ascii="黑体" w:eastAsia="黑体"/>
          <w:color w:val="000000"/>
          <w:spacing w:val="-70"/>
          <w:sz w:val="28"/>
        </w:rPr>
        <w:t xml:space="preserve"> </w:t>
      </w:r>
      <w:r>
        <w:rPr>
          <w:rFonts w:ascii="黑体" w:eastAsia="黑体"/>
          <w:color w:val="000000"/>
          <w:spacing w:val="-7"/>
          <w:sz w:val="28"/>
        </w:rPr>
        <w:t>1：</w:t>
      </w:r>
      <w:r>
        <w:rPr>
          <w:rFonts w:ascii="黑体" w:eastAsia="黑体"/>
          <w:color w:val="000000"/>
          <w:sz w:val="28"/>
        </w:rPr>
        <w:tab/>
      </w:r>
      <w:r>
        <w:rPr>
          <w:rFonts w:ascii="黑体" w:eastAsia="黑体"/>
          <w:color w:val="000000"/>
          <w:spacing w:val="-2"/>
          <w:sz w:val="28"/>
        </w:rPr>
        <w:t>食堂检查考核</w:t>
      </w:r>
      <w:r>
        <w:rPr>
          <w:rFonts w:ascii="黑体" w:eastAsia="黑体"/>
          <w:color w:val="000000"/>
          <w:spacing w:val="-10"/>
          <w:sz w:val="28"/>
        </w:rPr>
        <w:t>表</w:t>
      </w:r>
    </w:p>
    <w:p w14:paraId="281F6C7B">
      <w:pPr>
        <w:pStyle w:val="9"/>
        <w:keepNext w:val="0"/>
        <w:keepLines w:val="0"/>
        <w:pageBreakBefore w:val="0"/>
        <w:widowControl w:val="0"/>
        <w:kinsoku/>
        <w:wordWrap/>
        <w:overflowPunct/>
        <w:topLinePunct w:val="0"/>
        <w:autoSpaceDE w:val="0"/>
        <w:autoSpaceDN w:val="0"/>
        <w:bidi w:val="0"/>
        <w:adjustRightInd w:val="0"/>
        <w:snapToGrid/>
        <w:spacing w:before="157" w:beforeLines="50" w:line="400" w:lineRule="exact"/>
        <w:textAlignment w:val="auto"/>
        <w:rPr>
          <w:rFonts w:hint="eastAsia" w:ascii="黑体" w:eastAsia="黑体"/>
          <w:color w:val="000000"/>
          <w:spacing w:val="-10"/>
          <w:sz w:val="28"/>
        </w:rPr>
      </w:pPr>
    </w:p>
    <w:p w14:paraId="76876D4A">
      <w:pPr>
        <w:pStyle w:val="9"/>
        <w:keepNext w:val="0"/>
        <w:keepLines w:val="0"/>
        <w:pageBreakBefore w:val="0"/>
        <w:widowControl w:val="0"/>
        <w:kinsoku/>
        <w:wordWrap/>
        <w:overflowPunct/>
        <w:topLinePunct w:val="0"/>
        <w:autoSpaceDE w:val="0"/>
        <w:autoSpaceDN w:val="0"/>
        <w:bidi w:val="0"/>
        <w:adjustRightInd w:val="0"/>
        <w:snapToGrid/>
        <w:spacing w:before="157" w:beforeLines="50" w:line="400" w:lineRule="exact"/>
        <w:textAlignment w:val="auto"/>
        <w:rPr>
          <w:rFonts w:hint="eastAsia" w:ascii="黑体" w:eastAsia="黑体"/>
          <w:color w:val="000000"/>
          <w:spacing w:val="-10"/>
          <w:sz w:val="28"/>
        </w:rPr>
        <w:sectPr>
          <w:pgSz w:w="11906" w:h="16838"/>
          <w:pgMar w:top="1100" w:right="1174" w:bottom="1100" w:left="1174" w:header="851" w:footer="992" w:gutter="0"/>
          <w:cols w:space="720" w:num="1"/>
          <w:docGrid w:type="linesAndChars" w:linePitch="312" w:charSpace="0"/>
        </w:sectPr>
      </w:pPr>
      <w:r>
        <w:rPr>
          <w:rFonts w:ascii="黑体"/>
          <w:color w:val="000000"/>
          <w:sz w:val="20"/>
        </w:rPr>
        <w:drawing>
          <wp:anchor distT="0" distB="0" distL="114300" distR="114300" simplePos="0" relativeHeight="251659264" behindDoc="0" locked="0" layoutInCell="1" allowOverlap="1">
            <wp:simplePos x="0" y="0"/>
            <wp:positionH relativeFrom="column">
              <wp:posOffset>268605</wp:posOffset>
            </wp:positionH>
            <wp:positionV relativeFrom="paragraph">
              <wp:posOffset>-333375</wp:posOffset>
            </wp:positionV>
            <wp:extent cx="5188585" cy="8620125"/>
            <wp:effectExtent l="0" t="0" r="12065" b="9525"/>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6"/>
                    <a:stretch>
                      <a:fillRect/>
                    </a:stretch>
                  </pic:blipFill>
                  <pic:spPr>
                    <a:xfrm>
                      <a:off x="0" y="0"/>
                      <a:ext cx="5188585" cy="8620125"/>
                    </a:xfrm>
                    <a:prstGeom prst="rect">
                      <a:avLst/>
                    </a:prstGeom>
                    <a:noFill/>
                    <a:ln>
                      <a:noFill/>
                    </a:ln>
                  </pic:spPr>
                </pic:pic>
              </a:graphicData>
            </a:graphic>
          </wp:anchor>
        </w:drawing>
      </w:r>
    </w:p>
    <w:p w14:paraId="046A7959">
      <w:pPr>
        <w:tabs>
          <w:tab w:val="left" w:pos="5943"/>
        </w:tabs>
        <w:spacing w:before="210"/>
        <w:ind w:left="100" w:right="0" w:firstLine="0"/>
        <w:jc w:val="left"/>
        <w:rPr>
          <w:rFonts w:ascii="黑体" w:eastAsia="黑体"/>
          <w:color w:val="000000"/>
          <w:sz w:val="36"/>
          <w:szCs w:val="16"/>
        </w:rPr>
      </w:pPr>
      <w:r>
        <w:rPr>
          <w:rFonts w:hint="eastAsia" w:ascii="黑体" w:hAnsi="Times New Roman" w:eastAsia="黑体" w:cs="Times New Roman"/>
          <w:color w:val="000000"/>
          <w:spacing w:val="-2"/>
          <w:kern w:val="0"/>
          <w:sz w:val="28"/>
          <w:szCs w:val="24"/>
          <w:lang w:val="en-US" w:eastAsia="zh-CN" w:bidi="ar-SA"/>
        </w:rPr>
        <w:t xml:space="preserve">附件 2: </w:t>
      </w:r>
      <w:r>
        <w:rPr>
          <w:rFonts w:ascii="黑体" w:eastAsia="黑体"/>
          <w:color w:val="000000"/>
          <w:w w:val="95"/>
          <w:sz w:val="36"/>
          <w:szCs w:val="16"/>
        </w:rPr>
        <w:t>食堂满意度测评</w:t>
      </w:r>
      <w:r>
        <w:rPr>
          <w:rFonts w:ascii="黑体" w:eastAsia="黑体"/>
          <w:color w:val="000000"/>
          <w:spacing w:val="-10"/>
          <w:w w:val="95"/>
          <w:sz w:val="36"/>
          <w:szCs w:val="16"/>
        </w:rPr>
        <w:t>表</w:t>
      </w:r>
    </w:p>
    <w:p w14:paraId="65C7BB87">
      <w:pPr>
        <w:keepNext w:val="0"/>
        <w:keepLines w:val="0"/>
        <w:pageBreakBefore w:val="0"/>
        <w:widowControl w:val="0"/>
        <w:kinsoku/>
        <w:wordWrap/>
        <w:overflowPunct/>
        <w:topLinePunct w:val="0"/>
        <w:autoSpaceDE/>
        <w:autoSpaceDN/>
        <w:bidi w:val="0"/>
        <w:adjustRightInd/>
        <w:snapToGrid/>
        <w:spacing w:before="0" w:beforeLines="50" w:line="500" w:lineRule="atLeast"/>
        <w:ind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为进一步完善食堂服务质量,提升就餐者满意度,请您根据您的亲身感受,根据满意度情况进行打分（本测评每月一次，基本满意，不满意请提出原由及意见以便食堂加以改进）</w:t>
      </w:r>
    </w:p>
    <w:p w14:paraId="71E80925">
      <w:pPr>
        <w:spacing w:line="500" w:lineRule="atLeast"/>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备注：基本满意，不满意，未填写原由及意见视同废票。</w:t>
      </w:r>
    </w:p>
    <w:p w14:paraId="0C256538">
      <w:pPr>
        <w:pStyle w:val="2"/>
        <w:rPr>
          <w:rFonts w:hint="eastAsia" w:ascii="宋体" w:hAnsi="宋体" w:eastAsia="宋体" w:cs="宋体"/>
          <w:color w:val="000000"/>
          <w:sz w:val="24"/>
          <w:szCs w:val="24"/>
        </w:rPr>
      </w:pPr>
    </w:p>
    <w:tbl>
      <w:tblPr>
        <w:tblStyle w:val="6"/>
        <w:tblW w:w="501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817"/>
        <w:gridCol w:w="1170"/>
        <w:gridCol w:w="1449"/>
        <w:gridCol w:w="1449"/>
        <w:gridCol w:w="1397"/>
        <w:gridCol w:w="1051"/>
      </w:tblGrid>
      <w:tr w14:paraId="437F78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31" w:hRule="atLeast"/>
        </w:trPr>
        <w:tc>
          <w:tcPr>
            <w:tcW w:w="1090" w:type="pct"/>
            <w:noWrap w:val="0"/>
            <w:vAlign w:val="center"/>
          </w:tcPr>
          <w:p w14:paraId="56FA1F92">
            <w:pPr>
              <w:pStyle w:val="10"/>
              <w:spacing w:before="3"/>
              <w:ind w:right="433"/>
              <w:jc w:val="center"/>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 xml:space="preserve">    测评项目</w:t>
            </w:r>
          </w:p>
        </w:tc>
        <w:tc>
          <w:tcPr>
            <w:tcW w:w="702" w:type="pct"/>
            <w:noWrap w:val="0"/>
            <w:vAlign w:val="center"/>
          </w:tcPr>
          <w:p w14:paraId="4D330BD3">
            <w:pPr>
              <w:pStyle w:val="10"/>
              <w:keepNext w:val="0"/>
              <w:keepLines w:val="0"/>
              <w:pageBreakBefore w:val="0"/>
              <w:widowControl w:val="0"/>
              <w:kinsoku/>
              <w:wordWrap/>
              <w:overflowPunct/>
              <w:topLinePunct w:val="0"/>
              <w:autoSpaceDE w:val="0"/>
              <w:autoSpaceDN w:val="0"/>
              <w:bidi w:val="0"/>
              <w:adjustRightInd/>
              <w:snapToGrid/>
              <w:spacing w:line="240" w:lineRule="auto"/>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非常满意</w:t>
            </w:r>
          </w:p>
          <w:p w14:paraId="1BC6DF86">
            <w:pPr>
              <w:pStyle w:val="10"/>
              <w:keepNext w:val="0"/>
              <w:keepLines w:val="0"/>
              <w:pageBreakBefore w:val="0"/>
              <w:widowControl w:val="0"/>
              <w:kinsoku/>
              <w:wordWrap/>
              <w:overflowPunct/>
              <w:topLinePunct w:val="0"/>
              <w:autoSpaceDE w:val="0"/>
              <w:autoSpaceDN w:val="0"/>
              <w:bidi w:val="0"/>
              <w:adjustRightInd/>
              <w:snapToGrid/>
              <w:spacing w:line="240" w:lineRule="auto"/>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(100-90)</w:t>
            </w:r>
          </w:p>
        </w:tc>
        <w:tc>
          <w:tcPr>
            <w:tcW w:w="869" w:type="pct"/>
            <w:noWrap w:val="0"/>
            <w:vAlign w:val="center"/>
          </w:tcPr>
          <w:p w14:paraId="35DBB051">
            <w:pPr>
              <w:pStyle w:val="10"/>
              <w:keepNext w:val="0"/>
              <w:keepLines w:val="0"/>
              <w:pageBreakBefore w:val="0"/>
              <w:widowControl w:val="0"/>
              <w:kinsoku/>
              <w:wordWrap/>
              <w:overflowPunct/>
              <w:topLinePunct w:val="0"/>
              <w:autoSpaceDE w:val="0"/>
              <w:autoSpaceDN w:val="0"/>
              <w:bidi w:val="0"/>
              <w:adjustRightInd/>
              <w:snapToGrid/>
              <w:spacing w:line="240" w:lineRule="auto"/>
              <w:ind w:right="597"/>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满意 (89-70)</w:t>
            </w:r>
          </w:p>
        </w:tc>
        <w:tc>
          <w:tcPr>
            <w:tcW w:w="869" w:type="pct"/>
            <w:noWrap w:val="0"/>
            <w:vAlign w:val="center"/>
          </w:tcPr>
          <w:p w14:paraId="525CD9CC">
            <w:pPr>
              <w:pStyle w:val="10"/>
              <w:keepNext w:val="0"/>
              <w:keepLines w:val="0"/>
              <w:pageBreakBefore w:val="0"/>
              <w:widowControl w:val="0"/>
              <w:kinsoku/>
              <w:wordWrap/>
              <w:overflowPunct/>
              <w:topLinePunct w:val="0"/>
              <w:autoSpaceDE w:val="0"/>
              <w:autoSpaceDN w:val="0"/>
              <w:bidi w:val="0"/>
              <w:adjustRightInd/>
              <w:snapToGrid/>
              <w:spacing w:after="0" w:line="240" w:lineRule="auto"/>
              <w:ind w:right="595"/>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基本满意  (69-60)</w:t>
            </w:r>
          </w:p>
        </w:tc>
        <w:tc>
          <w:tcPr>
            <w:tcW w:w="837" w:type="pct"/>
            <w:noWrap w:val="0"/>
            <w:vAlign w:val="center"/>
          </w:tcPr>
          <w:p w14:paraId="4DF446F0">
            <w:pPr>
              <w:pStyle w:val="10"/>
              <w:keepNext w:val="0"/>
              <w:keepLines w:val="0"/>
              <w:pageBreakBefore w:val="0"/>
              <w:widowControl w:val="0"/>
              <w:kinsoku/>
              <w:wordWrap/>
              <w:overflowPunct/>
              <w:topLinePunct w:val="0"/>
              <w:autoSpaceDE w:val="0"/>
              <w:autoSpaceDN w:val="0"/>
              <w:bidi w:val="0"/>
              <w:adjustRightInd/>
              <w:snapToGrid/>
              <w:spacing w:line="240" w:lineRule="auto"/>
              <w:ind w:right="389"/>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不满意</w:t>
            </w:r>
          </w:p>
          <w:p w14:paraId="346474D7">
            <w:pPr>
              <w:pStyle w:val="10"/>
              <w:keepNext w:val="0"/>
              <w:keepLines w:val="0"/>
              <w:pageBreakBefore w:val="0"/>
              <w:widowControl w:val="0"/>
              <w:kinsoku/>
              <w:wordWrap/>
              <w:overflowPunct/>
              <w:topLinePunct w:val="0"/>
              <w:autoSpaceDE w:val="0"/>
              <w:autoSpaceDN w:val="0"/>
              <w:bidi w:val="0"/>
              <w:adjustRightInd/>
              <w:snapToGrid/>
              <w:spacing w:line="240" w:lineRule="auto"/>
              <w:ind w:right="389"/>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(60 以下）</w:t>
            </w:r>
          </w:p>
        </w:tc>
        <w:tc>
          <w:tcPr>
            <w:tcW w:w="630" w:type="pct"/>
            <w:noWrap w:val="0"/>
            <w:vAlign w:val="center"/>
          </w:tcPr>
          <w:p w14:paraId="4F2E4546">
            <w:pPr>
              <w:pStyle w:val="10"/>
              <w:keepNext w:val="0"/>
              <w:keepLines w:val="0"/>
              <w:pageBreakBefore w:val="0"/>
              <w:widowControl w:val="0"/>
              <w:kinsoku/>
              <w:wordWrap/>
              <w:overflowPunct/>
              <w:topLinePunct w:val="0"/>
              <w:autoSpaceDE w:val="0"/>
              <w:autoSpaceDN w:val="0"/>
              <w:bidi w:val="0"/>
              <w:adjustRightInd/>
              <w:snapToGrid/>
              <w:spacing w:line="240" w:lineRule="auto"/>
              <w:jc w:val="center"/>
              <w:textAlignment w:val="auto"/>
              <w:rPr>
                <w:rFonts w:hint="eastAsia" w:ascii="宋体" w:hAnsi="宋体" w:eastAsia="宋体" w:cs="宋体"/>
                <w:b/>
                <w:bCs/>
                <w:color w:val="000000"/>
                <w:w w:val="99"/>
                <w:kern w:val="2"/>
                <w:sz w:val="24"/>
                <w:szCs w:val="24"/>
                <w:lang w:val="en-US" w:eastAsia="zh-CN" w:bidi="ar-SA"/>
              </w:rPr>
            </w:pPr>
            <w:r>
              <w:rPr>
                <w:rFonts w:hint="eastAsia" w:ascii="宋体" w:hAnsi="宋体" w:eastAsia="宋体" w:cs="宋体"/>
                <w:b/>
                <w:bCs/>
                <w:color w:val="000000"/>
                <w:w w:val="99"/>
                <w:kern w:val="2"/>
                <w:sz w:val="24"/>
                <w:szCs w:val="24"/>
                <w:lang w:val="en-US" w:eastAsia="zh-CN" w:bidi="ar-SA"/>
              </w:rPr>
              <w:t>总体评价</w:t>
            </w:r>
          </w:p>
        </w:tc>
      </w:tr>
      <w:tr w14:paraId="5E9DD4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7" w:hRule="atLeast"/>
        </w:trPr>
        <w:tc>
          <w:tcPr>
            <w:tcW w:w="1090" w:type="pct"/>
            <w:noWrap w:val="0"/>
            <w:vAlign w:val="center"/>
          </w:tcPr>
          <w:p w14:paraId="4489DD33">
            <w:pPr>
              <w:pStyle w:val="10"/>
              <w:spacing w:before="1"/>
              <w:ind w:left="439" w:right="433"/>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环境卫</w:t>
            </w:r>
            <w:r>
              <w:rPr>
                <w:rFonts w:hint="eastAsia" w:ascii="宋体" w:hAnsi="宋体" w:eastAsia="宋体" w:cs="宋体"/>
                <w:color w:val="000000"/>
                <w:spacing w:val="-10"/>
                <w:w w:val="95"/>
                <w:sz w:val="24"/>
                <w:szCs w:val="24"/>
              </w:rPr>
              <w:t>生</w:t>
            </w:r>
          </w:p>
        </w:tc>
        <w:tc>
          <w:tcPr>
            <w:tcW w:w="702" w:type="pct"/>
            <w:noWrap w:val="0"/>
            <w:vAlign w:val="top"/>
          </w:tcPr>
          <w:p w14:paraId="3816470C">
            <w:pPr>
              <w:pStyle w:val="10"/>
              <w:rPr>
                <w:rFonts w:hint="eastAsia" w:ascii="宋体" w:hAnsi="宋体" w:eastAsia="宋体" w:cs="宋体"/>
                <w:color w:val="000000"/>
                <w:sz w:val="24"/>
                <w:szCs w:val="24"/>
              </w:rPr>
            </w:pPr>
          </w:p>
        </w:tc>
        <w:tc>
          <w:tcPr>
            <w:tcW w:w="869" w:type="pct"/>
            <w:noWrap w:val="0"/>
            <w:vAlign w:val="top"/>
          </w:tcPr>
          <w:p w14:paraId="0006B9D7">
            <w:pPr>
              <w:pStyle w:val="10"/>
              <w:rPr>
                <w:rFonts w:hint="eastAsia" w:ascii="宋体" w:hAnsi="宋体" w:eastAsia="宋体" w:cs="宋体"/>
                <w:color w:val="000000"/>
                <w:sz w:val="24"/>
                <w:szCs w:val="24"/>
              </w:rPr>
            </w:pPr>
          </w:p>
        </w:tc>
        <w:tc>
          <w:tcPr>
            <w:tcW w:w="869" w:type="pct"/>
            <w:noWrap w:val="0"/>
            <w:vAlign w:val="top"/>
          </w:tcPr>
          <w:p w14:paraId="18D0C520">
            <w:pPr>
              <w:pStyle w:val="10"/>
              <w:keepNext w:val="0"/>
              <w:keepLines w:val="0"/>
              <w:pageBreakBefore w:val="0"/>
              <w:widowControl w:val="0"/>
              <w:kinsoku/>
              <w:wordWrap/>
              <w:overflowPunct/>
              <w:topLinePunct w:val="0"/>
              <w:autoSpaceDE w:val="0"/>
              <w:autoSpaceDN w:val="0"/>
              <w:bidi w:val="0"/>
              <w:adjustRightInd/>
              <w:snapToGrid/>
              <w:spacing w:before="3" w:line="240" w:lineRule="auto"/>
              <w:ind w:right="597"/>
              <w:jc w:val="both"/>
              <w:textAlignment w:val="auto"/>
              <w:rPr>
                <w:rFonts w:hint="eastAsia" w:ascii="宋体" w:hAnsi="宋体" w:eastAsia="宋体" w:cs="宋体"/>
                <w:color w:val="000000"/>
                <w:w w:val="99"/>
                <w:kern w:val="2"/>
                <w:sz w:val="24"/>
                <w:szCs w:val="24"/>
                <w:lang w:val="en-US" w:eastAsia="zh-CN" w:bidi="ar-SA"/>
              </w:rPr>
            </w:pPr>
          </w:p>
        </w:tc>
        <w:tc>
          <w:tcPr>
            <w:tcW w:w="837" w:type="pct"/>
            <w:noWrap w:val="0"/>
            <w:vAlign w:val="top"/>
          </w:tcPr>
          <w:p w14:paraId="744F42B1">
            <w:pPr>
              <w:pStyle w:val="10"/>
              <w:rPr>
                <w:rFonts w:hint="eastAsia" w:ascii="宋体" w:hAnsi="宋体" w:eastAsia="宋体" w:cs="宋体"/>
                <w:color w:val="000000"/>
                <w:sz w:val="24"/>
                <w:szCs w:val="24"/>
              </w:rPr>
            </w:pPr>
          </w:p>
        </w:tc>
        <w:tc>
          <w:tcPr>
            <w:tcW w:w="630" w:type="pct"/>
            <w:noWrap w:val="0"/>
            <w:vAlign w:val="top"/>
          </w:tcPr>
          <w:p w14:paraId="28AFF12B">
            <w:pPr>
              <w:pStyle w:val="10"/>
              <w:rPr>
                <w:rFonts w:hint="eastAsia" w:ascii="宋体" w:hAnsi="宋体" w:eastAsia="宋体" w:cs="宋体"/>
                <w:color w:val="000000"/>
                <w:sz w:val="24"/>
                <w:szCs w:val="24"/>
              </w:rPr>
            </w:pPr>
          </w:p>
        </w:tc>
      </w:tr>
      <w:tr w14:paraId="1CFABF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 w:hRule="atLeast"/>
        </w:trPr>
        <w:tc>
          <w:tcPr>
            <w:tcW w:w="1090" w:type="pct"/>
            <w:noWrap w:val="0"/>
            <w:vAlign w:val="center"/>
          </w:tcPr>
          <w:p w14:paraId="0FD9D29B">
            <w:pPr>
              <w:pStyle w:val="10"/>
              <w:spacing w:before="1"/>
              <w:ind w:left="439" w:right="433"/>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服务态</w:t>
            </w:r>
            <w:r>
              <w:rPr>
                <w:rFonts w:hint="eastAsia" w:ascii="宋体" w:hAnsi="宋体" w:eastAsia="宋体" w:cs="宋体"/>
                <w:color w:val="000000"/>
                <w:spacing w:val="-10"/>
                <w:w w:val="95"/>
                <w:sz w:val="24"/>
                <w:szCs w:val="24"/>
              </w:rPr>
              <w:t>度</w:t>
            </w:r>
          </w:p>
        </w:tc>
        <w:tc>
          <w:tcPr>
            <w:tcW w:w="702" w:type="pct"/>
            <w:noWrap w:val="0"/>
            <w:vAlign w:val="top"/>
          </w:tcPr>
          <w:p w14:paraId="2BC7EF45">
            <w:pPr>
              <w:pStyle w:val="10"/>
              <w:rPr>
                <w:rFonts w:hint="eastAsia" w:ascii="宋体" w:hAnsi="宋体" w:eastAsia="宋体" w:cs="宋体"/>
                <w:color w:val="000000"/>
                <w:sz w:val="24"/>
                <w:szCs w:val="24"/>
              </w:rPr>
            </w:pPr>
          </w:p>
        </w:tc>
        <w:tc>
          <w:tcPr>
            <w:tcW w:w="869" w:type="pct"/>
            <w:noWrap w:val="0"/>
            <w:vAlign w:val="top"/>
          </w:tcPr>
          <w:p w14:paraId="590B9639">
            <w:pPr>
              <w:pStyle w:val="10"/>
              <w:rPr>
                <w:rFonts w:hint="eastAsia" w:ascii="宋体" w:hAnsi="宋体" w:eastAsia="宋体" w:cs="宋体"/>
                <w:color w:val="000000"/>
                <w:sz w:val="24"/>
                <w:szCs w:val="24"/>
              </w:rPr>
            </w:pPr>
          </w:p>
        </w:tc>
        <w:tc>
          <w:tcPr>
            <w:tcW w:w="869" w:type="pct"/>
            <w:noWrap w:val="0"/>
            <w:vAlign w:val="top"/>
          </w:tcPr>
          <w:p w14:paraId="2DCFC1F5">
            <w:pPr>
              <w:pStyle w:val="10"/>
              <w:rPr>
                <w:rFonts w:hint="eastAsia" w:ascii="宋体" w:hAnsi="宋体" w:eastAsia="宋体" w:cs="宋体"/>
                <w:color w:val="000000"/>
                <w:sz w:val="24"/>
                <w:szCs w:val="24"/>
              </w:rPr>
            </w:pPr>
          </w:p>
        </w:tc>
        <w:tc>
          <w:tcPr>
            <w:tcW w:w="837" w:type="pct"/>
            <w:noWrap w:val="0"/>
            <w:vAlign w:val="top"/>
          </w:tcPr>
          <w:p w14:paraId="7044DC3A">
            <w:pPr>
              <w:pStyle w:val="10"/>
              <w:rPr>
                <w:rFonts w:hint="eastAsia" w:ascii="宋体" w:hAnsi="宋体" w:eastAsia="宋体" w:cs="宋体"/>
                <w:color w:val="000000"/>
                <w:sz w:val="24"/>
                <w:szCs w:val="24"/>
              </w:rPr>
            </w:pPr>
          </w:p>
        </w:tc>
        <w:tc>
          <w:tcPr>
            <w:tcW w:w="630" w:type="pct"/>
            <w:noWrap w:val="0"/>
            <w:vAlign w:val="top"/>
          </w:tcPr>
          <w:p w14:paraId="72C6674C">
            <w:pPr>
              <w:pStyle w:val="10"/>
              <w:rPr>
                <w:rFonts w:hint="eastAsia" w:ascii="宋体" w:hAnsi="宋体" w:eastAsia="宋体" w:cs="宋体"/>
                <w:color w:val="000000"/>
                <w:sz w:val="24"/>
                <w:szCs w:val="24"/>
              </w:rPr>
            </w:pPr>
          </w:p>
        </w:tc>
      </w:tr>
      <w:tr w14:paraId="3130C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7" w:hRule="atLeast"/>
        </w:trPr>
        <w:tc>
          <w:tcPr>
            <w:tcW w:w="1090" w:type="pct"/>
            <w:noWrap w:val="0"/>
            <w:vAlign w:val="center"/>
          </w:tcPr>
          <w:p w14:paraId="0BC5F0CF">
            <w:pPr>
              <w:pStyle w:val="10"/>
              <w:spacing w:before="3"/>
              <w:ind w:left="439" w:right="433"/>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菜品口</w:t>
            </w:r>
            <w:r>
              <w:rPr>
                <w:rFonts w:hint="eastAsia" w:ascii="宋体" w:hAnsi="宋体" w:eastAsia="宋体" w:cs="宋体"/>
                <w:color w:val="000000"/>
                <w:spacing w:val="-10"/>
                <w:w w:val="95"/>
                <w:sz w:val="24"/>
                <w:szCs w:val="24"/>
              </w:rPr>
              <w:t>味</w:t>
            </w:r>
          </w:p>
        </w:tc>
        <w:tc>
          <w:tcPr>
            <w:tcW w:w="702" w:type="pct"/>
            <w:noWrap w:val="0"/>
            <w:vAlign w:val="top"/>
          </w:tcPr>
          <w:p w14:paraId="325467E0">
            <w:pPr>
              <w:pStyle w:val="10"/>
              <w:rPr>
                <w:rFonts w:hint="eastAsia" w:ascii="宋体" w:hAnsi="宋体" w:eastAsia="宋体" w:cs="宋体"/>
                <w:color w:val="000000"/>
                <w:sz w:val="24"/>
                <w:szCs w:val="24"/>
              </w:rPr>
            </w:pPr>
          </w:p>
        </w:tc>
        <w:tc>
          <w:tcPr>
            <w:tcW w:w="869" w:type="pct"/>
            <w:noWrap w:val="0"/>
            <w:vAlign w:val="top"/>
          </w:tcPr>
          <w:p w14:paraId="4BB04687">
            <w:pPr>
              <w:pStyle w:val="10"/>
              <w:rPr>
                <w:rFonts w:hint="eastAsia" w:ascii="宋体" w:hAnsi="宋体" w:eastAsia="宋体" w:cs="宋体"/>
                <w:color w:val="000000"/>
                <w:sz w:val="24"/>
                <w:szCs w:val="24"/>
              </w:rPr>
            </w:pPr>
          </w:p>
        </w:tc>
        <w:tc>
          <w:tcPr>
            <w:tcW w:w="869" w:type="pct"/>
            <w:noWrap w:val="0"/>
            <w:vAlign w:val="top"/>
          </w:tcPr>
          <w:p w14:paraId="5A250854">
            <w:pPr>
              <w:pStyle w:val="10"/>
              <w:rPr>
                <w:rFonts w:hint="eastAsia" w:ascii="宋体" w:hAnsi="宋体" w:eastAsia="宋体" w:cs="宋体"/>
                <w:color w:val="000000"/>
                <w:sz w:val="24"/>
                <w:szCs w:val="24"/>
              </w:rPr>
            </w:pPr>
          </w:p>
        </w:tc>
        <w:tc>
          <w:tcPr>
            <w:tcW w:w="837" w:type="pct"/>
            <w:noWrap w:val="0"/>
            <w:vAlign w:val="top"/>
          </w:tcPr>
          <w:p w14:paraId="5432D98D">
            <w:pPr>
              <w:pStyle w:val="10"/>
              <w:rPr>
                <w:rFonts w:hint="eastAsia" w:ascii="宋体" w:hAnsi="宋体" w:eastAsia="宋体" w:cs="宋体"/>
                <w:color w:val="000000"/>
                <w:sz w:val="24"/>
                <w:szCs w:val="24"/>
              </w:rPr>
            </w:pPr>
          </w:p>
        </w:tc>
        <w:tc>
          <w:tcPr>
            <w:tcW w:w="630" w:type="pct"/>
            <w:noWrap w:val="0"/>
            <w:vAlign w:val="top"/>
          </w:tcPr>
          <w:p w14:paraId="3867941B">
            <w:pPr>
              <w:pStyle w:val="10"/>
              <w:rPr>
                <w:rFonts w:hint="eastAsia" w:ascii="宋体" w:hAnsi="宋体" w:eastAsia="宋体" w:cs="宋体"/>
                <w:color w:val="000000"/>
                <w:sz w:val="24"/>
                <w:szCs w:val="24"/>
              </w:rPr>
            </w:pPr>
          </w:p>
        </w:tc>
      </w:tr>
      <w:tr w14:paraId="05FEF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7" w:hRule="atLeast"/>
        </w:trPr>
        <w:tc>
          <w:tcPr>
            <w:tcW w:w="1090" w:type="pct"/>
            <w:noWrap w:val="0"/>
            <w:vAlign w:val="center"/>
          </w:tcPr>
          <w:p w14:paraId="202232F2">
            <w:pPr>
              <w:pStyle w:val="10"/>
              <w:spacing w:before="2"/>
              <w:ind w:left="439" w:right="433"/>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品种花</w:t>
            </w:r>
            <w:r>
              <w:rPr>
                <w:rFonts w:hint="eastAsia" w:ascii="宋体" w:hAnsi="宋体" w:eastAsia="宋体" w:cs="宋体"/>
                <w:color w:val="000000"/>
                <w:spacing w:val="-10"/>
                <w:w w:val="95"/>
                <w:sz w:val="24"/>
                <w:szCs w:val="24"/>
              </w:rPr>
              <w:t>样</w:t>
            </w:r>
          </w:p>
        </w:tc>
        <w:tc>
          <w:tcPr>
            <w:tcW w:w="702" w:type="pct"/>
            <w:noWrap w:val="0"/>
            <w:vAlign w:val="top"/>
          </w:tcPr>
          <w:p w14:paraId="6F6E5797">
            <w:pPr>
              <w:pStyle w:val="10"/>
              <w:rPr>
                <w:rFonts w:hint="eastAsia" w:ascii="宋体" w:hAnsi="宋体" w:eastAsia="宋体" w:cs="宋体"/>
                <w:color w:val="000000"/>
                <w:sz w:val="24"/>
                <w:szCs w:val="24"/>
              </w:rPr>
            </w:pPr>
          </w:p>
        </w:tc>
        <w:tc>
          <w:tcPr>
            <w:tcW w:w="869" w:type="pct"/>
            <w:noWrap w:val="0"/>
            <w:vAlign w:val="top"/>
          </w:tcPr>
          <w:p w14:paraId="67FF17D7">
            <w:pPr>
              <w:pStyle w:val="10"/>
              <w:rPr>
                <w:rFonts w:hint="eastAsia" w:ascii="宋体" w:hAnsi="宋体" w:eastAsia="宋体" w:cs="宋体"/>
                <w:color w:val="000000"/>
                <w:sz w:val="24"/>
                <w:szCs w:val="24"/>
              </w:rPr>
            </w:pPr>
          </w:p>
        </w:tc>
        <w:tc>
          <w:tcPr>
            <w:tcW w:w="869" w:type="pct"/>
            <w:noWrap w:val="0"/>
            <w:vAlign w:val="top"/>
          </w:tcPr>
          <w:p w14:paraId="551099B6">
            <w:pPr>
              <w:pStyle w:val="10"/>
              <w:rPr>
                <w:rFonts w:hint="eastAsia" w:ascii="宋体" w:hAnsi="宋体" w:eastAsia="宋体" w:cs="宋体"/>
                <w:color w:val="000000"/>
                <w:sz w:val="24"/>
                <w:szCs w:val="24"/>
              </w:rPr>
            </w:pPr>
          </w:p>
        </w:tc>
        <w:tc>
          <w:tcPr>
            <w:tcW w:w="837" w:type="pct"/>
            <w:noWrap w:val="0"/>
            <w:vAlign w:val="top"/>
          </w:tcPr>
          <w:p w14:paraId="7E7FC519">
            <w:pPr>
              <w:pStyle w:val="10"/>
              <w:rPr>
                <w:rFonts w:hint="eastAsia" w:ascii="宋体" w:hAnsi="宋体" w:eastAsia="宋体" w:cs="宋体"/>
                <w:color w:val="000000"/>
                <w:sz w:val="24"/>
                <w:szCs w:val="24"/>
              </w:rPr>
            </w:pPr>
          </w:p>
        </w:tc>
        <w:tc>
          <w:tcPr>
            <w:tcW w:w="630" w:type="pct"/>
            <w:noWrap w:val="0"/>
            <w:vAlign w:val="top"/>
          </w:tcPr>
          <w:p w14:paraId="302EDD21">
            <w:pPr>
              <w:pStyle w:val="10"/>
              <w:rPr>
                <w:rFonts w:hint="eastAsia" w:ascii="宋体" w:hAnsi="宋体" w:eastAsia="宋体" w:cs="宋体"/>
                <w:color w:val="000000"/>
                <w:sz w:val="24"/>
                <w:szCs w:val="24"/>
              </w:rPr>
            </w:pPr>
          </w:p>
        </w:tc>
      </w:tr>
      <w:tr w14:paraId="045CFA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1090" w:type="pct"/>
            <w:noWrap w:val="0"/>
            <w:vAlign w:val="center"/>
          </w:tcPr>
          <w:p w14:paraId="74D7B352">
            <w:pPr>
              <w:pStyle w:val="10"/>
              <w:spacing w:before="3"/>
              <w:ind w:left="439" w:right="433"/>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面点口</w:t>
            </w:r>
            <w:r>
              <w:rPr>
                <w:rFonts w:hint="eastAsia" w:ascii="宋体" w:hAnsi="宋体" w:eastAsia="宋体" w:cs="宋体"/>
                <w:color w:val="000000"/>
                <w:spacing w:val="-10"/>
                <w:w w:val="95"/>
                <w:sz w:val="24"/>
                <w:szCs w:val="24"/>
              </w:rPr>
              <w:t>味</w:t>
            </w:r>
          </w:p>
        </w:tc>
        <w:tc>
          <w:tcPr>
            <w:tcW w:w="702" w:type="pct"/>
            <w:noWrap w:val="0"/>
            <w:vAlign w:val="top"/>
          </w:tcPr>
          <w:p w14:paraId="352AA613">
            <w:pPr>
              <w:pStyle w:val="10"/>
              <w:rPr>
                <w:rFonts w:hint="eastAsia" w:ascii="宋体" w:hAnsi="宋体" w:eastAsia="宋体" w:cs="宋体"/>
                <w:color w:val="000000"/>
                <w:sz w:val="24"/>
                <w:szCs w:val="24"/>
              </w:rPr>
            </w:pPr>
          </w:p>
        </w:tc>
        <w:tc>
          <w:tcPr>
            <w:tcW w:w="869" w:type="pct"/>
            <w:noWrap w:val="0"/>
            <w:vAlign w:val="top"/>
          </w:tcPr>
          <w:p w14:paraId="5A91B39D">
            <w:pPr>
              <w:pStyle w:val="10"/>
              <w:rPr>
                <w:rFonts w:hint="eastAsia" w:ascii="宋体" w:hAnsi="宋体" w:eastAsia="宋体" w:cs="宋体"/>
                <w:color w:val="000000"/>
                <w:sz w:val="24"/>
                <w:szCs w:val="24"/>
              </w:rPr>
            </w:pPr>
          </w:p>
        </w:tc>
        <w:tc>
          <w:tcPr>
            <w:tcW w:w="869" w:type="pct"/>
            <w:noWrap w:val="0"/>
            <w:vAlign w:val="top"/>
          </w:tcPr>
          <w:p w14:paraId="659BD8BF">
            <w:pPr>
              <w:pStyle w:val="10"/>
              <w:rPr>
                <w:rFonts w:hint="eastAsia" w:ascii="宋体" w:hAnsi="宋体" w:eastAsia="宋体" w:cs="宋体"/>
                <w:color w:val="000000"/>
                <w:sz w:val="24"/>
                <w:szCs w:val="24"/>
              </w:rPr>
            </w:pPr>
          </w:p>
        </w:tc>
        <w:tc>
          <w:tcPr>
            <w:tcW w:w="837" w:type="pct"/>
            <w:noWrap w:val="0"/>
            <w:vAlign w:val="top"/>
          </w:tcPr>
          <w:p w14:paraId="56E069DF">
            <w:pPr>
              <w:pStyle w:val="10"/>
              <w:rPr>
                <w:rFonts w:hint="eastAsia" w:ascii="宋体" w:hAnsi="宋体" w:eastAsia="宋体" w:cs="宋体"/>
                <w:color w:val="000000"/>
                <w:sz w:val="24"/>
                <w:szCs w:val="24"/>
              </w:rPr>
            </w:pPr>
          </w:p>
        </w:tc>
        <w:tc>
          <w:tcPr>
            <w:tcW w:w="630" w:type="pct"/>
            <w:noWrap w:val="0"/>
            <w:vAlign w:val="top"/>
          </w:tcPr>
          <w:p w14:paraId="19AF7F57">
            <w:pPr>
              <w:pStyle w:val="10"/>
              <w:rPr>
                <w:rFonts w:hint="eastAsia" w:ascii="宋体" w:hAnsi="宋体" w:eastAsia="宋体" w:cs="宋体"/>
                <w:color w:val="000000"/>
                <w:sz w:val="24"/>
                <w:szCs w:val="24"/>
              </w:rPr>
            </w:pPr>
          </w:p>
        </w:tc>
      </w:tr>
      <w:tr w14:paraId="39692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 w:hRule="atLeast"/>
        </w:trPr>
        <w:tc>
          <w:tcPr>
            <w:tcW w:w="1090" w:type="pct"/>
            <w:noWrap w:val="0"/>
            <w:vAlign w:val="center"/>
          </w:tcPr>
          <w:p w14:paraId="31E79FFA">
            <w:pPr>
              <w:pStyle w:val="10"/>
              <w:spacing w:before="3"/>
              <w:ind w:left="439" w:right="433"/>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面点花</w:t>
            </w:r>
            <w:r>
              <w:rPr>
                <w:rFonts w:hint="eastAsia" w:ascii="宋体" w:hAnsi="宋体" w:eastAsia="宋体" w:cs="宋体"/>
                <w:color w:val="000000"/>
                <w:spacing w:val="-10"/>
                <w:w w:val="95"/>
                <w:sz w:val="24"/>
                <w:szCs w:val="24"/>
              </w:rPr>
              <w:t>样</w:t>
            </w:r>
          </w:p>
        </w:tc>
        <w:tc>
          <w:tcPr>
            <w:tcW w:w="702" w:type="pct"/>
            <w:noWrap w:val="0"/>
            <w:vAlign w:val="top"/>
          </w:tcPr>
          <w:p w14:paraId="20D1AB1A">
            <w:pPr>
              <w:pStyle w:val="10"/>
              <w:rPr>
                <w:rFonts w:hint="eastAsia" w:ascii="宋体" w:hAnsi="宋体" w:eastAsia="宋体" w:cs="宋体"/>
                <w:color w:val="000000"/>
                <w:sz w:val="24"/>
                <w:szCs w:val="24"/>
              </w:rPr>
            </w:pPr>
          </w:p>
        </w:tc>
        <w:tc>
          <w:tcPr>
            <w:tcW w:w="869" w:type="pct"/>
            <w:noWrap w:val="0"/>
            <w:vAlign w:val="top"/>
          </w:tcPr>
          <w:p w14:paraId="54A164A2">
            <w:pPr>
              <w:pStyle w:val="10"/>
              <w:rPr>
                <w:rFonts w:hint="eastAsia" w:ascii="宋体" w:hAnsi="宋体" w:eastAsia="宋体" w:cs="宋体"/>
                <w:color w:val="000000"/>
                <w:sz w:val="24"/>
                <w:szCs w:val="24"/>
              </w:rPr>
            </w:pPr>
          </w:p>
        </w:tc>
        <w:tc>
          <w:tcPr>
            <w:tcW w:w="869" w:type="pct"/>
            <w:noWrap w:val="0"/>
            <w:vAlign w:val="top"/>
          </w:tcPr>
          <w:p w14:paraId="037EF688">
            <w:pPr>
              <w:pStyle w:val="10"/>
              <w:rPr>
                <w:rFonts w:hint="eastAsia" w:ascii="宋体" w:hAnsi="宋体" w:eastAsia="宋体" w:cs="宋体"/>
                <w:color w:val="000000"/>
                <w:sz w:val="24"/>
                <w:szCs w:val="24"/>
              </w:rPr>
            </w:pPr>
          </w:p>
        </w:tc>
        <w:tc>
          <w:tcPr>
            <w:tcW w:w="837" w:type="pct"/>
            <w:noWrap w:val="0"/>
            <w:vAlign w:val="top"/>
          </w:tcPr>
          <w:p w14:paraId="2C641EE1">
            <w:pPr>
              <w:pStyle w:val="10"/>
              <w:rPr>
                <w:rFonts w:hint="eastAsia" w:ascii="宋体" w:hAnsi="宋体" w:eastAsia="宋体" w:cs="宋体"/>
                <w:color w:val="000000"/>
                <w:sz w:val="24"/>
                <w:szCs w:val="24"/>
              </w:rPr>
            </w:pPr>
          </w:p>
        </w:tc>
        <w:tc>
          <w:tcPr>
            <w:tcW w:w="630" w:type="pct"/>
            <w:noWrap w:val="0"/>
            <w:vAlign w:val="top"/>
          </w:tcPr>
          <w:p w14:paraId="6582C0EF">
            <w:pPr>
              <w:pStyle w:val="10"/>
              <w:rPr>
                <w:rFonts w:hint="eastAsia" w:ascii="宋体" w:hAnsi="宋体" w:eastAsia="宋体" w:cs="宋体"/>
                <w:color w:val="000000"/>
                <w:sz w:val="24"/>
                <w:szCs w:val="24"/>
              </w:rPr>
            </w:pPr>
          </w:p>
        </w:tc>
      </w:tr>
      <w:tr w14:paraId="69E14C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1" w:hRule="atLeast"/>
        </w:trPr>
        <w:tc>
          <w:tcPr>
            <w:tcW w:w="1090" w:type="pct"/>
            <w:noWrap w:val="0"/>
            <w:vAlign w:val="center"/>
          </w:tcPr>
          <w:p w14:paraId="0B34D854">
            <w:pPr>
              <w:pStyle w:val="10"/>
              <w:spacing w:before="60"/>
              <w:ind w:left="439" w:right="435"/>
              <w:jc w:val="center"/>
              <w:rPr>
                <w:rFonts w:hint="eastAsia" w:ascii="宋体" w:hAnsi="宋体" w:eastAsia="宋体" w:cs="宋体"/>
                <w:color w:val="000000"/>
                <w:sz w:val="24"/>
                <w:szCs w:val="24"/>
              </w:rPr>
            </w:pPr>
            <w:r>
              <w:rPr>
                <w:rFonts w:hint="eastAsia" w:ascii="宋体" w:hAnsi="宋体" w:eastAsia="宋体" w:cs="宋体"/>
                <w:color w:val="000000"/>
                <w:w w:val="95"/>
                <w:sz w:val="24"/>
                <w:szCs w:val="24"/>
              </w:rPr>
              <w:t>不满意原由或建</w:t>
            </w:r>
            <w:r>
              <w:rPr>
                <w:rFonts w:hint="eastAsia" w:ascii="宋体" w:hAnsi="宋体" w:eastAsia="宋体" w:cs="宋体"/>
                <w:color w:val="000000"/>
                <w:spacing w:val="-10"/>
                <w:w w:val="95"/>
                <w:sz w:val="24"/>
                <w:szCs w:val="24"/>
              </w:rPr>
              <w:t>议</w:t>
            </w:r>
          </w:p>
        </w:tc>
        <w:tc>
          <w:tcPr>
            <w:tcW w:w="3278" w:type="pct"/>
            <w:gridSpan w:val="4"/>
            <w:noWrap w:val="0"/>
            <w:vAlign w:val="top"/>
          </w:tcPr>
          <w:p w14:paraId="3B9DC889">
            <w:pPr>
              <w:pStyle w:val="10"/>
              <w:rPr>
                <w:rFonts w:hint="eastAsia" w:ascii="宋体" w:hAnsi="宋体" w:eastAsia="宋体" w:cs="宋体"/>
                <w:color w:val="000000"/>
                <w:sz w:val="24"/>
                <w:szCs w:val="24"/>
              </w:rPr>
            </w:pPr>
          </w:p>
        </w:tc>
        <w:tc>
          <w:tcPr>
            <w:tcW w:w="630" w:type="pct"/>
            <w:noWrap w:val="0"/>
            <w:vAlign w:val="top"/>
          </w:tcPr>
          <w:p w14:paraId="758D7068">
            <w:pPr>
              <w:pStyle w:val="10"/>
              <w:rPr>
                <w:rFonts w:hint="eastAsia" w:ascii="宋体" w:hAnsi="宋体" w:eastAsia="宋体" w:cs="宋体"/>
                <w:color w:val="000000"/>
                <w:sz w:val="24"/>
                <w:szCs w:val="24"/>
              </w:rPr>
            </w:pPr>
          </w:p>
        </w:tc>
      </w:tr>
    </w:tbl>
    <w:p w14:paraId="079AB15E">
      <w:pPr>
        <w:spacing w:line="360" w:lineRule="auto"/>
        <w:rPr>
          <w:rFonts w:hint="eastAsia" w:ascii="宋体" w:hAnsi="宋体" w:cs="宋体"/>
          <w:b/>
          <w:color w:val="000000"/>
          <w:sz w:val="24"/>
        </w:rPr>
      </w:pPr>
    </w:p>
    <w:p w14:paraId="03949681">
      <w:pPr>
        <w:spacing w:line="360" w:lineRule="auto"/>
        <w:rPr>
          <w:rFonts w:hint="eastAsia" w:ascii="宋体" w:hAnsi="宋体" w:cs="宋体"/>
          <w:b/>
          <w:color w:val="000000"/>
          <w:sz w:val="24"/>
        </w:rPr>
      </w:pPr>
      <w:r>
        <w:rPr>
          <w:rFonts w:hint="eastAsia" w:ascii="宋体" w:hAnsi="宋体" w:cs="宋体"/>
          <w:b/>
          <w:color w:val="000000"/>
          <w:sz w:val="24"/>
        </w:rPr>
        <w:t>注：以上所有（一）服务要求为实质性要求，供应商须全部满足或优于，否则</w:t>
      </w:r>
      <w:bookmarkStart w:id="4" w:name="OLE_LINK6"/>
      <w:r>
        <w:rPr>
          <w:rFonts w:hint="eastAsia" w:ascii="宋体" w:hAnsi="宋体" w:cs="宋体"/>
          <w:b/>
          <w:color w:val="000000"/>
          <w:sz w:val="24"/>
        </w:rPr>
        <w:t>视为无效响应</w:t>
      </w:r>
      <w:bookmarkEnd w:id="4"/>
      <w:r>
        <w:rPr>
          <w:rFonts w:hint="eastAsia" w:ascii="宋体" w:hAnsi="宋体" w:cs="宋体"/>
          <w:b/>
          <w:color w:val="000000"/>
          <w:sz w:val="24"/>
        </w:rPr>
        <w:t>。</w:t>
      </w:r>
    </w:p>
    <w:p w14:paraId="222FF8A1">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Noto Sans CJK JP Regular">
    <w:altName w:val="Arial"/>
    <w:panose1 w:val="00000000000000000000"/>
    <w:charset w:val="00"/>
    <w:family w:val="swiss"/>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E6CF5">
    <w:pPr>
      <w:pStyle w:val="3"/>
      <w:framePr w:wrap="around" w:vAnchor="text" w:hAnchor="margin" w:xAlign="center" w:y="1"/>
      <w:rPr>
        <w:rStyle w:val="8"/>
      </w:rPr>
    </w:pPr>
    <w:r>
      <w:fldChar w:fldCharType="begin"/>
    </w:r>
    <w:r>
      <w:rPr>
        <w:rStyle w:val="8"/>
      </w:rPr>
      <w:instrText xml:space="preserve">PAGE  </w:instrText>
    </w:r>
    <w:r>
      <w:fldChar w:fldCharType="separate"/>
    </w:r>
    <w:r>
      <w:rPr>
        <w:rStyle w:val="8"/>
      </w:rPr>
      <w:t>40</w:t>
    </w:r>
    <w:r>
      <w:fldChar w:fldCharType="end"/>
    </w:r>
  </w:p>
  <w:p w14:paraId="2B8D2C89">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30DA6">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20A761"/>
    <w:multiLevelType w:val="singleLevel"/>
    <w:tmpl w:val="0420A76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F50C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1"/>
    <w:unhideWhenUsed/>
    <w:qFormat/>
    <w:uiPriority w:val="0"/>
    <w:pPr>
      <w:spacing w:after="12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Body Text First Indent"/>
    <w:basedOn w:val="2"/>
    <w:qFormat/>
    <w:uiPriority w:val="0"/>
    <w:pPr>
      <w:ind w:firstLine="100" w:firstLineChars="100"/>
    </w:pPr>
    <w:rPr>
      <w:szCs w:val="24"/>
    </w:rPr>
  </w:style>
  <w:style w:type="character" w:styleId="8">
    <w:name w:val="page number"/>
    <w:basedOn w:val="7"/>
    <w:qFormat/>
    <w:uiPriority w:val="0"/>
  </w:style>
  <w:style w:type="paragraph" w:customStyle="1" w:styleId="9">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10">
    <w:name w:val="Table Paragraph"/>
    <w:basedOn w:val="1"/>
    <w:qFormat/>
    <w:uiPriority w:val="1"/>
    <w:pPr>
      <w:autoSpaceDE w:val="0"/>
      <w:autoSpaceDN w:val="0"/>
      <w:jc w:val="left"/>
    </w:pPr>
    <w:rPr>
      <w:rFonts w:ascii="Noto Sans CJK JP Regular" w:hAnsi="Noto Sans CJK JP Regular" w:eastAsia="Noto Sans CJK JP Regular" w:cs="Noto Sans CJK JP Regular"/>
      <w:kern w:val="0"/>
      <w:sz w:val="22"/>
      <w:lang w:val="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2026-06-08T09:34:48Z</dcterms:created>
  <dc:creator>这台电脑能飞么</dc:creator>
  <cp:lastModifiedBy>这台电脑能飞么</cp:lastModifiedBy>
  <dcterms:modified xsi:type="dcterms:W3CDTF">2026-06-08T09:35:16Z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4CAD5A39232E41DD8A6341C6C091A485_12</vt:lpwstr>
  </property>
</Properties>
</file>