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C0787">
      <w:pPr>
        <w:pageBreakBefore w:val="0"/>
        <w:widowControl w:val="0"/>
        <w:kinsoku w:val="0"/>
        <w:wordWrap/>
        <w:overflowPunct/>
        <w:topLinePunct w:val="0"/>
        <w:autoSpaceDE w:val="0"/>
        <w:autoSpaceDN w:val="0"/>
        <w:bidi w:val="0"/>
        <w:adjustRightInd w:val="0"/>
        <w:snapToGrid w:val="0"/>
        <w:spacing w:line="258" w:lineRule="auto"/>
        <w:jc w:val="center"/>
        <w:textAlignment w:val="baseline"/>
        <w:rPr>
          <w:rFonts w:ascii="Arial" w:hAnsi="Arial" w:eastAsia="Arial" w:cs="Arial"/>
          <w:snapToGrid w:val="0"/>
          <w:color w:val="auto"/>
          <w:kern w:val="0"/>
          <w:szCs w:val="21"/>
          <w:highlight w:val="none"/>
          <w:lang w:eastAsia="en-US"/>
        </w:rPr>
      </w:pPr>
      <w:bookmarkStart w:id="0" w:name="bookmark81"/>
      <w:bookmarkEnd w:id="0"/>
      <w:r>
        <w:rPr>
          <w:rFonts w:hint="eastAsia" w:ascii="宋体" w:hAnsi="宋体" w:eastAsia="宋体" w:cs="宋体"/>
          <w:snapToGrid w:val="0"/>
          <w:color w:val="auto"/>
          <w:spacing w:val="9"/>
          <w:kern w:val="0"/>
          <w:sz w:val="31"/>
          <w:szCs w:val="31"/>
          <w:highlight w:val="none"/>
          <w:lang w:eastAsia="zh-CN"/>
          <w14:textOutline w14:w="5791" w14:cap="sq" w14:cmpd="sng" w14:algn="ctr">
            <w14:solidFill>
              <w14:srgbClr w14:val="000000"/>
            </w14:solidFill>
            <w14:prstDash w14:val="solid"/>
            <w14:bevel/>
          </w14:textOutline>
        </w:rPr>
        <w:t>采购需求</w:t>
      </w:r>
    </w:p>
    <w:p w14:paraId="4A134F56">
      <w:pPr>
        <w:pageBreakBefore w:val="0"/>
        <w:widowControl w:val="0"/>
        <w:kinsoku w:val="0"/>
        <w:wordWrap/>
        <w:overflowPunct/>
        <w:topLinePunct w:val="0"/>
        <w:autoSpaceDE w:val="0"/>
        <w:autoSpaceDN w:val="0"/>
        <w:bidi w:val="0"/>
        <w:adjustRightInd w:val="0"/>
        <w:snapToGrid w:val="0"/>
        <w:spacing w:line="242" w:lineRule="auto"/>
        <w:jc w:val="left"/>
        <w:textAlignment w:val="baseline"/>
        <w:rPr>
          <w:rFonts w:ascii="Arial" w:hAnsi="Arial" w:eastAsia="Arial" w:cs="Arial"/>
          <w:snapToGrid w:val="0"/>
          <w:color w:val="auto"/>
          <w:kern w:val="0"/>
          <w:szCs w:val="21"/>
          <w:highlight w:val="none"/>
          <w:lang w:eastAsia="en-US"/>
        </w:rPr>
      </w:pPr>
    </w:p>
    <w:p w14:paraId="5ED22F74">
      <w:pPr>
        <w:keepNext w:val="0"/>
        <w:keepLines w:val="0"/>
        <w:pageBreakBefore w:val="0"/>
        <w:widowControl/>
        <w:kinsoku/>
        <w:wordWrap/>
        <w:overflowPunct/>
        <w:topLinePunct w:val="0"/>
        <w:autoSpaceDE/>
        <w:autoSpaceDN/>
        <w:bidi w:val="0"/>
        <w:adjustRightInd/>
        <w:snapToGrid w:val="0"/>
        <w:spacing w:line="360" w:lineRule="exact"/>
        <w:jc w:val="left"/>
        <w:textAlignment w:val="auto"/>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一、防制服务区域</w:t>
      </w:r>
    </w:p>
    <w:p w14:paraId="3F9FDA12">
      <w:pPr>
        <w:keepNext w:val="0"/>
        <w:keepLines w:val="0"/>
        <w:pageBreakBefore w:val="0"/>
        <w:widowControl/>
        <w:kinsoku/>
        <w:wordWrap/>
        <w:overflowPunct/>
        <w:topLinePunct w:val="0"/>
        <w:autoSpaceDE/>
        <w:autoSpaceDN/>
        <w:bidi w:val="0"/>
        <w:adjustRightInd/>
        <w:snapToGrid w:val="0"/>
        <w:spacing w:line="360" w:lineRule="exact"/>
        <w:ind w:firstLine="480" w:firstLineChars="20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本次采购服务区域为</w:t>
      </w:r>
      <w:r>
        <w:rPr>
          <w:rFonts w:hint="eastAsia" w:ascii="宋体" w:hAnsi="宋体" w:eastAsia="宋体" w:cs="宋体"/>
          <w:snapToGrid w:val="0"/>
          <w:color w:val="000000"/>
          <w:kern w:val="0"/>
          <w:sz w:val="24"/>
          <w:szCs w:val="24"/>
          <w:lang w:val="en-US" w:eastAsia="zh-CN"/>
        </w:rPr>
        <w:t>萍乡经开区</w:t>
      </w:r>
      <w:r>
        <w:rPr>
          <w:rFonts w:hint="eastAsia" w:ascii="宋体" w:hAnsi="宋体" w:eastAsia="宋体" w:cs="宋体"/>
          <w:snapToGrid w:val="0"/>
          <w:color w:val="000000"/>
          <w:kern w:val="0"/>
          <w:sz w:val="24"/>
          <w:szCs w:val="24"/>
          <w:lang w:eastAsia="zh-CN"/>
        </w:rPr>
        <w:t>无主公共外环境场所。包括城市公共绿地、绿化带（坪）、市政主次干道、背街小巷两侧、公园广场、江河两岸、铁路沿线、垃圾站（点）、公共厕所、农贸市场、下水道、留泥井、无物业管理居民区、城区大中型水体等场所（除山岭、耕田、厂房、有物业小区，总面积约</w:t>
      </w:r>
      <w:r>
        <w:rPr>
          <w:rFonts w:hint="eastAsia" w:ascii="宋体" w:hAnsi="宋体" w:eastAsia="宋体" w:cs="宋体"/>
          <w:snapToGrid w:val="0"/>
          <w:color w:val="000000"/>
          <w:kern w:val="0"/>
          <w:sz w:val="24"/>
          <w:szCs w:val="24"/>
          <w:lang w:val="en-US" w:eastAsia="zh-CN"/>
        </w:rPr>
        <w:t>30.82平方公里</w:t>
      </w:r>
      <w:r>
        <w:rPr>
          <w:rFonts w:hint="eastAsia" w:ascii="宋体" w:hAnsi="宋体" w:eastAsia="宋体" w:cs="宋体"/>
          <w:snapToGrid w:val="0"/>
          <w:color w:val="000000"/>
          <w:kern w:val="0"/>
          <w:sz w:val="24"/>
          <w:szCs w:val="24"/>
          <w:lang w:eastAsia="zh-CN"/>
        </w:rPr>
        <w:t>）。</w:t>
      </w:r>
    </w:p>
    <w:p w14:paraId="1EC998F0">
      <w:pPr>
        <w:keepNext w:val="0"/>
        <w:keepLines w:val="0"/>
        <w:pageBreakBefore w:val="0"/>
        <w:widowControl/>
        <w:kinsoku/>
        <w:wordWrap/>
        <w:overflowPunct/>
        <w:topLinePunct w:val="0"/>
        <w:autoSpaceDE/>
        <w:autoSpaceDN/>
        <w:bidi w:val="0"/>
        <w:adjustRightInd/>
        <w:snapToGrid w:val="0"/>
        <w:spacing w:line="360" w:lineRule="exact"/>
        <w:jc w:val="left"/>
        <w:textAlignment w:val="auto"/>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二、防制服务内容</w:t>
      </w:r>
    </w:p>
    <w:p w14:paraId="2243E7C5">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val="en-US" w:eastAsia="zh-CN"/>
        </w:rPr>
        <w:t>（一）</w:t>
      </w:r>
      <w:r>
        <w:rPr>
          <w:rFonts w:hint="eastAsia" w:ascii="宋体" w:hAnsi="宋体" w:eastAsia="宋体" w:cs="宋体"/>
          <w:snapToGrid w:val="0"/>
          <w:color w:val="000000"/>
          <w:kern w:val="0"/>
          <w:sz w:val="24"/>
          <w:szCs w:val="24"/>
          <w:lang w:eastAsia="zh-CN"/>
        </w:rPr>
        <w:t>中标方对</w:t>
      </w:r>
      <w:r>
        <w:rPr>
          <w:rFonts w:hint="eastAsia" w:ascii="宋体" w:hAnsi="宋体" w:eastAsia="宋体" w:cs="宋体"/>
          <w:snapToGrid w:val="0"/>
          <w:color w:val="000000"/>
          <w:kern w:val="0"/>
          <w:sz w:val="24"/>
          <w:szCs w:val="24"/>
          <w:lang w:val="en-US" w:eastAsia="zh-CN"/>
        </w:rPr>
        <w:t>经开区</w:t>
      </w:r>
      <w:r>
        <w:rPr>
          <w:rFonts w:hint="eastAsia" w:ascii="宋体" w:hAnsi="宋体" w:eastAsia="宋体" w:cs="宋体"/>
          <w:snapToGrid w:val="0"/>
          <w:color w:val="000000"/>
          <w:kern w:val="0"/>
          <w:sz w:val="24"/>
          <w:szCs w:val="24"/>
          <w:lang w:eastAsia="zh-CN"/>
        </w:rPr>
        <w:t>公共外环境开展消杀（灭鼠、蚊、蝇、蟑螂），规范投放毒饵盒、化学药品和堵塞鼠洞等。</w:t>
      </w:r>
    </w:p>
    <w:p w14:paraId="29F1E05B">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（二）防制区域内开展消杀所需药品器械和人工费等费用。</w:t>
      </w:r>
    </w:p>
    <w:p w14:paraId="495CB9D1">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（三）对防制服务区域开展病媒生物防制本底调查和密度</w:t>
      </w:r>
      <w:r>
        <w:rPr>
          <w:rFonts w:hint="eastAsia" w:ascii="宋体" w:hAnsi="宋体" w:eastAsia="宋体" w:cs="宋体"/>
          <w:snapToGrid w:val="0"/>
          <w:color w:val="000000"/>
          <w:kern w:val="0"/>
          <w:sz w:val="24"/>
          <w:szCs w:val="24"/>
          <w:lang w:val="en-US" w:eastAsia="zh-CN"/>
        </w:rPr>
        <w:t>效果</w:t>
      </w:r>
      <w:r>
        <w:rPr>
          <w:rFonts w:hint="eastAsia" w:ascii="宋体" w:hAnsi="宋体" w:eastAsia="宋体" w:cs="宋体"/>
          <w:snapToGrid w:val="0"/>
          <w:color w:val="000000"/>
          <w:kern w:val="0"/>
          <w:sz w:val="24"/>
          <w:szCs w:val="24"/>
          <w:lang w:eastAsia="zh-CN"/>
        </w:rPr>
        <w:t>监测，如实反映病媒生物防制效果，并提供相关技术资料。</w:t>
      </w:r>
    </w:p>
    <w:p w14:paraId="18889B0D">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（四）对相关人员进行培训，开展病媒生物防制健康科普宣教和业务指导。</w:t>
      </w:r>
    </w:p>
    <w:p w14:paraId="58CC2FE4">
      <w:pPr>
        <w:keepNext w:val="0"/>
        <w:keepLines w:val="0"/>
        <w:pageBreakBefore w:val="0"/>
        <w:widowControl/>
        <w:kinsoku/>
        <w:wordWrap/>
        <w:overflowPunct/>
        <w:topLinePunct w:val="0"/>
        <w:autoSpaceDE/>
        <w:autoSpaceDN/>
        <w:bidi w:val="0"/>
        <w:adjustRightInd/>
        <w:snapToGrid w:val="0"/>
        <w:spacing w:line="360" w:lineRule="exact"/>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三、防制周期和要求</w:t>
      </w:r>
    </w:p>
    <w:p w14:paraId="407317A3">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val="en-US" w:eastAsia="zh-CN"/>
        </w:rPr>
        <w:t>1.</w:t>
      </w:r>
      <w:r>
        <w:rPr>
          <w:rFonts w:hint="eastAsia" w:ascii="宋体" w:hAnsi="宋体" w:eastAsia="宋体" w:cs="宋体"/>
          <w:snapToGrid w:val="0"/>
          <w:color w:val="000000"/>
          <w:kern w:val="0"/>
          <w:sz w:val="24"/>
          <w:szCs w:val="24"/>
          <w:lang w:eastAsia="zh-CN"/>
        </w:rPr>
        <w:t>防制服务周期</w:t>
      </w:r>
      <w:r>
        <w:rPr>
          <w:rFonts w:hint="eastAsia" w:ascii="宋体" w:hAnsi="宋体" w:eastAsia="宋体" w:cs="宋体"/>
          <w:snapToGrid w:val="0"/>
          <w:color w:val="000000"/>
          <w:kern w:val="0"/>
          <w:sz w:val="24"/>
          <w:szCs w:val="24"/>
          <w:lang w:val="en-US" w:eastAsia="zh-CN"/>
        </w:rPr>
        <w:t>内</w:t>
      </w:r>
      <w:r>
        <w:rPr>
          <w:rFonts w:hint="eastAsia" w:ascii="宋体" w:hAnsi="宋体" w:eastAsia="宋体" w:cs="宋体"/>
          <w:snapToGrid w:val="0"/>
          <w:color w:val="000000"/>
          <w:kern w:val="0"/>
          <w:sz w:val="24"/>
          <w:szCs w:val="24"/>
          <w:lang w:eastAsia="zh-CN"/>
        </w:rPr>
        <w:t>期间至少开展</w:t>
      </w:r>
      <w:r>
        <w:rPr>
          <w:rFonts w:hint="eastAsia" w:ascii="宋体" w:hAnsi="宋体" w:eastAsia="宋体" w:cs="宋体"/>
          <w:snapToGrid w:val="0"/>
          <w:color w:val="000000"/>
          <w:kern w:val="0"/>
          <w:sz w:val="24"/>
          <w:szCs w:val="24"/>
          <w:lang w:val="en-US" w:eastAsia="zh-CN"/>
        </w:rPr>
        <w:t>4</w:t>
      </w:r>
      <w:r>
        <w:rPr>
          <w:rFonts w:hint="eastAsia" w:ascii="宋体" w:hAnsi="宋体" w:eastAsia="宋体" w:cs="宋体"/>
          <w:snapToGrid w:val="0"/>
          <w:color w:val="000000"/>
          <w:kern w:val="0"/>
          <w:sz w:val="24"/>
          <w:szCs w:val="24"/>
          <w:lang w:eastAsia="zh-CN"/>
        </w:rPr>
        <w:t>次集中防制（</w:t>
      </w:r>
      <w:r>
        <w:rPr>
          <w:rFonts w:hint="eastAsia" w:ascii="宋体" w:hAnsi="宋体" w:eastAsia="宋体" w:cs="宋体"/>
          <w:snapToGrid w:val="0"/>
          <w:color w:val="000000"/>
          <w:kern w:val="0"/>
          <w:sz w:val="24"/>
          <w:szCs w:val="24"/>
          <w:lang w:val="en-US" w:eastAsia="zh-CN"/>
        </w:rPr>
        <w:t>包含且不限于：</w:t>
      </w:r>
      <w:r>
        <w:rPr>
          <w:rFonts w:hint="eastAsia" w:ascii="宋体" w:hAnsi="宋体" w:eastAsia="宋体" w:cs="宋体"/>
          <w:snapToGrid w:val="0"/>
          <w:color w:val="000000"/>
          <w:kern w:val="0"/>
          <w:sz w:val="24"/>
          <w:szCs w:val="24"/>
          <w:lang w:eastAsia="zh-CN"/>
        </w:rPr>
        <w:t>春季灭鼠蚊蝇、夏季灭鼠蚊蝇蟑、秋季灭鼠工作</w:t>
      </w:r>
      <w:r>
        <w:rPr>
          <w:rFonts w:hint="eastAsia" w:ascii="宋体" w:hAnsi="宋体" w:eastAsia="宋体" w:cs="宋体"/>
          <w:snapToGrid w:val="0"/>
          <w:color w:val="000000"/>
          <w:kern w:val="0"/>
          <w:sz w:val="24"/>
          <w:szCs w:val="24"/>
          <w:lang w:val="en-US" w:eastAsia="zh-CN"/>
        </w:rPr>
        <w:t>等</w:t>
      </w:r>
      <w:r>
        <w:rPr>
          <w:rFonts w:hint="eastAsia" w:ascii="宋体" w:hAnsi="宋体" w:eastAsia="宋体" w:cs="宋体"/>
          <w:snapToGrid w:val="0"/>
          <w:color w:val="000000"/>
          <w:kern w:val="0"/>
          <w:sz w:val="24"/>
          <w:szCs w:val="24"/>
          <w:lang w:eastAsia="zh-CN"/>
        </w:rPr>
        <w:t>）,全年防制次数不少于26次，应急防制（应急防制必须在</w:t>
      </w:r>
      <w:r>
        <w:rPr>
          <w:rFonts w:hint="eastAsia" w:ascii="宋体" w:hAnsi="宋体" w:eastAsia="宋体" w:cs="宋体"/>
          <w:snapToGrid w:val="0"/>
          <w:color w:val="000000"/>
          <w:kern w:val="0"/>
          <w:sz w:val="24"/>
          <w:szCs w:val="24"/>
          <w:lang w:val="en-US" w:eastAsia="zh-CN"/>
        </w:rPr>
        <w:t>4小时内到场</w:t>
      </w:r>
      <w:r>
        <w:rPr>
          <w:rFonts w:hint="eastAsia" w:ascii="宋体" w:hAnsi="宋体" w:eastAsia="宋体" w:cs="宋体"/>
          <w:snapToGrid w:val="0"/>
          <w:color w:val="000000"/>
          <w:kern w:val="0"/>
          <w:sz w:val="24"/>
          <w:szCs w:val="24"/>
          <w:lang w:eastAsia="zh-CN"/>
        </w:rPr>
        <w:t>），每次作业人员不少于</w:t>
      </w:r>
      <w:r>
        <w:rPr>
          <w:rFonts w:hint="eastAsia" w:ascii="宋体" w:hAnsi="宋体" w:eastAsia="宋体" w:cs="宋体"/>
          <w:snapToGrid w:val="0"/>
          <w:color w:val="000000"/>
          <w:kern w:val="0"/>
          <w:sz w:val="24"/>
          <w:szCs w:val="24"/>
          <w:lang w:val="en-US" w:eastAsia="zh-CN"/>
        </w:rPr>
        <w:t>8</w:t>
      </w:r>
      <w:r>
        <w:rPr>
          <w:rFonts w:hint="eastAsia" w:ascii="宋体" w:hAnsi="宋体" w:eastAsia="宋体" w:cs="宋体"/>
          <w:snapToGrid w:val="0"/>
          <w:color w:val="000000"/>
          <w:kern w:val="0"/>
          <w:sz w:val="24"/>
          <w:szCs w:val="24"/>
          <w:lang w:eastAsia="zh-CN"/>
        </w:rPr>
        <w:t>人。</w:t>
      </w:r>
    </w:p>
    <w:p w14:paraId="12913219">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val="en-US" w:eastAsia="zh-CN"/>
        </w:rPr>
        <w:t>2.</w:t>
      </w:r>
      <w:r>
        <w:rPr>
          <w:rFonts w:hint="eastAsia" w:ascii="宋体" w:hAnsi="宋体" w:eastAsia="宋体" w:cs="宋体"/>
          <w:snapToGrid w:val="0"/>
          <w:color w:val="000000"/>
          <w:kern w:val="0"/>
          <w:sz w:val="24"/>
          <w:szCs w:val="24"/>
          <w:lang w:eastAsia="zh-CN"/>
        </w:rPr>
        <w:t>中标方不得将本项目分包与转包，否则采购方将终止合同，由此造成的一切损失由中标方负责。</w:t>
      </w:r>
    </w:p>
    <w:p w14:paraId="53C743D0">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3.员工须持证上岗，规范操作，文明作业；</w:t>
      </w:r>
    </w:p>
    <w:p w14:paraId="5567F36B">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4.</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必须制定突发事件应急预案；在提供药物投放服务时，必须作好宣传和技术指导工作，注意安全，预防人畜误食鼠药中毒事件发生，以及对发生误食中毒事件进行及时处理，并承担因宣传</w:t>
      </w:r>
      <w:r>
        <w:rPr>
          <w:rFonts w:hint="eastAsia" w:ascii="宋体" w:hAnsi="宋体" w:eastAsia="宋体" w:cs="宋体"/>
          <w:snapToGrid w:val="0"/>
          <w:color w:val="auto"/>
          <w:kern w:val="0"/>
          <w:sz w:val="24"/>
          <w:szCs w:val="24"/>
          <w:lang w:eastAsia="zh-CN"/>
        </w:rPr>
        <w:t>措施</w:t>
      </w:r>
      <w:r>
        <w:rPr>
          <w:rFonts w:hint="eastAsia" w:ascii="宋体" w:hAnsi="宋体" w:eastAsia="宋体" w:cs="宋体"/>
          <w:snapToGrid w:val="0"/>
          <w:color w:val="000000"/>
          <w:kern w:val="0"/>
          <w:sz w:val="24"/>
          <w:szCs w:val="24"/>
          <w:lang w:eastAsia="en-US"/>
        </w:rPr>
        <w:t>和指导不力造成环境污染和人畜误食中毒所产生的后果；</w:t>
      </w:r>
    </w:p>
    <w:p w14:paraId="0923303C">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5.</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在提供药物投放服务时，必须按规定投放，确保消杀药物的投放量、到位率、覆盖率符合要求并作好相关文字记录，保留备查。</w:t>
      </w:r>
    </w:p>
    <w:p w14:paraId="3311AE40">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6.服务期内药物使用必须符合国家规定的病媒生物</w:t>
      </w:r>
      <w:r>
        <w:rPr>
          <w:rFonts w:hint="eastAsia" w:ascii="宋体" w:hAnsi="宋体" w:eastAsia="宋体" w:cs="宋体"/>
          <w:snapToGrid w:val="0"/>
          <w:color w:val="000000"/>
          <w:kern w:val="0"/>
          <w:sz w:val="24"/>
          <w:szCs w:val="24"/>
          <w:lang w:val="en-US" w:eastAsia="zh-CN"/>
        </w:rPr>
        <w:t>防制</w:t>
      </w:r>
      <w:r>
        <w:rPr>
          <w:rFonts w:hint="eastAsia" w:ascii="宋体" w:hAnsi="宋体" w:eastAsia="宋体" w:cs="宋体"/>
          <w:snapToGrid w:val="0"/>
          <w:color w:val="000000"/>
          <w:kern w:val="0"/>
          <w:sz w:val="24"/>
          <w:szCs w:val="24"/>
          <w:lang w:eastAsia="en-US"/>
        </w:rPr>
        <w:t>用药，安全规范用药，严禁使用国家明令禁止使用的药物，如发生人、畜食中毒，经权威部门鉴定属于属</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使用禁用药物，</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需要承担全部责任。</w:t>
      </w:r>
    </w:p>
    <w:p w14:paraId="54F14327">
      <w:pPr>
        <w:keepNext w:val="0"/>
        <w:keepLines w:val="0"/>
        <w:pageBreakBefore w:val="0"/>
        <w:widowControl/>
        <w:kinsoku/>
        <w:wordWrap/>
        <w:overflowPunct/>
        <w:topLinePunct w:val="0"/>
        <w:autoSpaceDE/>
        <w:autoSpaceDN/>
        <w:bidi w:val="0"/>
        <w:adjustRightInd/>
        <w:snapToGrid w:val="0"/>
        <w:spacing w:line="360" w:lineRule="exact"/>
        <w:ind w:firstLine="441" w:firstLineChars="183"/>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四、防制服务方案</w:t>
      </w:r>
    </w:p>
    <w:p w14:paraId="7A723629">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w:t>
      </w:r>
      <w:r>
        <w:rPr>
          <w:rFonts w:hint="eastAsia" w:ascii="宋体" w:hAnsi="宋体" w:eastAsia="宋体" w:cs="宋体"/>
          <w:snapToGrid w:val="0"/>
          <w:color w:val="000000"/>
          <w:kern w:val="0"/>
          <w:sz w:val="24"/>
          <w:szCs w:val="24"/>
          <w:lang w:eastAsia="zh-CN"/>
        </w:rPr>
        <w:t>服务商</w:t>
      </w:r>
      <w:r>
        <w:rPr>
          <w:rFonts w:hint="eastAsia" w:ascii="宋体" w:hAnsi="宋体" w:eastAsia="宋体" w:cs="宋体"/>
          <w:snapToGrid w:val="0"/>
          <w:color w:val="000000"/>
          <w:kern w:val="0"/>
          <w:sz w:val="24"/>
          <w:szCs w:val="24"/>
          <w:lang w:eastAsia="en-US"/>
        </w:rPr>
        <w:t>须针对本项目编制体现出的对服务区内外环境特点了解程度的技术方案、实施方案；</w:t>
      </w:r>
    </w:p>
    <w:p w14:paraId="02101A58">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w:t>
      </w:r>
      <w:r>
        <w:rPr>
          <w:rFonts w:hint="eastAsia" w:ascii="宋体" w:hAnsi="宋体" w:eastAsia="宋体" w:cs="宋体"/>
          <w:snapToGrid w:val="0"/>
          <w:color w:val="000000"/>
          <w:kern w:val="0"/>
          <w:sz w:val="24"/>
          <w:szCs w:val="24"/>
          <w:lang w:eastAsia="zh-CN"/>
        </w:rPr>
        <w:t>服务商</w:t>
      </w:r>
      <w:r>
        <w:rPr>
          <w:rFonts w:hint="eastAsia" w:ascii="宋体" w:hAnsi="宋体" w:eastAsia="宋体" w:cs="宋体"/>
          <w:snapToGrid w:val="0"/>
          <w:color w:val="000000"/>
          <w:kern w:val="0"/>
          <w:sz w:val="24"/>
          <w:szCs w:val="24"/>
          <w:lang w:eastAsia="en-US"/>
        </w:rPr>
        <w:t>针对本项目编制防制服务技术方案，在技术方案中体现出的对防制对象、种类、熏杀防制方法科学的熟悉程度；</w:t>
      </w:r>
    </w:p>
    <w:p w14:paraId="789CA5B4">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en-US"/>
        </w:rPr>
        <w:t>3.</w:t>
      </w:r>
      <w:r>
        <w:rPr>
          <w:rFonts w:hint="eastAsia" w:ascii="宋体" w:hAnsi="宋体" w:eastAsia="宋体" w:cs="宋体"/>
          <w:snapToGrid w:val="0"/>
          <w:color w:val="000000"/>
          <w:kern w:val="0"/>
          <w:sz w:val="24"/>
          <w:szCs w:val="24"/>
          <w:lang w:eastAsia="zh-CN"/>
        </w:rPr>
        <w:t>服务商</w:t>
      </w:r>
      <w:r>
        <w:rPr>
          <w:rFonts w:hint="eastAsia" w:ascii="宋体" w:hAnsi="宋体" w:eastAsia="宋体" w:cs="宋体"/>
          <w:snapToGrid w:val="0"/>
          <w:color w:val="000000"/>
          <w:kern w:val="0"/>
          <w:sz w:val="24"/>
          <w:szCs w:val="24"/>
          <w:lang w:eastAsia="en-US"/>
        </w:rPr>
        <w:t>针对本项目配置选择药械（物）合理，药品、药物在防制过程中使用的分配情况，对不同环境的用药量及方法科学合理性</w:t>
      </w:r>
      <w:r>
        <w:rPr>
          <w:rFonts w:hint="eastAsia" w:ascii="宋体" w:hAnsi="宋体" w:eastAsia="宋体" w:cs="宋体"/>
          <w:snapToGrid w:val="0"/>
          <w:color w:val="000000"/>
          <w:kern w:val="0"/>
          <w:sz w:val="24"/>
          <w:szCs w:val="24"/>
          <w:lang w:eastAsia="zh-CN"/>
        </w:rPr>
        <w:t>；</w:t>
      </w:r>
    </w:p>
    <w:p w14:paraId="760076FD">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en-US"/>
        </w:rPr>
        <w:t>4.</w:t>
      </w:r>
      <w:r>
        <w:rPr>
          <w:rFonts w:hint="eastAsia" w:ascii="宋体" w:hAnsi="宋体" w:eastAsia="宋体" w:cs="宋体"/>
          <w:snapToGrid w:val="0"/>
          <w:color w:val="000000"/>
          <w:kern w:val="0"/>
          <w:sz w:val="24"/>
          <w:szCs w:val="24"/>
          <w:lang w:eastAsia="zh-CN"/>
        </w:rPr>
        <w:t>服务商</w:t>
      </w:r>
      <w:r>
        <w:rPr>
          <w:rFonts w:hint="eastAsia" w:ascii="宋体" w:hAnsi="宋体" w:eastAsia="宋体" w:cs="宋体"/>
          <w:snapToGrid w:val="0"/>
          <w:color w:val="000000"/>
          <w:kern w:val="0"/>
          <w:sz w:val="24"/>
          <w:szCs w:val="24"/>
          <w:lang w:eastAsia="en-US"/>
        </w:rPr>
        <w:t>针对本项目编制技术服务方案、技术方案，技术服务方案中体现出的所采取的技术和方法的环境适应性</w:t>
      </w:r>
      <w:r>
        <w:rPr>
          <w:rFonts w:hint="eastAsia" w:ascii="宋体" w:hAnsi="宋体" w:eastAsia="宋体" w:cs="宋体"/>
          <w:snapToGrid w:val="0"/>
          <w:color w:val="000000"/>
          <w:kern w:val="0"/>
          <w:sz w:val="24"/>
          <w:szCs w:val="24"/>
          <w:lang w:eastAsia="zh-CN"/>
        </w:rPr>
        <w:t>；</w:t>
      </w:r>
    </w:p>
    <w:p w14:paraId="7961CEB6">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en-US"/>
        </w:rPr>
        <w:t>5.针对本项目编制完整的服务实施方案，实施方案描述的实施病媒生物防制工作内容完整，包括人员培训、质量管理等，人员时间安排妥当，突出日常性工作，防制工作中时间进度安排、资料收集和分析情况</w:t>
      </w:r>
      <w:r>
        <w:rPr>
          <w:rFonts w:hint="eastAsia" w:ascii="宋体" w:hAnsi="宋体" w:eastAsia="宋体" w:cs="宋体"/>
          <w:snapToGrid w:val="0"/>
          <w:color w:val="000000"/>
          <w:kern w:val="0"/>
          <w:sz w:val="24"/>
          <w:szCs w:val="24"/>
          <w:lang w:eastAsia="zh-CN"/>
        </w:rPr>
        <w:t>；</w:t>
      </w:r>
    </w:p>
    <w:p w14:paraId="6C5CEB26">
      <w:pPr>
        <w:keepNext w:val="0"/>
        <w:keepLines w:val="0"/>
        <w:pageBreakBefore w:val="0"/>
        <w:widowControl/>
        <w:kinsoku/>
        <w:wordWrap/>
        <w:overflowPunct/>
        <w:topLinePunct w:val="0"/>
        <w:autoSpaceDE/>
        <w:autoSpaceDN/>
        <w:bidi w:val="0"/>
        <w:adjustRightInd/>
        <w:snapToGrid w:val="0"/>
        <w:spacing w:line="360" w:lineRule="exact"/>
        <w:ind w:firstLine="482"/>
        <w:jc w:val="left"/>
        <w:textAlignment w:val="auto"/>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五、突发公共卫生事件应急措施方案</w:t>
      </w:r>
    </w:p>
    <w:p w14:paraId="39D48CE0">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auto"/>
          <w:kern w:val="0"/>
          <w:sz w:val="24"/>
          <w:szCs w:val="24"/>
          <w:lang w:eastAsia="en-US"/>
        </w:rPr>
      </w:pPr>
      <w:r>
        <w:rPr>
          <w:rFonts w:hint="eastAsia" w:ascii="宋体" w:hAnsi="宋体" w:eastAsia="宋体" w:cs="宋体"/>
          <w:snapToGrid w:val="0"/>
          <w:color w:val="auto"/>
          <w:kern w:val="0"/>
          <w:sz w:val="24"/>
          <w:szCs w:val="24"/>
          <w:lang w:eastAsia="en-US"/>
        </w:rPr>
        <w:t>1.</w:t>
      </w:r>
      <w:r>
        <w:rPr>
          <w:rFonts w:hint="eastAsia" w:ascii="宋体" w:hAnsi="宋体" w:eastAsia="宋体" w:cs="宋体"/>
          <w:snapToGrid w:val="0"/>
          <w:color w:val="auto"/>
          <w:kern w:val="0"/>
          <w:sz w:val="24"/>
          <w:szCs w:val="24"/>
          <w:lang w:eastAsia="zh-CN"/>
        </w:rPr>
        <w:t>服务商</w:t>
      </w:r>
      <w:r>
        <w:rPr>
          <w:rFonts w:hint="eastAsia" w:ascii="宋体" w:hAnsi="宋体" w:eastAsia="宋体" w:cs="宋体"/>
          <w:snapToGrid w:val="0"/>
          <w:color w:val="auto"/>
          <w:kern w:val="0"/>
          <w:sz w:val="24"/>
          <w:szCs w:val="24"/>
          <w:lang w:eastAsia="en-US"/>
        </w:rPr>
        <w:t>针对本项目编制突发公共卫生事件应急措施方案，须提供突发公共卫生事件应急措施方案，方案切实可行，有很强的操作性和针对性方案。</w:t>
      </w:r>
    </w:p>
    <w:p w14:paraId="67660134">
      <w:pPr>
        <w:keepNext w:val="0"/>
        <w:keepLines w:val="0"/>
        <w:pageBreakBefore w:val="0"/>
        <w:widowControl/>
        <w:kinsoku/>
        <w:wordWrap/>
        <w:overflowPunct/>
        <w:topLinePunct w:val="0"/>
        <w:autoSpaceDE/>
        <w:autoSpaceDN/>
        <w:bidi w:val="0"/>
        <w:adjustRightInd/>
        <w:snapToGrid w:val="0"/>
        <w:spacing w:line="360" w:lineRule="exact"/>
        <w:ind w:firstLine="482"/>
        <w:jc w:val="left"/>
        <w:textAlignment w:val="auto"/>
        <w:rPr>
          <w:rFonts w:hint="eastAsia" w:ascii="宋体" w:hAnsi="宋体" w:eastAsia="宋体" w:cs="宋体"/>
          <w:b/>
          <w:snapToGrid w:val="0"/>
          <w:color w:val="000000"/>
          <w:kern w:val="0"/>
          <w:sz w:val="24"/>
          <w:szCs w:val="24"/>
          <w:lang w:eastAsia="en-US"/>
        </w:rPr>
      </w:pPr>
      <w:r>
        <w:rPr>
          <w:rFonts w:hint="eastAsia" w:ascii="宋体" w:hAnsi="宋体" w:eastAsia="宋体" w:cs="宋体"/>
          <w:b/>
          <w:snapToGrid w:val="0"/>
          <w:color w:val="000000"/>
          <w:kern w:val="0"/>
          <w:sz w:val="24"/>
          <w:szCs w:val="24"/>
          <w:lang w:eastAsia="en-US"/>
        </w:rPr>
        <w:t>六、服务质量要求</w:t>
      </w:r>
    </w:p>
    <w:p w14:paraId="61F25748">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auto"/>
          <w:kern w:val="0"/>
          <w:sz w:val="24"/>
          <w:szCs w:val="24"/>
          <w:lang w:eastAsia="zh-CN"/>
        </w:rPr>
      </w:pPr>
      <w:r>
        <w:rPr>
          <w:rFonts w:hint="eastAsia" w:ascii="宋体" w:hAnsi="宋体" w:eastAsia="宋体" w:cs="宋体"/>
          <w:snapToGrid w:val="0"/>
          <w:color w:val="auto"/>
          <w:kern w:val="0"/>
          <w:sz w:val="24"/>
          <w:szCs w:val="24"/>
          <w:lang w:eastAsia="zh-CN"/>
        </w:rPr>
        <w:t>（一）防制服务符合国家《病媒生物预防控制管理规定》和《萍乡市病媒生物防制工作技术方案》要求。</w:t>
      </w:r>
    </w:p>
    <w:p w14:paraId="03850868">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（二）中标方必须制定防制工作方案和阶段性消杀计划，组织专业人员对服务区域开展病媒生物防制服务、外环境本底调查，报经开区</w:t>
      </w:r>
      <w:r>
        <w:rPr>
          <w:rFonts w:hint="eastAsia" w:ascii="宋体" w:hAnsi="宋体" w:eastAsia="宋体" w:cs="宋体"/>
          <w:snapToGrid w:val="0"/>
          <w:color w:val="000000"/>
          <w:kern w:val="0"/>
          <w:sz w:val="24"/>
          <w:szCs w:val="24"/>
          <w:lang w:val="en-US" w:eastAsia="zh-CN"/>
        </w:rPr>
        <w:t>卫生健康服务中心</w:t>
      </w:r>
      <w:r>
        <w:rPr>
          <w:rFonts w:hint="eastAsia" w:ascii="宋体" w:hAnsi="宋体" w:eastAsia="宋体" w:cs="宋体"/>
          <w:snapToGrid w:val="0"/>
          <w:color w:val="000000"/>
          <w:kern w:val="0"/>
          <w:sz w:val="24"/>
          <w:szCs w:val="24"/>
          <w:lang w:eastAsia="zh-CN"/>
        </w:rPr>
        <w:t>审定后，按计划进行消杀。工作流程、作业地点、用药效果等要有记录，保障作业安全，汇总提交资料档案。</w:t>
      </w:r>
    </w:p>
    <w:p w14:paraId="1C28812F">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eastAsia="zh-CN"/>
        </w:rPr>
        <w:t>（三）消杀服务质量监管及处罚</w:t>
      </w:r>
    </w:p>
    <w:p w14:paraId="573EBEBC">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val="en-US" w:eastAsia="zh-CN"/>
        </w:rPr>
        <w:t>1、确保防制服务区域鼠、蚊、蝇、蟑密度常态化保持在国家病媒生物密度控制水平C级或更高。</w:t>
      </w:r>
    </w:p>
    <w:p w14:paraId="779DC4C9">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val="en-US" w:eastAsia="zh-CN"/>
        </w:rPr>
        <w:t>2.在合同期内集中防制或日常防制后，经采购人委托的第三方机构监测服务区域鼠、蚊、蝇、蟑密度需达到国家C级标准及以上，未达到则扣除合同服务费的5%，并重新开展消杀，直至达到国家C级标准为止。</w:t>
      </w:r>
    </w:p>
    <w:p w14:paraId="3F4368E8">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val="en-US" w:eastAsia="zh-CN"/>
        </w:rPr>
        <w:t>3.每次应急防制后，经采购人委托的第三方机构监测防制服务区域鼠、蚊、蝇、蟑密度未达到国家C级标准，扣除合同服务费的10%。</w:t>
      </w:r>
    </w:p>
    <w:p w14:paraId="24D61F78">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val="en-US" w:eastAsia="zh-CN"/>
        </w:rPr>
        <w:t>4.防制服务区域发现主要问题导致病媒生物防制工作不能通过上级评审的，扣除合同服务费的25%，且立即整改，开展消杀防制，直至达到国家、省、市的检查要求为止。</w:t>
      </w:r>
    </w:p>
    <w:p w14:paraId="51E38A92">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val="en-US" w:eastAsia="zh-CN"/>
        </w:rPr>
      </w:pPr>
      <w:r>
        <w:rPr>
          <w:rFonts w:hint="eastAsia" w:ascii="宋体" w:hAnsi="宋体" w:eastAsia="宋体" w:cs="宋体"/>
          <w:snapToGrid w:val="0"/>
          <w:color w:val="000000"/>
          <w:kern w:val="0"/>
          <w:sz w:val="24"/>
          <w:szCs w:val="24"/>
          <w:lang w:val="en-US" w:eastAsia="zh-CN"/>
        </w:rPr>
        <w:t>5.在合同期内发生市级以上新闻媒体曝光造成不良影响，或省、市提出书面批评的，每发生一起扣除合同服务费的10%。</w:t>
      </w:r>
    </w:p>
    <w:p w14:paraId="472EF404">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zh-CN"/>
        </w:rPr>
      </w:pPr>
      <w:r>
        <w:rPr>
          <w:rFonts w:hint="eastAsia" w:ascii="宋体" w:hAnsi="宋体" w:eastAsia="宋体" w:cs="宋体"/>
          <w:snapToGrid w:val="0"/>
          <w:color w:val="000000"/>
          <w:kern w:val="0"/>
          <w:sz w:val="24"/>
          <w:szCs w:val="24"/>
          <w:lang w:val="en-US" w:eastAsia="zh-CN"/>
        </w:rPr>
        <w:t>6.药品安全使用管理：发现中标方使用违禁药品或</w:t>
      </w:r>
      <w:r>
        <w:rPr>
          <w:rFonts w:hint="eastAsia" w:ascii="宋体" w:hAnsi="宋体" w:eastAsia="宋体" w:cs="宋体"/>
          <w:snapToGrid w:val="0"/>
          <w:color w:val="auto"/>
          <w:kern w:val="0"/>
          <w:sz w:val="24"/>
          <w:szCs w:val="24"/>
          <w:lang w:val="en-US" w:eastAsia="zh-CN"/>
        </w:rPr>
        <w:t>未经采购方</w:t>
      </w:r>
      <w:r>
        <w:rPr>
          <w:rFonts w:hint="eastAsia" w:ascii="宋体" w:hAnsi="宋体" w:eastAsia="宋体" w:cs="宋体"/>
          <w:snapToGrid w:val="0"/>
          <w:color w:val="000000"/>
          <w:kern w:val="0"/>
          <w:sz w:val="24"/>
          <w:szCs w:val="24"/>
          <w:lang w:val="en-US" w:eastAsia="zh-CN"/>
        </w:rPr>
        <w:t>批准擅自使用，采购方有权终止合同关系，并拒付所有合同服务费，造成后果的，将依法追究法律责任。药品储存、分发、使用、回收和出入库登记、药品消杀记录等制度不落实，药械使用不科学、不规范，消杀人员防护不到位，每发生一例扣除1000元合同服务费。因施药问题造成人员和财产损失安全事故的，由中标方负全部责任，并承担所有损失和赔偿。</w:t>
      </w:r>
    </w:p>
    <w:p w14:paraId="602C9457">
      <w:pPr>
        <w:keepNext w:val="0"/>
        <w:keepLines w:val="0"/>
        <w:pageBreakBefore w:val="0"/>
        <w:widowControl/>
        <w:kinsoku/>
        <w:wordWrap/>
        <w:overflowPunct/>
        <w:topLinePunct w:val="0"/>
        <w:autoSpaceDE/>
        <w:autoSpaceDN/>
        <w:bidi w:val="0"/>
        <w:adjustRightInd/>
        <w:snapToGrid w:val="0"/>
        <w:spacing w:line="360" w:lineRule="exact"/>
        <w:jc w:val="left"/>
        <w:textAlignment w:val="auto"/>
        <w:rPr>
          <w:rFonts w:hint="eastAsia" w:ascii="宋体" w:hAnsi="宋体" w:eastAsia="宋体" w:cs="宋体"/>
          <w:b/>
          <w:bCs/>
          <w:snapToGrid w:val="0"/>
          <w:color w:val="000000"/>
          <w:kern w:val="0"/>
          <w:sz w:val="24"/>
          <w:szCs w:val="24"/>
          <w:lang w:eastAsia="en-US"/>
        </w:rPr>
      </w:pPr>
      <w:r>
        <w:rPr>
          <w:rFonts w:hint="eastAsia" w:ascii="宋体" w:hAnsi="宋体" w:eastAsia="宋体" w:cs="宋体"/>
          <w:b/>
          <w:bCs/>
          <w:snapToGrid w:val="0"/>
          <w:color w:val="000000"/>
          <w:kern w:val="0"/>
          <w:sz w:val="24"/>
          <w:szCs w:val="24"/>
          <w:lang w:eastAsia="en-US"/>
        </w:rPr>
        <w:t>七、项目实施要求</w:t>
      </w:r>
    </w:p>
    <w:p w14:paraId="2B465C8B">
      <w:pPr>
        <w:keepNext w:val="0"/>
        <w:keepLines w:val="0"/>
        <w:pageBreakBefore w:val="0"/>
        <w:widowControl/>
        <w:kinsoku/>
        <w:wordWrap/>
        <w:overflowPunct/>
        <w:topLinePunct w:val="0"/>
        <w:autoSpaceDE/>
        <w:autoSpaceDN/>
        <w:bidi w:val="0"/>
        <w:adjustRightInd/>
        <w:snapToGrid w:val="0"/>
        <w:spacing w:line="360" w:lineRule="exact"/>
        <w:ind w:firstLine="480" w:firstLineChars="20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1.</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负责提供本项目中</w:t>
      </w:r>
      <w:r>
        <w:rPr>
          <w:rFonts w:hint="eastAsia" w:ascii="宋体" w:hAnsi="宋体" w:eastAsia="宋体" w:cs="宋体"/>
          <w:snapToGrid w:val="0"/>
          <w:color w:val="000000"/>
          <w:kern w:val="0"/>
          <w:sz w:val="24"/>
          <w:szCs w:val="24"/>
          <w:lang w:eastAsia="zh-CN"/>
        </w:rPr>
        <w:t>采购方</w:t>
      </w:r>
      <w:r>
        <w:rPr>
          <w:rFonts w:hint="eastAsia" w:ascii="宋体" w:hAnsi="宋体" w:eastAsia="宋体" w:cs="宋体"/>
          <w:snapToGrid w:val="0"/>
          <w:color w:val="000000"/>
          <w:kern w:val="0"/>
          <w:sz w:val="24"/>
          <w:szCs w:val="24"/>
          <w:lang w:eastAsia="en-US"/>
        </w:rPr>
        <w:t>所需要的病媒生物防制药物消杀及技术服务。</w:t>
      </w:r>
    </w:p>
    <w:p w14:paraId="58DE248B">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2.</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保证按投标文件中的服务承诺提供良好的服务。</w:t>
      </w:r>
    </w:p>
    <w:p w14:paraId="2DF033C4">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3.</w:t>
      </w:r>
      <w:r>
        <w:rPr>
          <w:rFonts w:hint="eastAsia" w:ascii="宋体" w:hAnsi="宋体" w:eastAsia="宋体" w:cs="宋体"/>
          <w:snapToGrid w:val="0"/>
          <w:color w:val="000000"/>
          <w:kern w:val="0"/>
          <w:sz w:val="24"/>
          <w:szCs w:val="24"/>
          <w:lang w:eastAsia="zh-CN"/>
        </w:rPr>
        <w:t>中标方</w:t>
      </w:r>
      <w:r>
        <w:rPr>
          <w:rFonts w:hint="eastAsia" w:ascii="宋体" w:hAnsi="宋体" w:eastAsia="宋体" w:cs="宋体"/>
          <w:snapToGrid w:val="0"/>
          <w:color w:val="000000"/>
          <w:kern w:val="0"/>
          <w:sz w:val="24"/>
          <w:szCs w:val="24"/>
          <w:lang w:eastAsia="en-US"/>
        </w:rPr>
        <w:t>工作人员在实施服务时应统一着装、佩证上岗、明确任务、文明作业。填写服务登记卡，并请</w:t>
      </w:r>
      <w:r>
        <w:rPr>
          <w:rFonts w:hint="eastAsia" w:ascii="宋体" w:hAnsi="宋体" w:eastAsia="宋体" w:cs="宋体"/>
          <w:snapToGrid w:val="0"/>
          <w:color w:val="000000"/>
          <w:kern w:val="0"/>
          <w:sz w:val="24"/>
          <w:szCs w:val="24"/>
          <w:lang w:eastAsia="zh-CN"/>
        </w:rPr>
        <w:t>采购方</w:t>
      </w:r>
      <w:r>
        <w:rPr>
          <w:rFonts w:hint="eastAsia" w:ascii="宋体" w:hAnsi="宋体" w:eastAsia="宋体" w:cs="宋体"/>
          <w:snapToGrid w:val="0"/>
          <w:color w:val="000000"/>
          <w:kern w:val="0"/>
          <w:sz w:val="24"/>
          <w:szCs w:val="24"/>
          <w:lang w:eastAsia="en-US"/>
        </w:rPr>
        <w:t>有关人员签字，作为当次服务的凭据。</w:t>
      </w:r>
    </w:p>
    <w:p w14:paraId="0AA8E0EB">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4.注意药物的使用安全，投（施）药后需防护的部位和措施，应采取有效的防护和措施，及时向</w:t>
      </w:r>
      <w:r>
        <w:rPr>
          <w:rFonts w:hint="eastAsia" w:ascii="宋体" w:hAnsi="宋体" w:eastAsia="宋体" w:cs="宋体"/>
          <w:snapToGrid w:val="0"/>
          <w:color w:val="000000"/>
          <w:kern w:val="0"/>
          <w:sz w:val="24"/>
          <w:szCs w:val="24"/>
          <w:lang w:eastAsia="zh-CN"/>
        </w:rPr>
        <w:t>采购方</w:t>
      </w:r>
      <w:r>
        <w:rPr>
          <w:rFonts w:hint="eastAsia" w:ascii="宋体" w:hAnsi="宋体" w:eastAsia="宋体" w:cs="宋体"/>
          <w:snapToGrid w:val="0"/>
          <w:color w:val="000000"/>
          <w:kern w:val="0"/>
          <w:sz w:val="24"/>
          <w:szCs w:val="24"/>
          <w:lang w:eastAsia="en-US"/>
        </w:rPr>
        <w:t>报告并向市民发布提醒事项。</w:t>
      </w:r>
    </w:p>
    <w:p w14:paraId="7B4ED71D">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5.事先作好喷药前提示，不能对市民造成影响。</w:t>
      </w:r>
    </w:p>
    <w:p w14:paraId="2849EDE0">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6.确保对服务辖区内的动、植物及公共设施不造成损害。</w:t>
      </w:r>
    </w:p>
    <w:p w14:paraId="66EE16E3">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7.确保施工安全，若因施工原因造成的安全事故及存在安全隐患造成自身和他人人身财产损害，其责任均由</w:t>
      </w:r>
      <w:r>
        <w:rPr>
          <w:rFonts w:hint="eastAsia" w:ascii="宋体" w:hAnsi="宋体" w:eastAsia="宋体" w:cs="宋体"/>
          <w:snapToGrid w:val="0"/>
          <w:color w:val="000000"/>
          <w:kern w:val="0"/>
          <w:sz w:val="24"/>
          <w:szCs w:val="24"/>
          <w:lang w:eastAsia="zh-CN"/>
        </w:rPr>
        <w:t>服务商</w:t>
      </w:r>
      <w:r>
        <w:rPr>
          <w:rFonts w:hint="eastAsia" w:ascii="宋体" w:hAnsi="宋体" w:eastAsia="宋体" w:cs="宋体"/>
          <w:snapToGrid w:val="0"/>
          <w:color w:val="000000"/>
          <w:kern w:val="0"/>
          <w:sz w:val="24"/>
          <w:szCs w:val="24"/>
          <w:lang w:eastAsia="en-US"/>
        </w:rPr>
        <w:t>承担。</w:t>
      </w:r>
    </w:p>
    <w:p w14:paraId="50874C61">
      <w:pPr>
        <w:keepNext w:val="0"/>
        <w:keepLines w:val="0"/>
        <w:pageBreakBefore w:val="0"/>
        <w:widowControl/>
        <w:kinsoku/>
        <w:wordWrap/>
        <w:overflowPunct/>
        <w:topLinePunct w:val="0"/>
        <w:autoSpaceDE/>
        <w:autoSpaceDN/>
        <w:bidi w:val="0"/>
        <w:adjustRightInd/>
        <w:snapToGrid w:val="0"/>
        <w:spacing w:line="360" w:lineRule="exact"/>
        <w:ind w:firstLine="480"/>
        <w:jc w:val="left"/>
        <w:textAlignment w:val="auto"/>
        <w:rPr>
          <w:rFonts w:hint="eastAsia" w:ascii="宋体" w:hAnsi="宋体" w:eastAsia="宋体" w:cs="宋体"/>
          <w:snapToGrid w:val="0"/>
          <w:color w:val="000000"/>
          <w:kern w:val="0"/>
          <w:sz w:val="24"/>
          <w:szCs w:val="24"/>
          <w:lang w:eastAsia="en-US"/>
        </w:rPr>
      </w:pPr>
      <w:r>
        <w:rPr>
          <w:rFonts w:hint="eastAsia" w:ascii="宋体" w:hAnsi="宋体" w:eastAsia="宋体" w:cs="宋体"/>
          <w:snapToGrid w:val="0"/>
          <w:color w:val="000000"/>
          <w:kern w:val="0"/>
          <w:sz w:val="24"/>
          <w:szCs w:val="24"/>
          <w:lang w:eastAsia="en-US"/>
        </w:rPr>
        <w:t>8.确保完成日常消杀、维护承担灾害、突发事件应急消杀和重大活动的“除四害”消杀工作。</w:t>
      </w:r>
    </w:p>
    <w:p w14:paraId="62592FB2">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宋体" w:hAnsi="宋体" w:eastAsia="宋体" w:cs="宋体"/>
          <w:b/>
          <w:snapToGrid w:val="0"/>
          <w:color w:val="000000"/>
          <w:kern w:val="0"/>
          <w:sz w:val="24"/>
          <w:szCs w:val="24"/>
          <w:lang w:val="en-US" w:eastAsia="zh-CN"/>
        </w:rPr>
      </w:pPr>
      <w:r>
        <w:rPr>
          <w:rFonts w:hint="eastAsia" w:ascii="宋体" w:hAnsi="宋体" w:eastAsia="宋体" w:cs="宋体"/>
          <w:b/>
          <w:snapToGrid w:val="0"/>
          <w:color w:val="000000"/>
          <w:kern w:val="0"/>
          <w:sz w:val="24"/>
          <w:szCs w:val="24"/>
          <w:lang w:val="en-US" w:eastAsia="zh-CN"/>
        </w:rPr>
        <w:t>八</w:t>
      </w:r>
      <w:r>
        <w:rPr>
          <w:rFonts w:hint="eastAsia" w:ascii="宋体" w:hAnsi="宋体" w:eastAsia="宋体" w:cs="宋体"/>
          <w:b/>
          <w:snapToGrid w:val="0"/>
          <w:color w:val="000000"/>
          <w:kern w:val="0"/>
          <w:sz w:val="24"/>
          <w:szCs w:val="24"/>
          <w:lang w:eastAsia="en-US"/>
        </w:rPr>
        <w:t>、</w:t>
      </w:r>
      <w:r>
        <w:rPr>
          <w:rFonts w:hint="eastAsia" w:ascii="宋体" w:hAnsi="宋体" w:eastAsia="宋体" w:cs="宋体"/>
          <w:b/>
          <w:snapToGrid w:val="0"/>
          <w:color w:val="000000"/>
          <w:kern w:val="0"/>
          <w:sz w:val="24"/>
          <w:szCs w:val="24"/>
          <w:lang w:val="en-US" w:eastAsia="zh-CN"/>
        </w:rPr>
        <w:t>科学合理用药</w:t>
      </w:r>
    </w:p>
    <w:p w14:paraId="67E07F13">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服务商必须严格遵循科学合理用药原则，严禁使用假药、国家禁用药物，确保药物来源合法、质量合格。所有使用药物必须符合GB/T 27777-2011《杀鼠剂安全使用准则》、**GB/T 27779-2011《卫生杀虫剂安全使用准则》** 及国家现行农药管理相关法规要求，达到 “安全、高效、环保” 标准，按规范交替用药防止产生耐药性，保障创卫及病媒生物防制工作顺利开展。</w:t>
      </w:r>
    </w:p>
    <w:p w14:paraId="290C63FB">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（一）药品基本要求</w:t>
      </w:r>
    </w:p>
    <w:p w14:paraId="3E783BDF">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灭鼠类药物：需为国家允许使用的第二代抗凝血类杀鼠剂，有效成分含量符合国家农药登记标准，剂型包含毒饵、蜡块等适配不同场景的合规剂型，适用于室内外、下水道及潮湿等各类灭鼠作业场景。</w:t>
      </w:r>
    </w:p>
    <w:p w14:paraId="4D39A60A">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灭蟑类药物：需为符合国家卫生杀虫剂登记要求的有效成分，剂型包含饵剂、胶饵、热烟雾剂等，适用于干燥场所、潮湿及重点场所、下水道、园林绿化、密闭场所等各类灭蟑作业场景，有效成分含量符合国家农药登记标准。</w:t>
      </w:r>
    </w:p>
    <w:p w14:paraId="6DDE27D3">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灭蚊灭蝇类药物：需为符合国家卫生杀虫剂登记要求的拟除虫菊酯类等合规有效成分，剂型包含颗粒剂、水乳剂、乳油、可湿性粉剂等，适用于灭蚊幼、室内超低容量处理、绿化带滞留处理、垃圾站 / 公厕等重点孳生地处理、内外环境滞留处理等各类作业场景，有效成分含量符合国家农药登记标准。</w:t>
      </w:r>
    </w:p>
    <w:p w14:paraId="6874BBA4">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（二）资质要求</w:t>
      </w:r>
    </w:p>
    <w:p w14:paraId="591AEF89">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 备注：响应文件中所投药品需满足国家农药管理相关法规要求，提供以下完整资质文件：</w:t>
      </w:r>
    </w:p>
    <w:p w14:paraId="4433A673">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农业农村部颁发的农药登记证（登记范围包含投标产品的有效成分、剂型、使用场景）；</w:t>
      </w:r>
    </w:p>
    <w:p w14:paraId="72E76516">
      <w:pPr>
        <w:keepNext w:val="0"/>
        <w:keepLines w:val="0"/>
        <w:pageBreakBefore w:val="0"/>
        <w:widowControl/>
        <w:kinsoku w:val="0"/>
        <w:wordWrap/>
        <w:overflowPunct/>
        <w:topLinePunct w:val="0"/>
        <w:autoSpaceDE w:val="0"/>
        <w:autoSpaceDN w:val="0"/>
        <w:bidi w:val="0"/>
        <w:adjustRightInd w:val="0"/>
        <w:snapToGrid w:val="0"/>
        <w:spacing w:line="500" w:lineRule="exact"/>
        <w:ind w:left="0" w:right="0" w:firstLine="480" w:firstLineChars="200"/>
        <w:jc w:val="left"/>
        <w:textAlignment w:val="baseline"/>
        <w:rPr>
          <w:rFonts w:hint="default" w:ascii="Arial" w:hAnsi="Arial" w:eastAsia="Arial" w:cs="Arial"/>
          <w:snapToGrid w:val="0"/>
          <w:color w:val="000000"/>
          <w:kern w:val="0"/>
          <w:szCs w:val="21"/>
          <w:lang w:val="en-US" w:eastAsia="zh-CN"/>
        </w:rPr>
      </w:pPr>
      <w:r>
        <w:rPr>
          <w:rFonts w:hint="eastAsia" w:ascii="宋体" w:hAnsi="宋体" w:eastAsia="宋体" w:cs="宋体"/>
          <w:snapToGrid w:val="0"/>
          <w:color w:val="auto"/>
          <w:kern w:val="0"/>
          <w:sz w:val="24"/>
          <w:szCs w:val="24"/>
          <w:lang w:val="en-US" w:eastAsia="zh-CN" w:bidi="ar"/>
        </w:rPr>
        <w:t>省级农业农村部门颁发的农药生产许可证（生产范围包含投标产品剂型）；</w:t>
      </w:r>
    </w:p>
    <w:p w14:paraId="463DC95C">
      <w:pPr>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480" w:firstLineChars="200"/>
        <w:jc w:val="left"/>
        <w:textAlignment w:val="baseline"/>
        <w:rPr>
          <w:rFonts w:hint="eastAsia" w:ascii="宋体" w:hAnsi="宋体" w:eastAsia="宋体" w:cs="宋体"/>
          <w:snapToGrid w:val="0"/>
          <w:color w:val="auto"/>
          <w:kern w:val="0"/>
          <w:sz w:val="24"/>
          <w:szCs w:val="24"/>
          <w:lang w:val="en-US" w:eastAsia="zh-CN" w:bidi="ar"/>
        </w:rPr>
      </w:pPr>
      <w:r>
        <w:rPr>
          <w:rFonts w:hint="eastAsia" w:ascii="宋体" w:hAnsi="宋体" w:eastAsia="宋体" w:cs="宋体"/>
          <w:snapToGrid w:val="0"/>
          <w:color w:val="auto"/>
          <w:kern w:val="0"/>
          <w:sz w:val="24"/>
          <w:szCs w:val="24"/>
          <w:lang w:val="en-US" w:eastAsia="zh-CN" w:bidi="ar"/>
        </w:rPr>
        <w:t>符合国家要求的产品质量标准文件（国家标准、行业标准或经企业标准信息公共服务平台备案的企业标准）；</w:t>
      </w:r>
    </w:p>
    <w:p w14:paraId="0DADB54F">
      <w:pPr>
        <w:keepNext w:val="0"/>
        <w:keepLines w:val="0"/>
        <w:pageBreakBefore w:val="0"/>
        <w:widowControl w:val="0"/>
        <w:kinsoku w:val="0"/>
        <w:wordWrap/>
        <w:overflowPunct/>
        <w:topLinePunct w:val="0"/>
        <w:autoSpaceDE w:val="0"/>
        <w:autoSpaceDN w:val="0"/>
        <w:bidi w:val="0"/>
        <w:adjustRightInd w:val="0"/>
        <w:snapToGrid w:val="0"/>
        <w:spacing w:line="360" w:lineRule="exact"/>
        <w:jc w:val="left"/>
        <w:textAlignment w:val="baseline"/>
        <w:rPr>
          <w:rFonts w:ascii="Arial" w:hAnsi="Arial" w:eastAsia="Arial" w:cs="Arial"/>
          <w:snapToGrid w:val="0"/>
          <w:color w:val="auto"/>
          <w:kern w:val="0"/>
          <w:szCs w:val="21"/>
          <w:highlight w:val="none"/>
          <w:lang w:eastAsia="en-US"/>
        </w:rPr>
      </w:pPr>
      <w:r>
        <w:rPr>
          <w:rFonts w:hint="eastAsia" w:ascii="宋体" w:hAnsi="宋体" w:eastAsia="宋体" w:cs="宋体"/>
          <w:snapToGrid w:val="0"/>
          <w:color w:val="auto"/>
          <w:kern w:val="0"/>
          <w:sz w:val="24"/>
          <w:szCs w:val="24"/>
          <w:lang w:val="en-US" w:eastAsia="zh-CN" w:bidi="ar"/>
        </w:rPr>
        <w:t>厂家为服务商提供本项目药品的供货保障承诺书并加盖厂家公章。</w:t>
      </w:r>
    </w:p>
    <w:p w14:paraId="618A2F14">
      <w:pPr>
        <w:pageBreakBefore w:val="0"/>
        <w:widowControl w:val="0"/>
        <w:kinsoku w:val="0"/>
        <w:wordWrap/>
        <w:overflowPunct/>
        <w:topLinePunct w:val="0"/>
        <w:autoSpaceDE w:val="0"/>
        <w:autoSpaceDN w:val="0"/>
        <w:bidi w:val="0"/>
        <w:adjustRightInd w:val="0"/>
        <w:snapToGrid w:val="0"/>
        <w:spacing w:line="245" w:lineRule="auto"/>
        <w:jc w:val="left"/>
        <w:textAlignment w:val="baseline"/>
        <w:rPr>
          <w:rFonts w:ascii="Arial" w:hAnsi="Arial" w:eastAsia="Arial" w:cs="Arial"/>
          <w:snapToGrid w:val="0"/>
          <w:color w:val="auto"/>
          <w:kern w:val="0"/>
          <w:szCs w:val="21"/>
          <w:highlight w:val="none"/>
          <w:lang w:eastAsia="zh-CN"/>
        </w:rPr>
      </w:pPr>
    </w:p>
    <w:p w14:paraId="6E24C761">
      <w:bookmarkStart w:id="1" w:name="_GoBack"/>
      <w:bookmarkEnd w:id="1"/>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zh-CN" w:bidi="ar-SA"/>
      </w:rPr>
    </w:pPr>
    <w:r>
      <w:rPr>
        <w:rFonts w:ascii="Arial" w:hAnsi="Arial" w:eastAsia="Arial" w:cs="Arial"/>
        <w:snapToGrid w:val="0"/>
        <w:color w:val="000000"/>
        <w:sz w:val="18"/>
        <w:szCs w:val="21"/>
        <w:lang w:val="en-US" w:eastAsia="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164A25">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55</w:t>
                          </w:r>
                          <w:r>
                            <w:rPr>
                              <w:rFonts w:ascii="Arial" w:hAnsi="Arial" w:eastAsia="Arial" w:cs="Arial"/>
                              <w:snapToGrid w:val="0"/>
                              <w:color w:val="000000"/>
                              <w:sz w:val="18"/>
                              <w:szCs w:val="21"/>
                              <w:lang w:val="en-US" w:eastAsia="en-US"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WMS1A5AgAAcw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s0lY7tAAAAAFAQAADwAAAAAAAAABACAAAAAiAAAAZHJzL2Rvd25yZXYueG1s&#10;UEsBAhQAFAAAAAgAh07iQFWMS1A5AgAAcwQAAA4AAAAAAAAAAQAgAAAAHwEAAGRycy9lMm9Eb2Mu&#10;eG1sUEsFBgAAAAAGAAYAWQEAAMoFAAAAAA==&#10;">
              <v:fill on="f" focussize="0,0"/>
              <v:stroke on="f" weight="0.5pt"/>
              <v:imagedata o:title=""/>
              <o:lock v:ext="edit" aspectratio="f"/>
              <v:textbox inset="0mm,0mm,0mm,0mm" style="mso-fit-shape-to-text:t;">
                <w:txbxContent>
                  <w:p w14:paraId="7D164A25">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55</w:t>
                    </w:r>
                    <w:r>
                      <w:rPr>
                        <w:rFonts w:ascii="Arial" w:hAnsi="Arial" w:eastAsia="Arial" w:cs="Arial"/>
                        <w:snapToGrid w:val="0"/>
                        <w:color w:val="000000"/>
                        <w:sz w:val="18"/>
                        <w:szCs w:val="21"/>
                        <w:lang w:val="en-US" w:eastAsia="en-US"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B52A4E"/>
    <w:rsid w:val="2D6B54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3327</Words>
  <Characters>3410</Characters>
  <Lines>0</Lines>
  <Paragraphs>0</Paragraphs>
  <TotalTime>1</TotalTime>
  <ScaleCrop>false</ScaleCrop>
  <LinksUpToDate>false</LinksUpToDate>
  <CharactersWithSpaces>3420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2026-06-08T09:30:00Z</dcterms:created>
  <dc:creator>Administrator</dc:creator>
  <cp:lastModifiedBy>Administrator</cp:lastModifiedBy>
  <dcterms:modified xsi:type="dcterms:W3CDTF">2026-06-08T09:38:54Z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eyJoZGlkIjoiNWRmOWY3YjY0ZTc0ZmI0ZGQxNDljZmZlZjhiZTMzNzQiLCJ1c2VySWQiOiI1Nzc5NjY2ODQifQ==</vt:lpwstr>
  </property>
  <property fmtid="{D5CDD505-2E9C-101B-9397-08002B2CF9AE}" pid="4" name="ICV">
    <vt:lpwstr>9C2D7473D19B43E796029FBE3F0D8286_12</vt:lpwstr>
  </property>
</Properties>
</file>