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C66180">
      <w:pPr>
        <w:pStyle w:val="3"/>
        <w:numPr>
          <w:ilvl w:val="0"/>
          <w:numId w:val="1"/>
        </w:numPr>
        <w:jc w:val="left"/>
        <w:rPr>
          <w:rFonts w:hint="eastAsia" w:ascii="仿宋" w:hAnsi="仿宋" w:eastAsia="仿宋"/>
          <w:color w:val="auto"/>
          <w:highlight w:val="none"/>
        </w:rPr>
      </w:pPr>
      <w:bookmarkStart w:id="0" w:name="_Toc17643817"/>
      <w:bookmarkStart w:id="1" w:name="_Toc43709130"/>
      <w:r>
        <w:rPr>
          <w:rFonts w:hint="eastAsia" w:ascii="仿宋" w:hAnsi="仿宋" w:eastAsia="仿宋"/>
          <w:color w:val="auto"/>
          <w:highlight w:val="none"/>
        </w:rPr>
        <w:t>服务要求</w:t>
      </w:r>
      <w:bookmarkEnd w:id="0"/>
      <w:bookmarkEnd w:id="1"/>
    </w:p>
    <w:p w14:paraId="476925D1">
      <w:pPr>
        <w:pStyle w:val="4"/>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textAlignment w:val="baseline"/>
        <w:outlineLvl w:val="2"/>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lang w:eastAsia="zh-CN"/>
        </w:rPr>
        <w:t>（</w:t>
      </w:r>
      <w:r>
        <w:rPr>
          <w:rFonts w:hint="eastAsia" w:ascii="仿宋" w:hAnsi="仿宋" w:eastAsia="仿宋" w:cs="仿宋"/>
          <w:b/>
          <w:bCs/>
          <w:color w:val="auto"/>
          <w:sz w:val="24"/>
          <w:szCs w:val="24"/>
          <w:highlight w:val="none"/>
          <w:lang w:val="en-US" w:eastAsia="zh-CN"/>
        </w:rPr>
        <w:t>一</w:t>
      </w:r>
      <w:r>
        <w:rPr>
          <w:rFonts w:hint="eastAsia" w:ascii="仿宋" w:hAnsi="仿宋" w:eastAsia="仿宋" w:cs="仿宋"/>
          <w:b/>
          <w:bCs/>
          <w:color w:val="auto"/>
          <w:sz w:val="24"/>
          <w:szCs w:val="24"/>
          <w:highlight w:val="none"/>
          <w:lang w:eastAsia="zh-CN"/>
        </w:rPr>
        <w:t>）</w:t>
      </w:r>
      <w:r>
        <w:rPr>
          <w:rFonts w:hint="eastAsia" w:ascii="仿宋" w:hAnsi="仿宋" w:eastAsia="仿宋" w:cs="仿宋"/>
          <w:b/>
          <w:bCs/>
          <w:color w:val="auto"/>
          <w:sz w:val="24"/>
          <w:szCs w:val="24"/>
          <w:highlight w:val="none"/>
        </w:rPr>
        <w:t>驻场服务</w:t>
      </w:r>
    </w:p>
    <w:p w14:paraId="78C848E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1.人员要求</w:t>
      </w:r>
    </w:p>
    <w:p w14:paraId="35A9983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为保障南昌县水污染防治技术团队正常运行，中标单位在南昌市昌南生态环境局配备驻场人员4名（含项目经理1人），要求环境类相关专业本科及以上学历，具备公文写作、数据处理、分析研判、业务指导、沟通协调、排查采样等能力，并协助开展日常管理工作。其中，驻场项目经理应具备一定文字材料写作水平；具备较强的沟通协调、统筹管理能力和团队管理经验，能协调公司有关人员及设备等资源。驻场人员至少3人具备驾驶证。</w:t>
      </w:r>
    </w:p>
    <w:p w14:paraId="1420869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说明：环境类专业包括环境科学与工程、环境工程、环境保护、环境监测、生态学、环境科学、环境化学、环境生物学、环境规划与管理、水环境、环境污染治理。</w:t>
      </w:r>
    </w:p>
    <w:p w14:paraId="6267511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bookmarkStart w:id="2" w:name="OLE_LINK1"/>
      <w:r>
        <w:rPr>
          <w:rFonts w:hint="eastAsia" w:ascii="仿宋" w:hAnsi="仿宋" w:eastAsia="仿宋" w:cs="仿宋"/>
          <w:color w:val="auto"/>
          <w:sz w:val="24"/>
          <w:szCs w:val="24"/>
          <w:highlight w:val="none"/>
          <w:lang w:val="en-US" w:eastAsia="zh-CN"/>
        </w:rPr>
        <w:t>2.</w:t>
      </w:r>
      <w:bookmarkEnd w:id="2"/>
      <w:r>
        <w:rPr>
          <w:rFonts w:hint="eastAsia" w:ascii="仿宋" w:hAnsi="仿宋" w:eastAsia="仿宋" w:cs="仿宋"/>
          <w:color w:val="auto"/>
          <w:sz w:val="24"/>
          <w:szCs w:val="24"/>
          <w:highlight w:val="none"/>
          <w:lang w:val="en-US" w:eastAsia="zh-CN"/>
        </w:rPr>
        <w:t>设备保障</w:t>
      </w:r>
    </w:p>
    <w:p w14:paraId="2563A12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配备1台燃油SUV、2台续航里程不低于400公里电动汽车及1台无人机，用于保障日常巡查采样、排查、应急等工作；配备常用指标快速检测包、便携式水质检测设备或多参数快速检测仪；并根据实际服务需求，按需配备其他相关辅助设备。</w:t>
      </w:r>
    </w:p>
    <w:p w14:paraId="2F340E00">
      <w:pPr>
        <w:ind w:firstLine="0" w:firstLineChars="0"/>
        <w:jc w:val="center"/>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lang w:eastAsia="zh-CN"/>
        </w:rPr>
        <w:t>设备</w:t>
      </w:r>
      <w:r>
        <w:rPr>
          <w:rFonts w:hint="eastAsia" w:ascii="仿宋" w:hAnsi="仿宋" w:eastAsia="仿宋" w:cs="仿宋"/>
          <w:b/>
          <w:bCs/>
          <w:color w:val="auto"/>
          <w:sz w:val="24"/>
          <w:szCs w:val="24"/>
          <w:highlight w:val="none"/>
        </w:rPr>
        <w:t>规格参数</w:t>
      </w:r>
    </w:p>
    <w:tbl>
      <w:tblPr>
        <w:tblStyle w:val="7"/>
        <w:tblW w:w="4901"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3"/>
        <w:gridCol w:w="1192"/>
        <w:gridCol w:w="2041"/>
        <w:gridCol w:w="4447"/>
      </w:tblGrid>
      <w:tr w14:paraId="7E567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trPr>
        <w:tc>
          <w:tcPr>
            <w:tcW w:w="403" w:type="pct"/>
            <w:noWrap w:val="0"/>
            <w:vAlign w:val="center"/>
          </w:tcPr>
          <w:p w14:paraId="155C0971">
            <w:pPr>
              <w:widowControl w:val="0"/>
              <w:spacing w:line="240" w:lineRule="auto"/>
              <w:ind w:firstLine="0" w:firstLineChars="0"/>
              <w:jc w:val="center"/>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rPr>
              <w:t>序号</w:t>
            </w:r>
          </w:p>
        </w:tc>
        <w:tc>
          <w:tcPr>
            <w:tcW w:w="713" w:type="pct"/>
            <w:noWrap w:val="0"/>
            <w:vAlign w:val="center"/>
          </w:tcPr>
          <w:p w14:paraId="0917B681">
            <w:pPr>
              <w:widowControl w:val="0"/>
              <w:spacing w:line="240" w:lineRule="auto"/>
              <w:ind w:firstLine="0" w:firstLineChars="0"/>
              <w:jc w:val="center"/>
              <w:rPr>
                <w:rFonts w:hint="eastAsia" w:ascii="仿宋" w:hAnsi="仿宋" w:eastAsia="仿宋" w:cs="仿宋"/>
                <w:b/>
                <w:bCs/>
                <w:color w:val="auto"/>
                <w:sz w:val="24"/>
                <w:szCs w:val="24"/>
                <w:highlight w:val="none"/>
                <w:lang w:eastAsia="zh-CN"/>
              </w:rPr>
            </w:pPr>
            <w:r>
              <w:rPr>
                <w:rFonts w:hint="eastAsia" w:ascii="仿宋" w:hAnsi="仿宋" w:eastAsia="仿宋" w:cs="仿宋"/>
                <w:b/>
                <w:bCs/>
                <w:color w:val="auto"/>
                <w:sz w:val="24"/>
                <w:szCs w:val="24"/>
                <w:highlight w:val="none"/>
                <w:lang w:eastAsia="zh-CN"/>
              </w:rPr>
              <w:t>设备</w:t>
            </w:r>
          </w:p>
        </w:tc>
        <w:tc>
          <w:tcPr>
            <w:tcW w:w="1221" w:type="pct"/>
            <w:noWrap w:val="0"/>
            <w:vAlign w:val="center"/>
          </w:tcPr>
          <w:p w14:paraId="4297387B">
            <w:pPr>
              <w:widowControl w:val="0"/>
              <w:spacing w:line="240" w:lineRule="auto"/>
              <w:ind w:firstLine="0" w:firstLineChars="0"/>
              <w:jc w:val="center"/>
              <w:rPr>
                <w:rFonts w:hint="eastAsia" w:ascii="仿宋" w:hAnsi="仿宋" w:eastAsia="仿宋" w:cs="仿宋"/>
                <w:b/>
                <w:bCs/>
                <w:color w:val="auto"/>
                <w:sz w:val="24"/>
                <w:szCs w:val="24"/>
                <w:highlight w:val="none"/>
                <w:lang w:eastAsia="zh-CN"/>
              </w:rPr>
            </w:pPr>
            <w:r>
              <w:rPr>
                <w:rFonts w:hint="eastAsia" w:ascii="仿宋" w:hAnsi="仿宋" w:eastAsia="仿宋" w:cs="仿宋"/>
                <w:b/>
                <w:bCs/>
                <w:color w:val="auto"/>
                <w:sz w:val="24"/>
                <w:szCs w:val="24"/>
                <w:highlight w:val="none"/>
              </w:rPr>
              <w:t>项目</w:t>
            </w:r>
            <w:r>
              <w:rPr>
                <w:rFonts w:hint="eastAsia" w:ascii="仿宋" w:hAnsi="仿宋" w:eastAsia="仿宋" w:cs="仿宋"/>
                <w:b/>
                <w:bCs/>
                <w:color w:val="auto"/>
                <w:sz w:val="24"/>
                <w:szCs w:val="24"/>
                <w:highlight w:val="none"/>
                <w:lang w:eastAsia="zh-CN"/>
              </w:rPr>
              <w:t>内容</w:t>
            </w:r>
          </w:p>
        </w:tc>
        <w:tc>
          <w:tcPr>
            <w:tcW w:w="2661" w:type="pct"/>
            <w:noWrap w:val="0"/>
            <w:vAlign w:val="center"/>
          </w:tcPr>
          <w:p w14:paraId="49FE0FE5">
            <w:pPr>
              <w:widowControl w:val="0"/>
              <w:spacing w:line="240" w:lineRule="auto"/>
              <w:ind w:firstLine="0" w:firstLineChars="0"/>
              <w:jc w:val="center"/>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rPr>
              <w:t>规格参数</w:t>
            </w:r>
          </w:p>
        </w:tc>
      </w:tr>
      <w:tr w14:paraId="496CC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403" w:type="pct"/>
            <w:vMerge w:val="restart"/>
            <w:noWrap w:val="0"/>
            <w:vAlign w:val="center"/>
          </w:tcPr>
          <w:p w14:paraId="1472F7C4">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w:t>
            </w:r>
          </w:p>
        </w:tc>
        <w:tc>
          <w:tcPr>
            <w:tcW w:w="713" w:type="pct"/>
            <w:vMerge w:val="restart"/>
            <w:noWrap w:val="0"/>
            <w:vAlign w:val="center"/>
          </w:tcPr>
          <w:p w14:paraId="14EDBFB2">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快速检测包、便携式水质检测设备或多参数快速检测仪</w:t>
            </w:r>
          </w:p>
        </w:tc>
        <w:tc>
          <w:tcPr>
            <w:tcW w:w="1221" w:type="pct"/>
            <w:noWrap w:val="0"/>
            <w:vAlign w:val="center"/>
          </w:tcPr>
          <w:p w14:paraId="23C75ADC">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COD快速检测包</w:t>
            </w:r>
          </w:p>
        </w:tc>
        <w:tc>
          <w:tcPr>
            <w:tcW w:w="2661" w:type="pct"/>
            <w:noWrap w:val="0"/>
            <w:vAlign w:val="center"/>
          </w:tcPr>
          <w:p w14:paraId="659C7046">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0-100mg/L</w:t>
            </w:r>
          </w:p>
        </w:tc>
      </w:tr>
      <w:tr w14:paraId="7570B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403" w:type="pct"/>
            <w:vMerge w:val="continue"/>
            <w:noWrap w:val="0"/>
            <w:vAlign w:val="center"/>
          </w:tcPr>
          <w:p w14:paraId="664616FF">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713" w:type="pct"/>
            <w:vMerge w:val="continue"/>
            <w:noWrap w:val="0"/>
            <w:vAlign w:val="center"/>
          </w:tcPr>
          <w:p w14:paraId="5C94FEF7">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1221" w:type="pct"/>
            <w:noWrap w:val="0"/>
            <w:vAlign w:val="center"/>
          </w:tcPr>
          <w:p w14:paraId="083C4736">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氨氮快速检测包</w:t>
            </w:r>
          </w:p>
        </w:tc>
        <w:tc>
          <w:tcPr>
            <w:tcW w:w="2661" w:type="pct"/>
            <w:noWrap w:val="0"/>
            <w:vAlign w:val="center"/>
          </w:tcPr>
          <w:p w14:paraId="4BA175A4">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0-10mg/L</w:t>
            </w:r>
          </w:p>
        </w:tc>
      </w:tr>
      <w:tr w14:paraId="44E6E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403" w:type="pct"/>
            <w:vMerge w:val="continue"/>
            <w:noWrap w:val="0"/>
            <w:vAlign w:val="center"/>
          </w:tcPr>
          <w:p w14:paraId="0F1DCB50">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713" w:type="pct"/>
            <w:vMerge w:val="continue"/>
            <w:noWrap w:val="0"/>
            <w:vAlign w:val="center"/>
          </w:tcPr>
          <w:p w14:paraId="63FE16DA">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1221" w:type="pct"/>
            <w:noWrap w:val="0"/>
            <w:vAlign w:val="center"/>
          </w:tcPr>
          <w:p w14:paraId="0DE1ED2A">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总磷快速检测包</w:t>
            </w:r>
          </w:p>
        </w:tc>
        <w:tc>
          <w:tcPr>
            <w:tcW w:w="2661" w:type="pct"/>
            <w:noWrap w:val="0"/>
            <w:vAlign w:val="center"/>
          </w:tcPr>
          <w:p w14:paraId="76DB7E8F">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0-1mg/L</w:t>
            </w:r>
          </w:p>
        </w:tc>
      </w:tr>
      <w:tr w14:paraId="0F815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403" w:type="pct"/>
            <w:vMerge w:val="continue"/>
            <w:noWrap w:val="0"/>
            <w:vAlign w:val="center"/>
          </w:tcPr>
          <w:p w14:paraId="3806348B">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713" w:type="pct"/>
            <w:vMerge w:val="continue"/>
            <w:noWrap w:val="0"/>
            <w:vAlign w:val="center"/>
          </w:tcPr>
          <w:p w14:paraId="4ABBF16A">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1221" w:type="pct"/>
            <w:noWrap w:val="0"/>
            <w:vAlign w:val="center"/>
          </w:tcPr>
          <w:p w14:paraId="2DD93219">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pH</w:t>
            </w:r>
          </w:p>
        </w:tc>
        <w:tc>
          <w:tcPr>
            <w:tcW w:w="2661" w:type="pct"/>
            <w:noWrap w:val="0"/>
            <w:vAlign w:val="center"/>
          </w:tcPr>
          <w:p w14:paraId="70D05E54">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测量范围：0–14pH</w:t>
            </w:r>
          </w:p>
        </w:tc>
      </w:tr>
      <w:tr w14:paraId="0D5D5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403" w:type="pct"/>
            <w:vMerge w:val="continue"/>
            <w:noWrap w:val="0"/>
            <w:vAlign w:val="center"/>
          </w:tcPr>
          <w:p w14:paraId="166720F6">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713" w:type="pct"/>
            <w:vMerge w:val="continue"/>
            <w:noWrap w:val="0"/>
            <w:vAlign w:val="center"/>
          </w:tcPr>
          <w:p w14:paraId="4BA992BC">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1221" w:type="pct"/>
            <w:noWrap w:val="0"/>
            <w:vAlign w:val="center"/>
          </w:tcPr>
          <w:p w14:paraId="4532CAA9">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溶解氧</w:t>
            </w:r>
          </w:p>
        </w:tc>
        <w:tc>
          <w:tcPr>
            <w:tcW w:w="2661" w:type="pct"/>
            <w:noWrap w:val="0"/>
            <w:vAlign w:val="center"/>
          </w:tcPr>
          <w:p w14:paraId="46DF9EF7">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测量范围：0-50mg/L</w:t>
            </w:r>
          </w:p>
        </w:tc>
      </w:tr>
      <w:tr w14:paraId="03E4BC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403" w:type="pct"/>
            <w:vMerge w:val="continue"/>
            <w:noWrap w:val="0"/>
            <w:vAlign w:val="center"/>
          </w:tcPr>
          <w:p w14:paraId="2FB7A2E0">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713" w:type="pct"/>
            <w:vMerge w:val="continue"/>
            <w:noWrap w:val="0"/>
            <w:vAlign w:val="center"/>
          </w:tcPr>
          <w:p w14:paraId="7B9EAF3B">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1221" w:type="pct"/>
            <w:noWrap w:val="0"/>
            <w:vAlign w:val="center"/>
          </w:tcPr>
          <w:p w14:paraId="6CA0B8C8">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电导率</w:t>
            </w:r>
          </w:p>
        </w:tc>
        <w:tc>
          <w:tcPr>
            <w:tcW w:w="2661" w:type="pct"/>
            <w:noWrap w:val="0"/>
            <w:vAlign w:val="center"/>
          </w:tcPr>
          <w:p w14:paraId="1434EFC6">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测量范围：0-200mS/cm</w:t>
            </w:r>
          </w:p>
        </w:tc>
      </w:tr>
      <w:tr w14:paraId="585BE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403" w:type="pct"/>
            <w:vMerge w:val="continue"/>
            <w:noWrap w:val="0"/>
            <w:vAlign w:val="center"/>
          </w:tcPr>
          <w:p w14:paraId="6B3A5E15">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713" w:type="pct"/>
            <w:vMerge w:val="continue"/>
            <w:noWrap w:val="0"/>
            <w:vAlign w:val="center"/>
          </w:tcPr>
          <w:p w14:paraId="745DD8AD">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1221" w:type="pct"/>
            <w:noWrap w:val="0"/>
            <w:vAlign w:val="center"/>
          </w:tcPr>
          <w:p w14:paraId="497727D0">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温度</w:t>
            </w:r>
          </w:p>
        </w:tc>
        <w:tc>
          <w:tcPr>
            <w:tcW w:w="2661" w:type="pct"/>
            <w:noWrap w:val="0"/>
            <w:vAlign w:val="center"/>
          </w:tcPr>
          <w:p w14:paraId="54822625">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测量范围：-5-50℃</w:t>
            </w:r>
          </w:p>
        </w:tc>
      </w:tr>
      <w:tr w14:paraId="254F2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403" w:type="pct"/>
            <w:vMerge w:val="continue"/>
            <w:noWrap w:val="0"/>
            <w:vAlign w:val="center"/>
          </w:tcPr>
          <w:p w14:paraId="4E45B39C">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713" w:type="pct"/>
            <w:vMerge w:val="continue"/>
            <w:noWrap w:val="0"/>
            <w:vAlign w:val="center"/>
          </w:tcPr>
          <w:p w14:paraId="0AC344FD">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1221" w:type="pct"/>
            <w:noWrap w:val="0"/>
            <w:vAlign w:val="center"/>
          </w:tcPr>
          <w:p w14:paraId="7FCE83BB">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浊度</w:t>
            </w:r>
          </w:p>
        </w:tc>
        <w:tc>
          <w:tcPr>
            <w:tcW w:w="2661" w:type="pct"/>
            <w:noWrap w:val="0"/>
            <w:vAlign w:val="center"/>
          </w:tcPr>
          <w:p w14:paraId="07837B18">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测量范围：0-1000NTU</w:t>
            </w:r>
          </w:p>
        </w:tc>
      </w:tr>
      <w:tr w14:paraId="68213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403" w:type="pct"/>
            <w:vMerge w:val="restart"/>
            <w:noWrap w:val="0"/>
            <w:vAlign w:val="center"/>
          </w:tcPr>
          <w:p w14:paraId="6DCDC9DA">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w:t>
            </w:r>
          </w:p>
        </w:tc>
        <w:tc>
          <w:tcPr>
            <w:tcW w:w="713" w:type="pct"/>
            <w:vMerge w:val="restart"/>
            <w:noWrap w:val="0"/>
            <w:vAlign w:val="center"/>
          </w:tcPr>
          <w:p w14:paraId="063C831B">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无人机</w:t>
            </w:r>
          </w:p>
        </w:tc>
        <w:tc>
          <w:tcPr>
            <w:tcW w:w="1221" w:type="pct"/>
            <w:noWrap w:val="0"/>
            <w:vAlign w:val="center"/>
          </w:tcPr>
          <w:p w14:paraId="5AD9513E">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续航时间</w:t>
            </w:r>
          </w:p>
        </w:tc>
        <w:tc>
          <w:tcPr>
            <w:tcW w:w="2661" w:type="pct"/>
            <w:noWrap w:val="0"/>
            <w:vAlign w:val="center"/>
          </w:tcPr>
          <w:p w14:paraId="7A819D0E">
            <w:pPr>
              <w:widowControl w:val="0"/>
              <w:spacing w:line="240" w:lineRule="auto"/>
              <w:ind w:firstLine="0" w:firstLineChars="0"/>
              <w:jc w:val="center"/>
              <w:rPr>
                <w:rFonts w:hint="eastAsia" w:ascii="仿宋" w:hAnsi="仿宋" w:eastAsia="仿宋" w:cs="仿宋"/>
                <w:color w:val="auto"/>
                <w:sz w:val="24"/>
                <w:szCs w:val="24"/>
                <w:highlight w:val="none"/>
                <w:lang w:val="en-US" w:eastAsia="en-US"/>
              </w:rPr>
            </w:pPr>
            <w:r>
              <w:rPr>
                <w:rFonts w:hint="eastAsia" w:ascii="仿宋" w:hAnsi="仿宋" w:eastAsia="仿宋" w:cs="仿宋"/>
                <w:color w:val="auto"/>
                <w:sz w:val="24"/>
                <w:szCs w:val="24"/>
                <w:highlight w:val="none"/>
                <w:lang w:val="en-US" w:eastAsia="zh-CN"/>
              </w:rPr>
              <w:t>≥30min</w:t>
            </w:r>
          </w:p>
        </w:tc>
      </w:tr>
      <w:tr w14:paraId="0E20E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trPr>
        <w:tc>
          <w:tcPr>
            <w:tcW w:w="403" w:type="pct"/>
            <w:vMerge w:val="continue"/>
            <w:noWrap w:val="0"/>
            <w:vAlign w:val="center"/>
          </w:tcPr>
          <w:p w14:paraId="24660B52">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713" w:type="pct"/>
            <w:vMerge w:val="continue"/>
            <w:noWrap w:val="0"/>
            <w:vAlign w:val="center"/>
          </w:tcPr>
          <w:p w14:paraId="4CC57868">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1221" w:type="pct"/>
            <w:noWrap w:val="0"/>
            <w:vAlign w:val="center"/>
          </w:tcPr>
          <w:p w14:paraId="4BEFCDBD">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设备要求</w:t>
            </w:r>
          </w:p>
        </w:tc>
        <w:tc>
          <w:tcPr>
            <w:tcW w:w="2661" w:type="pct"/>
            <w:noWrap w:val="0"/>
            <w:vAlign w:val="center"/>
          </w:tcPr>
          <w:p w14:paraId="512779F2">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RTK不可拆卸、RTK定位精度：水平：1 厘米 + 1 ppm；垂直：1.5 厘米 + 1 ppm</w:t>
            </w:r>
          </w:p>
        </w:tc>
      </w:tr>
      <w:tr w14:paraId="7E494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403" w:type="pct"/>
            <w:vMerge w:val="continue"/>
            <w:noWrap w:val="0"/>
            <w:vAlign w:val="center"/>
          </w:tcPr>
          <w:p w14:paraId="45004DB9">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713" w:type="pct"/>
            <w:vMerge w:val="continue"/>
            <w:noWrap w:val="0"/>
            <w:vAlign w:val="center"/>
          </w:tcPr>
          <w:p w14:paraId="789D3471">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1221" w:type="pct"/>
            <w:noWrap w:val="0"/>
            <w:vAlign w:val="center"/>
          </w:tcPr>
          <w:p w14:paraId="41AD9E21">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数字变焦倍数</w:t>
            </w:r>
          </w:p>
        </w:tc>
        <w:tc>
          <w:tcPr>
            <w:tcW w:w="2661" w:type="pct"/>
            <w:noWrap w:val="0"/>
            <w:vAlign w:val="center"/>
          </w:tcPr>
          <w:p w14:paraId="126BFDFF">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不低于112倍</w:t>
            </w:r>
          </w:p>
        </w:tc>
      </w:tr>
      <w:tr w14:paraId="74DAD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403" w:type="pct"/>
            <w:vMerge w:val="continue"/>
            <w:noWrap w:val="0"/>
            <w:vAlign w:val="center"/>
          </w:tcPr>
          <w:p w14:paraId="2DB511F6">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713" w:type="pct"/>
            <w:vMerge w:val="continue"/>
            <w:noWrap w:val="0"/>
            <w:vAlign w:val="center"/>
          </w:tcPr>
          <w:p w14:paraId="2B90FE4A">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1221" w:type="pct"/>
            <w:noWrap w:val="0"/>
            <w:vAlign w:val="center"/>
          </w:tcPr>
          <w:p w14:paraId="6E4EB535">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最大水平飞行速度</w:t>
            </w:r>
          </w:p>
        </w:tc>
        <w:tc>
          <w:tcPr>
            <w:tcW w:w="2661" w:type="pct"/>
            <w:noWrap w:val="0"/>
            <w:vAlign w:val="center"/>
          </w:tcPr>
          <w:p w14:paraId="45DABB15">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≥21m/s</w:t>
            </w:r>
          </w:p>
        </w:tc>
      </w:tr>
      <w:tr w14:paraId="05647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trPr>
        <w:tc>
          <w:tcPr>
            <w:tcW w:w="403" w:type="pct"/>
            <w:vMerge w:val="continue"/>
            <w:noWrap w:val="0"/>
            <w:vAlign w:val="center"/>
          </w:tcPr>
          <w:p w14:paraId="460ED89A">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713" w:type="pct"/>
            <w:vMerge w:val="continue"/>
            <w:noWrap w:val="0"/>
            <w:vAlign w:val="center"/>
          </w:tcPr>
          <w:p w14:paraId="736C4B2F">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p>
        </w:tc>
        <w:tc>
          <w:tcPr>
            <w:tcW w:w="1221" w:type="pct"/>
            <w:noWrap w:val="0"/>
            <w:vAlign w:val="center"/>
          </w:tcPr>
          <w:p w14:paraId="763CF19B">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基础飞行功能</w:t>
            </w:r>
          </w:p>
        </w:tc>
        <w:tc>
          <w:tcPr>
            <w:tcW w:w="2661" w:type="pct"/>
            <w:noWrap w:val="0"/>
            <w:vAlign w:val="center"/>
          </w:tcPr>
          <w:p w14:paraId="1940B182">
            <w:pPr>
              <w:widowControl w:val="0"/>
              <w:spacing w:line="240" w:lineRule="auto"/>
              <w:ind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支持一键起降、智能返航、断点续飞、航线规划、低电量自动返航</w:t>
            </w:r>
          </w:p>
        </w:tc>
      </w:tr>
    </w:tbl>
    <w:p w14:paraId="53090D7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3.驻场要求</w:t>
      </w:r>
    </w:p>
    <w:p w14:paraId="70E4230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南昌县水污染防治技术团队由南昌市昌南生态环境局水股管理。驻场人员在南昌市昌南生态环境局办公，上下班时间与南昌市昌南生态环境局工作时间一致，不得无故迟到早退，外出办公需请假；驻场人员按要求落实应急值班。驻场项目经理定期参加组织的有关会议，无法参加的需协调团队其他成员参会，不得无故缺席；驻场项目经理每周报告服务工作情况及计划，驻场成员日常工作中遇到问题情况需及时请示报告，不得擅自做主；人员未经采购人允许，不得随意更换，如遇特殊情况需双方协商，经采购人同意方可更换；驻场人员无法达到工作要求，采购人有权要求更换人员，技术团队需在10个工作日内重新安排符合要求的人员，更换人员后仍无法达到工作要求，采购人有权提前终止合同，因此产生的一切责任由成交供应商承担。驻场人员一切人身和意外事故由成交供应商承担，采购人不承担任何责任。</w:t>
      </w:r>
    </w:p>
    <w:p w14:paraId="6D68157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4.保密要求</w:t>
      </w:r>
    </w:p>
    <w:p w14:paraId="2C9A1A3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成交服务商应对采购人提供的文件、图件等资料和提供服务期间产生的数据成果保密，不得用于南昌市昌南生态环境局以外的第三方,不得擅自拷贝或泄露数据。成交服务商应签订保密协议，加强相应安全管理，在服务过程中若出现安全事故，产生的法律责任及经济纠纷均由成交服务商承担。</w:t>
      </w:r>
    </w:p>
    <w:p w14:paraId="2F1810F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5.工作纪律</w:t>
      </w:r>
    </w:p>
    <w:p w14:paraId="3E0819B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驻场服务期间，严禁对服务对象吃、拿、卡、要，不得接受服务对象的礼品和宴请；不得以南昌市昌南生态环境局名义开展合同之外的工作、谋取不正当利益及做出损害政府和领导干部形象的行为。</w:t>
      </w:r>
    </w:p>
    <w:p w14:paraId="362A38A6">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2"/>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lang w:eastAsia="zh-CN"/>
        </w:rPr>
        <w:t>（</w:t>
      </w:r>
      <w:r>
        <w:rPr>
          <w:rFonts w:hint="eastAsia" w:ascii="仿宋" w:hAnsi="仿宋" w:eastAsia="仿宋" w:cs="仿宋"/>
          <w:b/>
          <w:bCs/>
          <w:color w:val="auto"/>
          <w:sz w:val="24"/>
          <w:szCs w:val="24"/>
          <w:highlight w:val="none"/>
          <w:lang w:val="en-US" w:eastAsia="zh-CN"/>
        </w:rPr>
        <w:t>二</w:t>
      </w:r>
      <w:r>
        <w:rPr>
          <w:rFonts w:hint="eastAsia" w:ascii="仿宋" w:hAnsi="仿宋" w:eastAsia="仿宋" w:cs="仿宋"/>
          <w:b/>
          <w:bCs/>
          <w:color w:val="auto"/>
          <w:sz w:val="24"/>
          <w:szCs w:val="24"/>
          <w:highlight w:val="none"/>
          <w:lang w:eastAsia="zh-CN"/>
        </w:rPr>
        <w:t>）</w:t>
      </w:r>
      <w:r>
        <w:rPr>
          <w:rFonts w:hint="eastAsia" w:ascii="仿宋" w:hAnsi="仿宋" w:eastAsia="仿宋" w:cs="仿宋"/>
          <w:b/>
          <w:bCs/>
          <w:color w:val="auto"/>
          <w:sz w:val="24"/>
          <w:szCs w:val="24"/>
          <w:highlight w:val="none"/>
        </w:rPr>
        <w:t>服务内容</w:t>
      </w:r>
    </w:p>
    <w:p w14:paraId="3F9E310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1.考核断面建档及更新</w:t>
      </w:r>
    </w:p>
    <w:p w14:paraId="4B70914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（1）对南昌</w:t>
      </w:r>
      <w:r>
        <w:rPr>
          <w:rFonts w:hint="eastAsia" w:ascii="仿宋" w:hAnsi="仿宋" w:eastAsia="仿宋" w:cs="仿宋"/>
          <w:color w:val="auto"/>
          <w:sz w:val="24"/>
          <w:szCs w:val="24"/>
          <w:highlight w:val="none"/>
          <w:lang w:val="en-US" w:eastAsia="zh-CN"/>
        </w:rPr>
        <w:t>县“十五五”国、省</w:t>
      </w:r>
      <w:r>
        <w:rPr>
          <w:rFonts w:hint="eastAsia" w:ascii="仿宋" w:hAnsi="仿宋" w:eastAsia="仿宋" w:cs="仿宋"/>
          <w:color w:val="auto"/>
          <w:sz w:val="24"/>
          <w:szCs w:val="24"/>
          <w:highlight w:val="none"/>
          <w:lang w:eastAsia="zh-CN"/>
        </w:rPr>
        <w:t>断面分别建立档案，形成“一断面一档”基础信息表，包括断面名称、位置、所属区域、责任县区、断面类型、断面考核</w:t>
      </w:r>
      <w:r>
        <w:rPr>
          <w:rFonts w:hint="eastAsia" w:ascii="仿宋" w:hAnsi="仿宋" w:eastAsia="仿宋" w:cs="仿宋"/>
          <w:color w:val="auto"/>
          <w:sz w:val="24"/>
          <w:szCs w:val="24"/>
          <w:highlight w:val="none"/>
          <w:lang w:val="en-US" w:eastAsia="zh-CN"/>
        </w:rPr>
        <w:t>目标</w:t>
      </w:r>
      <w:r>
        <w:rPr>
          <w:rFonts w:hint="eastAsia" w:ascii="仿宋" w:hAnsi="仿宋" w:eastAsia="仿宋" w:cs="仿宋"/>
          <w:color w:val="auto"/>
          <w:sz w:val="24"/>
          <w:szCs w:val="24"/>
          <w:highlight w:val="none"/>
          <w:lang w:eastAsia="zh-CN"/>
        </w:rPr>
        <w:t>、水质监测数据及断面上游</w:t>
      </w:r>
      <w:r>
        <w:rPr>
          <w:rFonts w:hint="eastAsia" w:ascii="仿宋" w:hAnsi="仿宋" w:eastAsia="仿宋" w:cs="仿宋"/>
          <w:color w:val="auto"/>
          <w:sz w:val="24"/>
          <w:szCs w:val="24"/>
          <w:highlight w:val="none"/>
          <w:lang w:val="en-US" w:eastAsia="zh-CN"/>
        </w:rPr>
        <w:t>10</w:t>
      </w:r>
      <w:r>
        <w:rPr>
          <w:rFonts w:hint="eastAsia" w:ascii="仿宋" w:hAnsi="仿宋" w:eastAsia="仿宋" w:cs="仿宋"/>
          <w:color w:val="auto"/>
          <w:sz w:val="24"/>
          <w:szCs w:val="24"/>
          <w:highlight w:val="none"/>
          <w:lang w:eastAsia="zh-CN"/>
        </w:rPr>
        <w:t>公里</w:t>
      </w:r>
      <w:r>
        <w:rPr>
          <w:rFonts w:hint="eastAsia" w:ascii="仿宋" w:hAnsi="仿宋" w:eastAsia="仿宋" w:cs="仿宋"/>
          <w:color w:val="auto"/>
          <w:sz w:val="24"/>
          <w:szCs w:val="24"/>
          <w:highlight w:val="none"/>
          <w:lang w:val="en-US" w:eastAsia="zh-CN"/>
        </w:rPr>
        <w:t>汇水</w:t>
      </w:r>
      <w:r>
        <w:rPr>
          <w:rFonts w:hint="eastAsia" w:ascii="仿宋" w:hAnsi="仿宋" w:eastAsia="仿宋" w:cs="仿宋"/>
          <w:color w:val="auto"/>
          <w:sz w:val="24"/>
          <w:szCs w:val="24"/>
          <w:highlight w:val="none"/>
          <w:lang w:eastAsia="zh-CN"/>
        </w:rPr>
        <w:t>范围南昌县境内污染源</w:t>
      </w:r>
      <w:r>
        <w:rPr>
          <w:rFonts w:hint="eastAsia" w:ascii="仿宋" w:hAnsi="仿宋" w:eastAsia="仿宋" w:cs="仿宋"/>
          <w:color w:val="auto"/>
          <w:sz w:val="24"/>
          <w:szCs w:val="24"/>
          <w:highlight w:val="none"/>
          <w:lang w:val="en-US" w:eastAsia="zh-CN"/>
        </w:rPr>
        <w:t>或</w:t>
      </w:r>
      <w:r>
        <w:rPr>
          <w:rFonts w:hint="eastAsia" w:ascii="仿宋" w:hAnsi="仿宋" w:eastAsia="仿宋" w:cs="仿宋"/>
          <w:color w:val="auto"/>
          <w:sz w:val="24"/>
          <w:szCs w:val="24"/>
          <w:highlight w:val="none"/>
          <w:lang w:eastAsia="zh-CN"/>
        </w:rPr>
        <w:t>排污口调查分析结果等。持续更新完善档案信息，主要包含最新水质数据及变化情况，并对断面存在问题及成因进行动态记录分析。</w:t>
      </w:r>
    </w:p>
    <w:p w14:paraId="759C45A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完成时间：202</w:t>
      </w:r>
      <w:r>
        <w:rPr>
          <w:rFonts w:hint="eastAsia" w:ascii="仿宋" w:hAnsi="仿宋" w:eastAsia="仿宋" w:cs="仿宋"/>
          <w:color w:val="auto"/>
          <w:sz w:val="24"/>
          <w:szCs w:val="24"/>
          <w:highlight w:val="none"/>
          <w:lang w:val="en-US" w:eastAsia="zh-CN"/>
        </w:rPr>
        <w:t>6年7</w:t>
      </w:r>
      <w:r>
        <w:rPr>
          <w:rFonts w:hint="eastAsia" w:ascii="仿宋" w:hAnsi="仿宋" w:eastAsia="仿宋" w:cs="仿宋"/>
          <w:color w:val="auto"/>
          <w:sz w:val="24"/>
          <w:szCs w:val="24"/>
          <w:highlight w:val="none"/>
          <w:lang w:eastAsia="zh-CN"/>
        </w:rPr>
        <w:t>月</w:t>
      </w:r>
      <w:r>
        <w:rPr>
          <w:rFonts w:hint="eastAsia" w:ascii="仿宋" w:hAnsi="仿宋" w:eastAsia="仿宋" w:cs="仿宋"/>
          <w:color w:val="auto"/>
          <w:sz w:val="24"/>
          <w:szCs w:val="24"/>
          <w:highlight w:val="none"/>
          <w:lang w:val="en-US" w:eastAsia="zh-CN"/>
        </w:rPr>
        <w:t>初步</w:t>
      </w:r>
      <w:r>
        <w:rPr>
          <w:rFonts w:hint="eastAsia" w:ascii="仿宋" w:hAnsi="仿宋" w:eastAsia="仿宋" w:cs="仿宋"/>
          <w:color w:val="auto"/>
          <w:sz w:val="24"/>
          <w:szCs w:val="24"/>
          <w:highlight w:val="none"/>
          <w:lang w:eastAsia="zh-CN"/>
        </w:rPr>
        <w:t>完成“一断面一档”，之后逐步完善。</w:t>
      </w:r>
    </w:p>
    <w:p w14:paraId="601AF5A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2.水质监测数据研判分析</w:t>
      </w:r>
    </w:p>
    <w:p w14:paraId="4F9C1E6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lang w:eastAsia="zh-CN"/>
        </w:rPr>
        <w:t>）根据南昌</w:t>
      </w:r>
      <w:r>
        <w:rPr>
          <w:rFonts w:hint="eastAsia" w:ascii="仿宋" w:hAnsi="仿宋" w:eastAsia="仿宋" w:cs="仿宋"/>
          <w:color w:val="auto"/>
          <w:sz w:val="24"/>
          <w:szCs w:val="24"/>
          <w:highlight w:val="none"/>
          <w:lang w:val="en-US" w:eastAsia="zh-CN"/>
        </w:rPr>
        <w:t>县</w:t>
      </w:r>
      <w:r>
        <w:rPr>
          <w:rFonts w:hint="eastAsia" w:ascii="仿宋" w:hAnsi="仿宋" w:eastAsia="仿宋" w:cs="仿宋"/>
          <w:color w:val="auto"/>
          <w:sz w:val="24"/>
          <w:szCs w:val="24"/>
          <w:highlight w:val="none"/>
          <w:lang w:eastAsia="zh-CN"/>
        </w:rPr>
        <w:t>地表水断面（国控、省考）监测数据、饮用水源地保护区、入河排污口以及污染源排放等数据成果，结合现场排查溯源情况和历史监测数据开展</w:t>
      </w:r>
      <w:r>
        <w:rPr>
          <w:rFonts w:hint="eastAsia" w:ascii="仿宋" w:hAnsi="仿宋" w:eastAsia="仿宋" w:cs="仿宋"/>
          <w:color w:val="auto"/>
          <w:sz w:val="24"/>
          <w:szCs w:val="24"/>
          <w:highlight w:val="none"/>
          <w:lang w:val="en-US" w:eastAsia="zh-CN"/>
        </w:rPr>
        <w:t>研判分析</w:t>
      </w:r>
      <w:r>
        <w:rPr>
          <w:rFonts w:hint="eastAsia" w:ascii="仿宋" w:hAnsi="仿宋" w:eastAsia="仿宋" w:cs="仿宋"/>
          <w:color w:val="auto"/>
          <w:sz w:val="24"/>
          <w:szCs w:val="24"/>
          <w:highlight w:val="none"/>
          <w:lang w:eastAsia="zh-CN"/>
        </w:rPr>
        <w:t>，提出预警及对策建议，编制南昌</w:t>
      </w:r>
      <w:r>
        <w:rPr>
          <w:rFonts w:hint="eastAsia" w:ascii="仿宋" w:hAnsi="仿宋" w:eastAsia="仿宋" w:cs="仿宋"/>
          <w:color w:val="auto"/>
          <w:sz w:val="24"/>
          <w:szCs w:val="24"/>
          <w:highlight w:val="none"/>
          <w:lang w:val="en-US" w:eastAsia="zh-CN"/>
        </w:rPr>
        <w:t>县地表</w:t>
      </w:r>
      <w:r>
        <w:rPr>
          <w:rFonts w:hint="eastAsia" w:ascii="仿宋" w:hAnsi="仿宋" w:eastAsia="仿宋" w:cs="仿宋"/>
          <w:color w:val="auto"/>
          <w:sz w:val="24"/>
          <w:szCs w:val="24"/>
          <w:highlight w:val="none"/>
          <w:lang w:eastAsia="zh-CN"/>
        </w:rPr>
        <w:t>水环境</w:t>
      </w:r>
      <w:r>
        <w:rPr>
          <w:rFonts w:hint="eastAsia" w:ascii="仿宋" w:hAnsi="仿宋" w:eastAsia="仿宋" w:cs="仿宋"/>
          <w:color w:val="auto"/>
          <w:sz w:val="24"/>
          <w:szCs w:val="24"/>
          <w:highlight w:val="none"/>
          <w:lang w:val="en-US" w:eastAsia="zh-CN"/>
        </w:rPr>
        <w:t>质量</w:t>
      </w:r>
      <w:r>
        <w:rPr>
          <w:rFonts w:hint="eastAsia" w:ascii="仿宋" w:hAnsi="仿宋" w:eastAsia="仿宋" w:cs="仿宋"/>
          <w:color w:val="auto"/>
          <w:sz w:val="24"/>
          <w:szCs w:val="24"/>
          <w:highlight w:val="none"/>
          <w:lang w:eastAsia="zh-CN"/>
        </w:rPr>
        <w:t>月报及专项报告等，各报告需附问题清单、原因分析、相关整改措施及进展等。</w:t>
      </w:r>
    </w:p>
    <w:p w14:paraId="24AAECA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完成时间：南昌</w:t>
      </w:r>
      <w:r>
        <w:rPr>
          <w:rFonts w:hint="eastAsia" w:ascii="仿宋" w:hAnsi="仿宋" w:eastAsia="仿宋" w:cs="仿宋"/>
          <w:color w:val="auto"/>
          <w:sz w:val="24"/>
          <w:szCs w:val="24"/>
          <w:highlight w:val="none"/>
          <w:lang w:val="en-US" w:eastAsia="zh-CN"/>
        </w:rPr>
        <w:t>县地表</w:t>
      </w:r>
      <w:r>
        <w:rPr>
          <w:rFonts w:hint="eastAsia" w:ascii="仿宋" w:hAnsi="仿宋" w:eastAsia="仿宋" w:cs="仿宋"/>
          <w:color w:val="auto"/>
          <w:sz w:val="24"/>
          <w:szCs w:val="24"/>
          <w:highlight w:val="none"/>
          <w:lang w:eastAsia="zh-CN"/>
        </w:rPr>
        <w:t>水环境</w:t>
      </w:r>
      <w:r>
        <w:rPr>
          <w:rFonts w:hint="eastAsia" w:ascii="仿宋" w:hAnsi="仿宋" w:eastAsia="仿宋" w:cs="仿宋"/>
          <w:color w:val="auto"/>
          <w:sz w:val="24"/>
          <w:szCs w:val="24"/>
          <w:highlight w:val="none"/>
          <w:lang w:val="en-US" w:eastAsia="zh-CN"/>
        </w:rPr>
        <w:t>质量</w:t>
      </w:r>
      <w:r>
        <w:rPr>
          <w:rFonts w:hint="eastAsia" w:ascii="仿宋" w:hAnsi="仿宋" w:eastAsia="仿宋" w:cs="仿宋"/>
          <w:color w:val="auto"/>
          <w:sz w:val="24"/>
          <w:szCs w:val="24"/>
          <w:highlight w:val="none"/>
          <w:lang w:eastAsia="zh-CN"/>
        </w:rPr>
        <w:t>月报</w:t>
      </w:r>
      <w:r>
        <w:rPr>
          <w:rFonts w:hint="eastAsia" w:ascii="仿宋" w:hAnsi="仿宋" w:eastAsia="仿宋" w:cs="仿宋"/>
          <w:color w:val="auto"/>
          <w:sz w:val="24"/>
          <w:szCs w:val="24"/>
          <w:highlight w:val="none"/>
          <w:lang w:val="en-US" w:eastAsia="zh-CN"/>
        </w:rPr>
        <w:t>在</w:t>
      </w:r>
      <w:r>
        <w:rPr>
          <w:rFonts w:hint="eastAsia" w:ascii="仿宋" w:hAnsi="仿宋" w:eastAsia="仿宋" w:cs="仿宋"/>
          <w:color w:val="auto"/>
          <w:sz w:val="24"/>
          <w:szCs w:val="24"/>
          <w:highlight w:val="none"/>
          <w:lang w:eastAsia="zh-CN"/>
        </w:rPr>
        <w:t>监测数据产生一周内，专项报告按实际要求完成。</w:t>
      </w:r>
    </w:p>
    <w:p w14:paraId="57898E7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（2）实时跟踪南昌</w:t>
      </w:r>
      <w:r>
        <w:rPr>
          <w:rFonts w:hint="eastAsia" w:ascii="仿宋" w:hAnsi="仿宋" w:eastAsia="仿宋" w:cs="仿宋"/>
          <w:color w:val="auto"/>
          <w:sz w:val="24"/>
          <w:szCs w:val="24"/>
          <w:highlight w:val="none"/>
          <w:lang w:val="en-US" w:eastAsia="zh-CN"/>
        </w:rPr>
        <w:t>县建有</w:t>
      </w:r>
      <w:r>
        <w:rPr>
          <w:rFonts w:hint="eastAsia" w:ascii="仿宋" w:hAnsi="仿宋" w:eastAsia="仿宋" w:cs="仿宋"/>
          <w:color w:val="auto"/>
          <w:sz w:val="24"/>
          <w:szCs w:val="24"/>
          <w:highlight w:val="none"/>
          <w:lang w:eastAsia="zh-CN"/>
        </w:rPr>
        <w:t>自动监测站的断面、水源地水质，对当日水质异常情况进行及时预警并简要分析。出现临界值或超标值时立即反馈</w:t>
      </w:r>
      <w:r>
        <w:rPr>
          <w:rFonts w:hint="eastAsia" w:ascii="仿宋" w:hAnsi="仿宋" w:eastAsia="仿宋" w:cs="仿宋"/>
          <w:color w:val="auto"/>
          <w:sz w:val="24"/>
          <w:szCs w:val="24"/>
          <w:highlight w:val="none"/>
          <w:lang w:val="en-US" w:eastAsia="zh-CN"/>
        </w:rPr>
        <w:t>南昌市昌南生态环境局水股</w:t>
      </w:r>
      <w:r>
        <w:rPr>
          <w:rFonts w:hint="eastAsia" w:ascii="仿宋" w:hAnsi="仿宋" w:eastAsia="仿宋" w:cs="仿宋"/>
          <w:color w:val="auto"/>
          <w:sz w:val="24"/>
          <w:szCs w:val="24"/>
          <w:highlight w:val="none"/>
          <w:lang w:eastAsia="zh-CN"/>
        </w:rPr>
        <w:t>及</w:t>
      </w:r>
      <w:r>
        <w:rPr>
          <w:rFonts w:hint="eastAsia" w:ascii="仿宋" w:hAnsi="仿宋" w:eastAsia="仿宋" w:cs="仿宋"/>
          <w:color w:val="auto"/>
          <w:sz w:val="24"/>
          <w:szCs w:val="24"/>
          <w:highlight w:val="none"/>
          <w:lang w:val="en-US" w:eastAsia="zh-CN"/>
        </w:rPr>
        <w:t>属地乡镇</w:t>
      </w:r>
      <w:r>
        <w:rPr>
          <w:rFonts w:hint="eastAsia" w:ascii="仿宋" w:hAnsi="仿宋" w:eastAsia="仿宋" w:cs="仿宋"/>
          <w:color w:val="auto"/>
          <w:sz w:val="24"/>
          <w:szCs w:val="24"/>
          <w:highlight w:val="none"/>
          <w:lang w:eastAsia="zh-CN"/>
        </w:rPr>
        <w:t>。必要时对相关断面进行现场采样和排查，将发现的问题和原因分析汇入现场巡查报告。</w:t>
      </w:r>
    </w:p>
    <w:p w14:paraId="23E36F8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完成时间：现场排查报告在巡查后两日内出具。</w:t>
      </w:r>
    </w:p>
    <w:p w14:paraId="6EAE17C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（3）协助南昌市昌南生态环境局水</w:t>
      </w:r>
      <w:r>
        <w:rPr>
          <w:rFonts w:hint="eastAsia" w:ascii="仿宋" w:hAnsi="仿宋" w:eastAsia="仿宋" w:cs="仿宋"/>
          <w:color w:val="auto"/>
          <w:sz w:val="24"/>
          <w:szCs w:val="24"/>
          <w:highlight w:val="none"/>
          <w:lang w:val="en-US" w:eastAsia="zh-CN"/>
        </w:rPr>
        <w:t>股</w:t>
      </w:r>
      <w:r>
        <w:rPr>
          <w:rFonts w:hint="eastAsia" w:ascii="仿宋" w:hAnsi="仿宋" w:eastAsia="仿宋" w:cs="仿宋"/>
          <w:color w:val="auto"/>
          <w:sz w:val="24"/>
          <w:szCs w:val="24"/>
          <w:highlight w:val="none"/>
          <w:lang w:eastAsia="zh-CN"/>
        </w:rPr>
        <w:t>对上级下发的相关水质情况通报进行数据分析，</w:t>
      </w:r>
      <w:r>
        <w:rPr>
          <w:rFonts w:hint="eastAsia" w:ascii="仿宋" w:hAnsi="仿宋" w:eastAsia="仿宋" w:cs="仿宋"/>
          <w:color w:val="auto"/>
          <w:sz w:val="24"/>
          <w:szCs w:val="24"/>
          <w:highlight w:val="none"/>
          <w:lang w:val="en-US" w:eastAsia="zh-CN"/>
        </w:rPr>
        <w:t>并</w:t>
      </w:r>
      <w:r>
        <w:rPr>
          <w:rFonts w:hint="eastAsia" w:ascii="仿宋" w:hAnsi="仿宋" w:eastAsia="仿宋" w:cs="仿宋"/>
          <w:color w:val="auto"/>
          <w:sz w:val="24"/>
          <w:szCs w:val="24"/>
          <w:highlight w:val="none"/>
          <w:lang w:eastAsia="zh-CN"/>
        </w:rPr>
        <w:t>做好</w:t>
      </w:r>
      <w:r>
        <w:rPr>
          <w:rFonts w:hint="eastAsia" w:ascii="仿宋" w:hAnsi="仿宋" w:eastAsia="仿宋" w:cs="仿宋"/>
          <w:color w:val="auto"/>
          <w:sz w:val="24"/>
          <w:szCs w:val="24"/>
          <w:highlight w:val="none"/>
          <w:lang w:val="en-US" w:eastAsia="zh-CN"/>
        </w:rPr>
        <w:t>重点断面跟踪</w:t>
      </w:r>
      <w:r>
        <w:rPr>
          <w:rFonts w:hint="eastAsia" w:ascii="仿宋" w:hAnsi="仿宋" w:eastAsia="仿宋" w:cs="仿宋"/>
          <w:color w:val="auto"/>
          <w:sz w:val="24"/>
          <w:szCs w:val="24"/>
          <w:highlight w:val="none"/>
          <w:lang w:eastAsia="zh-CN"/>
        </w:rPr>
        <w:t>监测、超标原因分析及申诉工作。</w:t>
      </w:r>
    </w:p>
    <w:p w14:paraId="1E28533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eastAsia="zh-CN"/>
        </w:rPr>
        <w:t>完成时间：按实际要求完成。</w:t>
      </w:r>
    </w:p>
    <w:p w14:paraId="25718CB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3.日常巡查</w:t>
      </w:r>
    </w:p>
    <w:p w14:paraId="24FCA50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（1）综合利用快检设备、无人机、无人船、现场采样等方式，</w:t>
      </w:r>
      <w:r>
        <w:rPr>
          <w:rFonts w:hint="eastAsia" w:ascii="仿宋" w:hAnsi="仿宋" w:eastAsia="仿宋" w:cs="仿宋"/>
          <w:color w:val="auto"/>
          <w:sz w:val="24"/>
          <w:szCs w:val="24"/>
          <w:highlight w:val="none"/>
          <w:lang w:eastAsia="zh-CN"/>
        </w:rPr>
        <w:t>对</w:t>
      </w:r>
      <w:r>
        <w:rPr>
          <w:rFonts w:hint="eastAsia" w:ascii="仿宋" w:hAnsi="仿宋" w:eastAsia="仿宋" w:cs="仿宋"/>
          <w:color w:val="auto"/>
          <w:sz w:val="24"/>
          <w:szCs w:val="24"/>
          <w:highlight w:val="none"/>
          <w:lang w:val="en-US" w:eastAsia="zh-CN"/>
        </w:rPr>
        <w:t>国省</w:t>
      </w:r>
      <w:r>
        <w:rPr>
          <w:rFonts w:hint="eastAsia" w:ascii="仿宋" w:hAnsi="仿宋" w:eastAsia="仿宋" w:cs="仿宋"/>
          <w:color w:val="auto"/>
          <w:sz w:val="24"/>
          <w:szCs w:val="24"/>
          <w:highlight w:val="none"/>
          <w:lang w:eastAsia="zh-CN"/>
        </w:rPr>
        <w:t>断面开展现场巡查（每</w:t>
      </w:r>
      <w:r>
        <w:rPr>
          <w:rFonts w:hint="eastAsia" w:ascii="仿宋" w:hAnsi="仿宋" w:eastAsia="仿宋" w:cs="仿宋"/>
          <w:color w:val="auto"/>
          <w:sz w:val="24"/>
          <w:szCs w:val="24"/>
          <w:highlight w:val="none"/>
          <w:lang w:val="en-US" w:eastAsia="zh-CN"/>
        </w:rPr>
        <w:t>月</w:t>
      </w:r>
      <w:r>
        <w:rPr>
          <w:rFonts w:hint="eastAsia" w:ascii="仿宋" w:hAnsi="仿宋" w:eastAsia="仿宋" w:cs="仿宋"/>
          <w:color w:val="auto"/>
          <w:sz w:val="24"/>
          <w:szCs w:val="24"/>
          <w:highlight w:val="none"/>
          <w:lang w:eastAsia="zh-CN"/>
        </w:rPr>
        <w:t>至少1次），</w:t>
      </w:r>
      <w:r>
        <w:rPr>
          <w:rFonts w:hint="eastAsia" w:ascii="仿宋" w:hAnsi="仿宋" w:eastAsia="仿宋" w:cs="仿宋"/>
          <w:color w:val="auto"/>
          <w:sz w:val="24"/>
          <w:szCs w:val="24"/>
          <w:highlight w:val="none"/>
          <w:lang w:val="en-US" w:eastAsia="zh-CN"/>
        </w:rPr>
        <w:t>并形成报告</w:t>
      </w:r>
      <w:r>
        <w:rPr>
          <w:rFonts w:hint="eastAsia" w:ascii="仿宋" w:hAnsi="仿宋" w:eastAsia="仿宋" w:cs="仿宋"/>
          <w:color w:val="auto"/>
          <w:sz w:val="24"/>
          <w:szCs w:val="24"/>
          <w:highlight w:val="none"/>
          <w:lang w:eastAsia="zh-CN"/>
        </w:rPr>
        <w:t>。</w:t>
      </w:r>
    </w:p>
    <w:p w14:paraId="1788AD1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（2）综合利用快检设备、无人机、无人船、现场采样等方式，</w:t>
      </w:r>
      <w:r>
        <w:rPr>
          <w:rFonts w:hint="eastAsia" w:ascii="仿宋" w:hAnsi="仿宋" w:eastAsia="仿宋" w:cs="仿宋"/>
          <w:color w:val="auto"/>
          <w:sz w:val="24"/>
          <w:szCs w:val="24"/>
          <w:highlight w:val="none"/>
          <w:lang w:eastAsia="zh-CN"/>
        </w:rPr>
        <w:t>对</w:t>
      </w:r>
      <w:r>
        <w:rPr>
          <w:rFonts w:hint="eastAsia" w:ascii="仿宋" w:hAnsi="仿宋" w:eastAsia="仿宋" w:cs="仿宋"/>
          <w:color w:val="auto"/>
          <w:sz w:val="24"/>
          <w:szCs w:val="24"/>
          <w:highlight w:val="none"/>
          <w:lang w:val="en-US" w:eastAsia="zh-CN"/>
        </w:rPr>
        <w:t>县乡两级</w:t>
      </w:r>
      <w:r>
        <w:rPr>
          <w:rFonts w:hint="eastAsia" w:ascii="仿宋" w:hAnsi="仿宋" w:eastAsia="仿宋" w:cs="仿宋"/>
          <w:color w:val="auto"/>
          <w:sz w:val="24"/>
          <w:szCs w:val="24"/>
          <w:highlight w:val="none"/>
          <w:lang w:eastAsia="zh-CN"/>
        </w:rPr>
        <w:t>集中式饮用水水源</w:t>
      </w:r>
      <w:r>
        <w:rPr>
          <w:rFonts w:hint="eastAsia" w:ascii="仿宋" w:hAnsi="仿宋" w:eastAsia="仿宋" w:cs="仿宋"/>
          <w:color w:val="auto"/>
          <w:sz w:val="24"/>
          <w:szCs w:val="24"/>
          <w:highlight w:val="none"/>
          <w:lang w:val="en-US" w:eastAsia="zh-CN"/>
        </w:rPr>
        <w:t>一、二级保护</w:t>
      </w:r>
      <w:r>
        <w:rPr>
          <w:rFonts w:hint="eastAsia" w:ascii="仿宋" w:hAnsi="仿宋" w:eastAsia="仿宋" w:cs="仿宋"/>
          <w:color w:val="auto"/>
          <w:sz w:val="24"/>
          <w:szCs w:val="24"/>
          <w:highlight w:val="none"/>
          <w:lang w:eastAsia="zh-CN"/>
        </w:rPr>
        <w:t>现场巡查（每</w:t>
      </w:r>
      <w:r>
        <w:rPr>
          <w:rFonts w:hint="eastAsia" w:ascii="仿宋" w:hAnsi="仿宋" w:eastAsia="仿宋" w:cs="仿宋"/>
          <w:color w:val="auto"/>
          <w:sz w:val="24"/>
          <w:szCs w:val="24"/>
          <w:highlight w:val="none"/>
          <w:lang w:val="en-US" w:eastAsia="zh-CN"/>
        </w:rPr>
        <w:t>月</w:t>
      </w:r>
      <w:r>
        <w:rPr>
          <w:rFonts w:hint="eastAsia" w:ascii="仿宋" w:hAnsi="仿宋" w:eastAsia="仿宋" w:cs="仿宋"/>
          <w:color w:val="auto"/>
          <w:sz w:val="24"/>
          <w:szCs w:val="24"/>
          <w:highlight w:val="none"/>
          <w:lang w:eastAsia="zh-CN"/>
        </w:rPr>
        <w:t>至少1次），</w:t>
      </w:r>
      <w:r>
        <w:rPr>
          <w:rFonts w:hint="eastAsia" w:ascii="仿宋" w:hAnsi="仿宋" w:eastAsia="仿宋" w:cs="仿宋"/>
          <w:color w:val="auto"/>
          <w:sz w:val="24"/>
          <w:szCs w:val="24"/>
          <w:highlight w:val="none"/>
          <w:lang w:val="en-US" w:eastAsia="zh-CN"/>
        </w:rPr>
        <w:t>并形成报告</w:t>
      </w:r>
      <w:r>
        <w:rPr>
          <w:rFonts w:hint="eastAsia" w:ascii="仿宋" w:hAnsi="仿宋" w:eastAsia="仿宋" w:cs="仿宋"/>
          <w:color w:val="auto"/>
          <w:sz w:val="24"/>
          <w:szCs w:val="24"/>
          <w:highlight w:val="none"/>
          <w:lang w:eastAsia="zh-CN"/>
        </w:rPr>
        <w:t>。</w:t>
      </w:r>
    </w:p>
    <w:p w14:paraId="4AAE403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（3）综合利用快检设备、无人机、无人船、现场采样等方式，</w:t>
      </w:r>
      <w:r>
        <w:rPr>
          <w:rFonts w:hint="eastAsia" w:ascii="仿宋" w:hAnsi="仿宋" w:eastAsia="仿宋" w:cs="仿宋"/>
          <w:color w:val="auto"/>
          <w:sz w:val="24"/>
          <w:szCs w:val="24"/>
          <w:highlight w:val="none"/>
          <w:lang w:eastAsia="zh-CN"/>
        </w:rPr>
        <w:t>对</w:t>
      </w:r>
      <w:r>
        <w:rPr>
          <w:rFonts w:hint="eastAsia" w:ascii="仿宋" w:hAnsi="仿宋" w:eastAsia="仿宋" w:cs="仿宋"/>
          <w:color w:val="auto"/>
          <w:sz w:val="24"/>
          <w:szCs w:val="24"/>
          <w:highlight w:val="none"/>
          <w:lang w:val="en-US" w:eastAsia="zh-CN"/>
        </w:rPr>
        <w:t>城区劣V类水体点位</w:t>
      </w:r>
      <w:r>
        <w:rPr>
          <w:rFonts w:hint="eastAsia" w:ascii="仿宋" w:hAnsi="仿宋" w:eastAsia="仿宋" w:cs="仿宋"/>
          <w:color w:val="auto"/>
          <w:sz w:val="24"/>
          <w:szCs w:val="24"/>
          <w:highlight w:val="none"/>
          <w:lang w:eastAsia="zh-CN"/>
        </w:rPr>
        <w:t>现场巡查（每</w:t>
      </w:r>
      <w:r>
        <w:rPr>
          <w:rFonts w:hint="eastAsia" w:ascii="仿宋" w:hAnsi="仿宋" w:eastAsia="仿宋" w:cs="仿宋"/>
          <w:color w:val="auto"/>
          <w:sz w:val="24"/>
          <w:szCs w:val="24"/>
          <w:highlight w:val="none"/>
          <w:lang w:val="en-US" w:eastAsia="zh-CN"/>
        </w:rPr>
        <w:t>月</w:t>
      </w:r>
      <w:r>
        <w:rPr>
          <w:rFonts w:hint="eastAsia" w:ascii="仿宋" w:hAnsi="仿宋" w:eastAsia="仿宋" w:cs="仿宋"/>
          <w:color w:val="auto"/>
          <w:sz w:val="24"/>
          <w:szCs w:val="24"/>
          <w:highlight w:val="none"/>
          <w:lang w:eastAsia="zh-CN"/>
        </w:rPr>
        <w:t>至少1次），</w:t>
      </w:r>
      <w:r>
        <w:rPr>
          <w:rFonts w:hint="eastAsia" w:ascii="仿宋" w:hAnsi="仿宋" w:eastAsia="仿宋" w:cs="仿宋"/>
          <w:color w:val="auto"/>
          <w:sz w:val="24"/>
          <w:szCs w:val="24"/>
          <w:highlight w:val="none"/>
          <w:lang w:val="en-US" w:eastAsia="zh-CN"/>
        </w:rPr>
        <w:t>并形成报告</w:t>
      </w:r>
      <w:r>
        <w:rPr>
          <w:rFonts w:hint="eastAsia" w:ascii="仿宋" w:hAnsi="仿宋" w:eastAsia="仿宋" w:cs="仿宋"/>
          <w:color w:val="auto"/>
          <w:sz w:val="24"/>
          <w:szCs w:val="24"/>
          <w:highlight w:val="none"/>
          <w:lang w:eastAsia="zh-CN"/>
        </w:rPr>
        <w:t>。</w:t>
      </w:r>
    </w:p>
    <w:p w14:paraId="35F5F93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（4）在蓝藻易爆发的夏秋季，根据上级工作要求，对赣江等重点水域开展无人机巡飞，并形成报告</w:t>
      </w:r>
      <w:r>
        <w:rPr>
          <w:rFonts w:hint="eastAsia" w:ascii="仿宋" w:hAnsi="仿宋" w:eastAsia="仿宋" w:cs="仿宋"/>
          <w:color w:val="auto"/>
          <w:sz w:val="24"/>
          <w:szCs w:val="24"/>
          <w:highlight w:val="none"/>
          <w:lang w:eastAsia="zh-CN"/>
        </w:rPr>
        <w:t>。</w:t>
      </w:r>
    </w:p>
    <w:p w14:paraId="5052614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完成时间：第1、2、3项在巡查结束后两日内提供报告；第4项在巡飞结束当日提供报告。</w:t>
      </w:r>
    </w:p>
    <w:p w14:paraId="531E59C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4.重点排查</w:t>
      </w:r>
    </w:p>
    <w:p w14:paraId="16821C2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（1）综合利用快检设备、无人机、无人船、现场采样等方式，</w:t>
      </w:r>
      <w:r>
        <w:rPr>
          <w:rFonts w:hint="eastAsia" w:ascii="仿宋" w:hAnsi="仿宋" w:eastAsia="仿宋" w:cs="仿宋"/>
          <w:color w:val="auto"/>
          <w:sz w:val="24"/>
          <w:szCs w:val="24"/>
          <w:highlight w:val="none"/>
          <w:lang w:eastAsia="zh-CN"/>
        </w:rPr>
        <w:t>对</w:t>
      </w:r>
      <w:r>
        <w:rPr>
          <w:rFonts w:hint="eastAsia" w:ascii="仿宋" w:hAnsi="仿宋" w:eastAsia="仿宋" w:cs="仿宋"/>
          <w:color w:val="auto"/>
          <w:sz w:val="24"/>
          <w:szCs w:val="24"/>
          <w:highlight w:val="none"/>
          <w:lang w:val="en-US" w:eastAsia="zh-CN"/>
        </w:rPr>
        <w:t>上级通报的问题断面</w:t>
      </w:r>
      <w:r>
        <w:rPr>
          <w:rFonts w:hint="eastAsia" w:ascii="仿宋" w:hAnsi="仿宋" w:eastAsia="仿宋" w:cs="仿宋"/>
          <w:color w:val="auto"/>
          <w:sz w:val="24"/>
          <w:szCs w:val="24"/>
          <w:highlight w:val="none"/>
          <w:lang w:eastAsia="zh-CN"/>
        </w:rPr>
        <w:t>进行排查</w:t>
      </w:r>
      <w:r>
        <w:rPr>
          <w:rFonts w:hint="eastAsia" w:ascii="仿宋" w:hAnsi="仿宋" w:eastAsia="仿宋" w:cs="仿宋"/>
          <w:color w:val="auto"/>
          <w:sz w:val="24"/>
          <w:szCs w:val="24"/>
          <w:highlight w:val="none"/>
          <w:lang w:val="en-US" w:eastAsia="zh-CN"/>
        </w:rPr>
        <w:t>溯源</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并形成排查报告</w:t>
      </w:r>
      <w:r>
        <w:rPr>
          <w:rFonts w:hint="eastAsia" w:ascii="仿宋" w:hAnsi="仿宋" w:eastAsia="仿宋" w:cs="仿宋"/>
          <w:color w:val="auto"/>
          <w:sz w:val="24"/>
          <w:szCs w:val="24"/>
          <w:highlight w:val="none"/>
          <w:lang w:eastAsia="zh-CN"/>
        </w:rPr>
        <w:t>。</w:t>
      </w:r>
    </w:p>
    <w:p w14:paraId="03A248F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（2）综合利用快检设备、无人机、无人船、现场采样等方式，</w:t>
      </w:r>
      <w:r>
        <w:rPr>
          <w:rFonts w:hint="eastAsia" w:ascii="仿宋" w:hAnsi="仿宋" w:eastAsia="仿宋" w:cs="仿宋"/>
          <w:color w:val="auto"/>
          <w:sz w:val="24"/>
          <w:szCs w:val="24"/>
          <w:highlight w:val="none"/>
          <w:lang w:eastAsia="zh-CN"/>
        </w:rPr>
        <w:t>对</w:t>
      </w:r>
      <w:r>
        <w:rPr>
          <w:rFonts w:hint="eastAsia" w:ascii="仿宋" w:hAnsi="仿宋" w:eastAsia="仿宋" w:cs="仿宋"/>
          <w:color w:val="auto"/>
          <w:sz w:val="24"/>
          <w:szCs w:val="24"/>
          <w:highlight w:val="none"/>
          <w:lang w:val="en-US" w:eastAsia="zh-CN"/>
        </w:rPr>
        <w:t>水源地水质超标的问题</w:t>
      </w:r>
      <w:r>
        <w:rPr>
          <w:rFonts w:hint="eastAsia" w:ascii="仿宋" w:hAnsi="仿宋" w:eastAsia="仿宋" w:cs="仿宋"/>
          <w:color w:val="auto"/>
          <w:sz w:val="24"/>
          <w:szCs w:val="24"/>
          <w:highlight w:val="none"/>
          <w:lang w:eastAsia="zh-CN"/>
        </w:rPr>
        <w:t>进行排查</w:t>
      </w:r>
      <w:r>
        <w:rPr>
          <w:rFonts w:hint="eastAsia" w:ascii="仿宋" w:hAnsi="仿宋" w:eastAsia="仿宋" w:cs="仿宋"/>
          <w:color w:val="auto"/>
          <w:sz w:val="24"/>
          <w:szCs w:val="24"/>
          <w:highlight w:val="none"/>
          <w:lang w:val="en-US" w:eastAsia="zh-CN"/>
        </w:rPr>
        <w:t>溯源</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并形成排查报告</w:t>
      </w:r>
      <w:r>
        <w:rPr>
          <w:rFonts w:hint="eastAsia" w:ascii="仿宋" w:hAnsi="仿宋" w:eastAsia="仿宋" w:cs="仿宋"/>
          <w:color w:val="auto"/>
          <w:sz w:val="24"/>
          <w:szCs w:val="24"/>
          <w:highlight w:val="none"/>
          <w:lang w:eastAsia="zh-CN"/>
        </w:rPr>
        <w:t>。</w:t>
      </w:r>
    </w:p>
    <w:p w14:paraId="3B8E2E8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（3）综合利用快检设备、无人机、无人船、</w:t>
      </w:r>
      <w:r>
        <w:rPr>
          <w:rFonts w:hint="eastAsia" w:ascii="仿宋" w:hAnsi="仿宋" w:eastAsia="仿宋" w:cs="仿宋"/>
          <w:color w:val="auto"/>
          <w:sz w:val="28"/>
          <w:szCs w:val="28"/>
          <w:highlight w:val="none"/>
          <w:lang w:val="en-US" w:eastAsia="zh-CN"/>
        </w:rPr>
        <w:t>现</w:t>
      </w:r>
      <w:r>
        <w:rPr>
          <w:rFonts w:hint="eastAsia" w:ascii="仿宋" w:hAnsi="仿宋" w:eastAsia="仿宋" w:cs="仿宋"/>
          <w:color w:val="auto"/>
          <w:sz w:val="24"/>
          <w:szCs w:val="24"/>
          <w:highlight w:val="none"/>
          <w:lang w:val="en-US" w:eastAsia="zh-CN"/>
        </w:rPr>
        <w:t>场采样等方式，对上级通报的问题入河排污口</w:t>
      </w:r>
      <w:r>
        <w:rPr>
          <w:rFonts w:hint="eastAsia" w:ascii="仿宋" w:hAnsi="仿宋" w:eastAsia="仿宋" w:cs="仿宋"/>
          <w:color w:val="auto"/>
          <w:sz w:val="24"/>
          <w:szCs w:val="24"/>
          <w:highlight w:val="none"/>
          <w:lang w:eastAsia="zh-CN"/>
        </w:rPr>
        <w:t>进行排查</w:t>
      </w:r>
      <w:r>
        <w:rPr>
          <w:rFonts w:hint="eastAsia" w:ascii="仿宋" w:hAnsi="仿宋" w:eastAsia="仿宋" w:cs="仿宋"/>
          <w:color w:val="auto"/>
          <w:sz w:val="24"/>
          <w:szCs w:val="24"/>
          <w:highlight w:val="none"/>
          <w:lang w:val="en-US" w:eastAsia="zh-CN"/>
        </w:rPr>
        <w:t>溯源，并形成排查报告</w:t>
      </w:r>
      <w:r>
        <w:rPr>
          <w:rFonts w:hint="eastAsia" w:ascii="仿宋" w:hAnsi="仿宋" w:eastAsia="仿宋" w:cs="仿宋"/>
          <w:color w:val="auto"/>
          <w:sz w:val="24"/>
          <w:szCs w:val="24"/>
          <w:highlight w:val="none"/>
          <w:lang w:eastAsia="zh-CN"/>
        </w:rPr>
        <w:t>。</w:t>
      </w:r>
    </w:p>
    <w:p w14:paraId="6FB2351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eastAsia="zh-CN"/>
        </w:rPr>
        <w:t>完成时间：在排查结束后两日内提供报告。</w:t>
      </w:r>
    </w:p>
    <w:p w14:paraId="7288170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5.其他服务</w:t>
      </w:r>
    </w:p>
    <w:p w14:paraId="6C7E1E3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（1）协助南昌市昌南生态环境局水股安排的其他水生态环境保护相关工作。</w:t>
      </w:r>
    </w:p>
    <w:p w14:paraId="42955E9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lang w:eastAsia="zh-CN"/>
        </w:rPr>
        <w:t>）在水生态环境工作攻坚期内（</w:t>
      </w:r>
      <w:r>
        <w:rPr>
          <w:rFonts w:hint="eastAsia" w:ascii="仿宋" w:hAnsi="仿宋" w:eastAsia="仿宋" w:cs="仿宋"/>
          <w:color w:val="auto"/>
          <w:sz w:val="24"/>
          <w:szCs w:val="24"/>
          <w:highlight w:val="none"/>
          <w:lang w:val="en-US" w:eastAsia="zh-CN"/>
        </w:rPr>
        <w:t>时间约1个月</w:t>
      </w:r>
      <w:r>
        <w:rPr>
          <w:rFonts w:hint="eastAsia" w:ascii="仿宋" w:hAnsi="仿宋" w:eastAsia="仿宋" w:cs="仿宋"/>
          <w:color w:val="auto"/>
          <w:sz w:val="24"/>
          <w:szCs w:val="24"/>
          <w:highlight w:val="none"/>
          <w:lang w:eastAsia="zh-CN"/>
        </w:rPr>
        <w:t>），供应商</w:t>
      </w:r>
      <w:r>
        <w:rPr>
          <w:rFonts w:hint="eastAsia" w:ascii="仿宋" w:hAnsi="仿宋" w:eastAsia="仿宋" w:cs="仿宋"/>
          <w:color w:val="auto"/>
          <w:sz w:val="24"/>
          <w:szCs w:val="24"/>
          <w:highlight w:val="none"/>
          <w:lang w:val="en-US" w:eastAsia="zh-CN"/>
        </w:rPr>
        <w:t>可</w:t>
      </w:r>
      <w:r>
        <w:rPr>
          <w:rFonts w:hint="eastAsia" w:ascii="仿宋" w:hAnsi="仿宋" w:eastAsia="仿宋" w:cs="仿宋"/>
          <w:color w:val="auto"/>
          <w:sz w:val="24"/>
          <w:szCs w:val="24"/>
          <w:highlight w:val="none"/>
          <w:lang w:eastAsia="zh-CN"/>
        </w:rPr>
        <w:t>另派技术人员</w:t>
      </w:r>
      <w:r>
        <w:rPr>
          <w:rFonts w:hint="eastAsia" w:ascii="仿宋" w:hAnsi="仿宋" w:eastAsia="仿宋" w:cs="仿宋"/>
          <w:color w:val="auto"/>
          <w:sz w:val="24"/>
          <w:szCs w:val="24"/>
          <w:highlight w:val="none"/>
          <w:lang w:val="en-US" w:eastAsia="zh-CN"/>
        </w:rPr>
        <w:t>提供现场服务</w:t>
      </w:r>
      <w:r>
        <w:rPr>
          <w:rFonts w:hint="eastAsia" w:ascii="仿宋" w:hAnsi="仿宋" w:eastAsia="仿宋" w:cs="仿宋"/>
          <w:color w:val="auto"/>
          <w:sz w:val="24"/>
          <w:szCs w:val="24"/>
          <w:highlight w:val="none"/>
          <w:lang w:eastAsia="zh-CN"/>
        </w:rPr>
        <w:t>。</w:t>
      </w:r>
    </w:p>
    <w:p w14:paraId="66573AA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3</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为做好项目支撑工作，除驻点人员外，供应商配备后援技术专家团队（不少于3人），提供远程技术支持工作。</w:t>
      </w:r>
    </w:p>
    <w:p w14:paraId="539CC085">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2"/>
        <w:rPr>
          <w:rFonts w:hint="eastAsia" w:ascii="仿宋" w:hAnsi="仿宋" w:eastAsia="仿宋" w:cs="仿宋"/>
          <w:color w:val="auto"/>
          <w:sz w:val="24"/>
          <w:szCs w:val="24"/>
          <w:highlight w:val="none"/>
        </w:rPr>
      </w:pPr>
      <w:r>
        <w:rPr>
          <w:rFonts w:hint="eastAsia" w:ascii="仿宋" w:hAnsi="仿宋" w:eastAsia="仿宋" w:cs="仿宋"/>
          <w:b/>
          <w:bCs/>
          <w:color w:val="auto"/>
          <w:sz w:val="24"/>
          <w:szCs w:val="24"/>
          <w:highlight w:val="none"/>
          <w:lang w:eastAsia="zh-CN"/>
        </w:rPr>
        <w:t>（</w:t>
      </w:r>
      <w:r>
        <w:rPr>
          <w:rFonts w:hint="eastAsia" w:ascii="仿宋" w:hAnsi="仿宋" w:eastAsia="仿宋" w:cs="仿宋"/>
          <w:b/>
          <w:bCs/>
          <w:color w:val="auto"/>
          <w:sz w:val="24"/>
          <w:szCs w:val="24"/>
          <w:highlight w:val="none"/>
          <w:lang w:val="en-US" w:eastAsia="zh-CN"/>
        </w:rPr>
        <w:t>三</w:t>
      </w:r>
      <w:r>
        <w:rPr>
          <w:rFonts w:hint="eastAsia" w:ascii="仿宋" w:hAnsi="仿宋" w:eastAsia="仿宋" w:cs="仿宋"/>
          <w:b/>
          <w:bCs/>
          <w:color w:val="auto"/>
          <w:sz w:val="24"/>
          <w:szCs w:val="24"/>
          <w:highlight w:val="none"/>
          <w:lang w:eastAsia="zh-CN"/>
        </w:rPr>
        <w:t>）</w:t>
      </w:r>
      <w:r>
        <w:rPr>
          <w:rFonts w:hint="eastAsia" w:ascii="仿宋" w:hAnsi="仿宋" w:eastAsia="仿宋" w:cs="仿宋"/>
          <w:b/>
          <w:bCs/>
          <w:color w:val="auto"/>
          <w:sz w:val="24"/>
          <w:szCs w:val="24"/>
          <w:highlight w:val="none"/>
        </w:rPr>
        <w:t>考核办法</w:t>
      </w:r>
    </w:p>
    <w:tbl>
      <w:tblPr>
        <w:tblStyle w:val="7"/>
        <w:tblpPr w:leftFromText="180" w:rightFromText="180" w:vertAnchor="text" w:horzAnchor="page" w:tblpX="1529" w:tblpY="21"/>
        <w:tblOverlap w:val="never"/>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79"/>
        <w:gridCol w:w="775"/>
        <w:gridCol w:w="4297"/>
        <w:gridCol w:w="1068"/>
      </w:tblGrid>
      <w:tr w14:paraId="3D96B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96" w:type="pct"/>
            <w:noWrap w:val="0"/>
            <w:vAlign w:val="center"/>
          </w:tcPr>
          <w:p w14:paraId="4620F9D8">
            <w:pPr>
              <w:pStyle w:val="9"/>
              <w:bidi w:val="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具体服务项</w:t>
            </w:r>
          </w:p>
          <w:p w14:paraId="7EEF9EEB">
            <w:pPr>
              <w:pStyle w:val="9"/>
              <w:bidi w:val="0"/>
              <w:rPr>
                <w:rFonts w:hint="eastAsia" w:ascii="仿宋" w:hAnsi="仿宋" w:eastAsia="仿宋" w:cs="仿宋"/>
                <w:color w:val="auto"/>
                <w:sz w:val="24"/>
                <w:szCs w:val="24"/>
                <w:highlight w:val="none"/>
              </w:rPr>
            </w:pPr>
          </w:p>
        </w:tc>
        <w:tc>
          <w:tcPr>
            <w:tcW w:w="455" w:type="pct"/>
            <w:noWrap w:val="0"/>
            <w:vAlign w:val="center"/>
          </w:tcPr>
          <w:p w14:paraId="410DDE7B">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分值</w:t>
            </w:r>
          </w:p>
        </w:tc>
        <w:tc>
          <w:tcPr>
            <w:tcW w:w="2522" w:type="pct"/>
            <w:noWrap w:val="0"/>
            <w:vAlign w:val="center"/>
          </w:tcPr>
          <w:p w14:paraId="7DA895AE">
            <w:pPr>
              <w:pStyle w:val="9"/>
              <w:bidi w:val="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评分标准</w:t>
            </w:r>
          </w:p>
        </w:tc>
        <w:tc>
          <w:tcPr>
            <w:tcW w:w="625" w:type="pct"/>
            <w:noWrap w:val="0"/>
            <w:vAlign w:val="center"/>
          </w:tcPr>
          <w:p w14:paraId="6A72A820">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得分</w:t>
            </w:r>
          </w:p>
        </w:tc>
      </w:tr>
      <w:tr w14:paraId="32E87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96" w:type="pct"/>
            <w:noWrap w:val="0"/>
            <w:vAlign w:val="center"/>
          </w:tcPr>
          <w:p w14:paraId="1E9EB75E">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断面建档</w:t>
            </w:r>
          </w:p>
        </w:tc>
        <w:tc>
          <w:tcPr>
            <w:tcW w:w="455" w:type="pct"/>
            <w:noWrap w:val="0"/>
            <w:vAlign w:val="center"/>
          </w:tcPr>
          <w:p w14:paraId="546CCCA2">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6</w:t>
            </w:r>
          </w:p>
        </w:tc>
        <w:tc>
          <w:tcPr>
            <w:tcW w:w="2522" w:type="pct"/>
            <w:noWrap w:val="0"/>
            <w:vAlign w:val="center"/>
          </w:tcPr>
          <w:p w14:paraId="2DAC348D">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按照采购人需求完成断面建档工作，得6分。每缺少1个断面扣1分，扣完为止。</w:t>
            </w:r>
          </w:p>
        </w:tc>
        <w:tc>
          <w:tcPr>
            <w:tcW w:w="625" w:type="pct"/>
            <w:noWrap w:val="0"/>
            <w:vAlign w:val="center"/>
          </w:tcPr>
          <w:p w14:paraId="741B1D30">
            <w:pPr>
              <w:pStyle w:val="9"/>
              <w:bidi w:val="0"/>
              <w:rPr>
                <w:rFonts w:hint="eastAsia" w:ascii="仿宋" w:hAnsi="仿宋" w:eastAsia="仿宋" w:cs="仿宋"/>
                <w:color w:val="auto"/>
                <w:sz w:val="24"/>
                <w:szCs w:val="24"/>
                <w:highlight w:val="none"/>
              </w:rPr>
            </w:pPr>
          </w:p>
        </w:tc>
      </w:tr>
      <w:tr w14:paraId="0AA50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96" w:type="pct"/>
            <w:noWrap w:val="0"/>
            <w:vAlign w:val="center"/>
          </w:tcPr>
          <w:p w14:paraId="774390C3">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水环境质量月报</w:t>
            </w:r>
          </w:p>
        </w:tc>
        <w:tc>
          <w:tcPr>
            <w:tcW w:w="455" w:type="pct"/>
            <w:noWrap w:val="0"/>
            <w:vAlign w:val="center"/>
          </w:tcPr>
          <w:p w14:paraId="41C5FD54">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6</w:t>
            </w:r>
          </w:p>
        </w:tc>
        <w:tc>
          <w:tcPr>
            <w:tcW w:w="2522" w:type="pct"/>
            <w:noWrap w:val="0"/>
            <w:vAlign w:val="center"/>
          </w:tcPr>
          <w:p w14:paraId="0C685358">
            <w:pPr>
              <w:pStyle w:val="9"/>
              <w:bidi w:val="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按照采购人需求完成数据研判分析，得6分。每缺少1份报告扣0.5分，扣完为止。</w:t>
            </w:r>
          </w:p>
        </w:tc>
        <w:tc>
          <w:tcPr>
            <w:tcW w:w="625" w:type="pct"/>
            <w:noWrap w:val="0"/>
            <w:vAlign w:val="center"/>
          </w:tcPr>
          <w:p w14:paraId="20AE40B5">
            <w:pPr>
              <w:pStyle w:val="9"/>
              <w:bidi w:val="0"/>
              <w:rPr>
                <w:rFonts w:hint="eastAsia" w:ascii="仿宋" w:hAnsi="仿宋" w:eastAsia="仿宋" w:cs="仿宋"/>
                <w:color w:val="auto"/>
                <w:sz w:val="24"/>
                <w:szCs w:val="24"/>
                <w:highlight w:val="none"/>
              </w:rPr>
            </w:pPr>
          </w:p>
        </w:tc>
      </w:tr>
      <w:tr w14:paraId="7B4BA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96" w:type="pct"/>
            <w:noWrap w:val="0"/>
            <w:vAlign w:val="center"/>
          </w:tcPr>
          <w:p w14:paraId="1928957D">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日常巡查</w:t>
            </w:r>
          </w:p>
        </w:tc>
        <w:tc>
          <w:tcPr>
            <w:tcW w:w="455" w:type="pct"/>
            <w:noWrap w:val="0"/>
            <w:vAlign w:val="center"/>
          </w:tcPr>
          <w:p w14:paraId="08EE40B3">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48</w:t>
            </w:r>
          </w:p>
        </w:tc>
        <w:tc>
          <w:tcPr>
            <w:tcW w:w="2522" w:type="pct"/>
            <w:noWrap w:val="0"/>
            <w:vAlign w:val="center"/>
          </w:tcPr>
          <w:p w14:paraId="269B5083">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按照采购人需求定期开展断面巡查工作，得12分，每缺少1个月的巡查扣1分，扣完为止。</w:t>
            </w:r>
          </w:p>
          <w:p w14:paraId="7C589825">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按照采购人需求定期开展水源地巡查工作，得12分，每缺少1个月的巡查扣1分，扣完为止。</w:t>
            </w:r>
          </w:p>
          <w:p w14:paraId="4C78ACC5">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按照采购人需求定期开展城区水体巡查工作，得12分，每缺少1个月的巡查扣1分，扣完为止。</w:t>
            </w:r>
          </w:p>
          <w:p w14:paraId="2355512D">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按照采购人需求开展蓝藻水华工作，得12分，每缺勤1次巡飞的扣1分</w:t>
            </w:r>
            <w:bookmarkStart w:id="3" w:name="OLE_LINK2"/>
            <w:r>
              <w:rPr>
                <w:rFonts w:hint="eastAsia" w:ascii="仿宋" w:hAnsi="仿宋" w:eastAsia="仿宋" w:cs="仿宋"/>
                <w:color w:val="auto"/>
                <w:sz w:val="24"/>
                <w:szCs w:val="24"/>
                <w:highlight w:val="none"/>
                <w:lang w:val="en-US" w:eastAsia="zh-CN"/>
              </w:rPr>
              <w:t>，扣完为止</w:t>
            </w:r>
            <w:bookmarkEnd w:id="3"/>
            <w:r>
              <w:rPr>
                <w:rFonts w:hint="eastAsia" w:ascii="仿宋" w:hAnsi="仿宋" w:eastAsia="仿宋" w:cs="仿宋"/>
                <w:color w:val="auto"/>
                <w:sz w:val="24"/>
                <w:szCs w:val="24"/>
                <w:highlight w:val="none"/>
                <w:lang w:val="en-US" w:eastAsia="zh-CN"/>
              </w:rPr>
              <w:t>。</w:t>
            </w:r>
          </w:p>
          <w:p w14:paraId="5B62C58B">
            <w:pPr>
              <w:pStyle w:val="9"/>
              <w:bidi w:val="0"/>
              <w:rPr>
                <w:rFonts w:hint="eastAsia" w:ascii="仿宋" w:hAnsi="仿宋" w:eastAsia="仿宋" w:cs="仿宋"/>
                <w:color w:val="auto"/>
                <w:sz w:val="24"/>
                <w:szCs w:val="24"/>
                <w:highlight w:val="none"/>
                <w:lang w:val="en-US" w:eastAsia="zh-CN"/>
              </w:rPr>
            </w:pPr>
          </w:p>
        </w:tc>
        <w:tc>
          <w:tcPr>
            <w:tcW w:w="625" w:type="pct"/>
            <w:noWrap w:val="0"/>
            <w:vAlign w:val="center"/>
          </w:tcPr>
          <w:p w14:paraId="02285453">
            <w:pPr>
              <w:pStyle w:val="9"/>
              <w:bidi w:val="0"/>
              <w:rPr>
                <w:rFonts w:hint="eastAsia" w:ascii="仿宋" w:hAnsi="仿宋" w:eastAsia="仿宋" w:cs="仿宋"/>
                <w:color w:val="auto"/>
                <w:sz w:val="24"/>
                <w:szCs w:val="24"/>
                <w:highlight w:val="none"/>
              </w:rPr>
            </w:pPr>
          </w:p>
        </w:tc>
      </w:tr>
      <w:tr w14:paraId="3ED26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96" w:type="pct"/>
            <w:noWrap w:val="0"/>
            <w:vAlign w:val="center"/>
          </w:tcPr>
          <w:p w14:paraId="577476DD">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重点排查</w:t>
            </w:r>
          </w:p>
        </w:tc>
        <w:tc>
          <w:tcPr>
            <w:tcW w:w="455" w:type="pct"/>
            <w:noWrap w:val="0"/>
            <w:vAlign w:val="center"/>
          </w:tcPr>
          <w:p w14:paraId="7646D97F">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24</w:t>
            </w:r>
          </w:p>
        </w:tc>
        <w:tc>
          <w:tcPr>
            <w:tcW w:w="2522" w:type="pct"/>
            <w:noWrap w:val="0"/>
            <w:vAlign w:val="center"/>
          </w:tcPr>
          <w:p w14:paraId="3BC00114">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按照采购人需求开展排查溯源，精准识别问题，提出对策，形成报告，得24分。</w:t>
            </w:r>
          </w:p>
          <w:p w14:paraId="4BA9F775">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缺勤排查溯源，每次扣2分，扣完为止；</w:t>
            </w:r>
          </w:p>
          <w:p w14:paraId="5A860162">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排查溯源报告被上级生态环境部门通报退回的，每次扣2分，扣完为止。</w:t>
            </w:r>
          </w:p>
        </w:tc>
        <w:tc>
          <w:tcPr>
            <w:tcW w:w="625" w:type="pct"/>
            <w:noWrap w:val="0"/>
            <w:vAlign w:val="center"/>
          </w:tcPr>
          <w:p w14:paraId="664B4FE0">
            <w:pPr>
              <w:pStyle w:val="9"/>
              <w:bidi w:val="0"/>
              <w:rPr>
                <w:rFonts w:hint="eastAsia" w:ascii="仿宋" w:hAnsi="仿宋" w:eastAsia="仿宋" w:cs="仿宋"/>
                <w:color w:val="auto"/>
                <w:sz w:val="24"/>
                <w:szCs w:val="24"/>
                <w:highlight w:val="none"/>
              </w:rPr>
            </w:pPr>
          </w:p>
        </w:tc>
      </w:tr>
      <w:tr w14:paraId="5C2F8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96" w:type="pct"/>
            <w:noWrap w:val="0"/>
            <w:vAlign w:val="center"/>
          </w:tcPr>
          <w:p w14:paraId="5743A178">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其他工作</w:t>
            </w:r>
          </w:p>
        </w:tc>
        <w:tc>
          <w:tcPr>
            <w:tcW w:w="455" w:type="pct"/>
            <w:noWrap w:val="0"/>
            <w:vAlign w:val="center"/>
          </w:tcPr>
          <w:p w14:paraId="5B624878">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10</w:t>
            </w:r>
          </w:p>
        </w:tc>
        <w:tc>
          <w:tcPr>
            <w:tcW w:w="2522" w:type="pct"/>
            <w:noWrap w:val="0"/>
            <w:vAlign w:val="center"/>
          </w:tcPr>
          <w:p w14:paraId="1D4466B1">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按照采购人需求完成交办的工作，得10分。</w:t>
            </w:r>
          </w:p>
          <w:p w14:paraId="6A69B68E">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未完成1项扣1分</w:t>
            </w:r>
            <w:bookmarkStart w:id="4" w:name="OLE_LINK6"/>
            <w:r>
              <w:rPr>
                <w:rFonts w:hint="eastAsia" w:ascii="仿宋" w:hAnsi="仿宋" w:eastAsia="仿宋" w:cs="仿宋"/>
                <w:color w:val="auto"/>
                <w:sz w:val="24"/>
                <w:szCs w:val="24"/>
                <w:highlight w:val="none"/>
                <w:lang w:val="en-US" w:eastAsia="zh-CN"/>
              </w:rPr>
              <w:t>，扣完为止。</w:t>
            </w:r>
            <w:bookmarkEnd w:id="4"/>
          </w:p>
        </w:tc>
        <w:tc>
          <w:tcPr>
            <w:tcW w:w="625" w:type="pct"/>
            <w:noWrap w:val="0"/>
            <w:vAlign w:val="center"/>
          </w:tcPr>
          <w:p w14:paraId="7BB964A1">
            <w:pPr>
              <w:pStyle w:val="9"/>
              <w:bidi w:val="0"/>
              <w:rPr>
                <w:rFonts w:hint="eastAsia" w:ascii="仿宋" w:hAnsi="仿宋" w:eastAsia="仿宋" w:cs="仿宋"/>
                <w:color w:val="auto"/>
                <w:sz w:val="24"/>
                <w:szCs w:val="24"/>
                <w:highlight w:val="none"/>
              </w:rPr>
            </w:pPr>
          </w:p>
        </w:tc>
      </w:tr>
      <w:tr w14:paraId="2EA58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96" w:type="pct"/>
            <w:noWrap w:val="0"/>
            <w:vAlign w:val="center"/>
          </w:tcPr>
          <w:p w14:paraId="4A6A90E8">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工作纪律</w:t>
            </w:r>
          </w:p>
        </w:tc>
        <w:tc>
          <w:tcPr>
            <w:tcW w:w="455" w:type="pct"/>
            <w:noWrap w:val="0"/>
            <w:vAlign w:val="center"/>
          </w:tcPr>
          <w:p w14:paraId="5281411E">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6</w:t>
            </w:r>
          </w:p>
        </w:tc>
        <w:tc>
          <w:tcPr>
            <w:tcW w:w="2522" w:type="pct"/>
            <w:noWrap w:val="0"/>
            <w:vAlign w:val="center"/>
          </w:tcPr>
          <w:p w14:paraId="59A54AA1">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驻场人员严格按照南昌市昌南生态环境局上下班有关制度及应急值班，得6分。</w:t>
            </w:r>
          </w:p>
          <w:p w14:paraId="65D7A5A0">
            <w:pPr>
              <w:pStyle w:val="9"/>
              <w:bidi w:val="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如发现无故迟到早退现象或未按要求应急值班的，每发现一次扣1分，扣完为止。</w:t>
            </w:r>
          </w:p>
        </w:tc>
        <w:tc>
          <w:tcPr>
            <w:tcW w:w="625" w:type="pct"/>
            <w:noWrap w:val="0"/>
            <w:vAlign w:val="center"/>
          </w:tcPr>
          <w:p w14:paraId="7537222F">
            <w:pPr>
              <w:pStyle w:val="9"/>
              <w:bidi w:val="0"/>
              <w:rPr>
                <w:rFonts w:hint="eastAsia" w:ascii="仿宋" w:hAnsi="仿宋" w:eastAsia="仿宋" w:cs="仿宋"/>
                <w:color w:val="auto"/>
                <w:sz w:val="24"/>
                <w:szCs w:val="24"/>
                <w:highlight w:val="none"/>
              </w:rPr>
            </w:pPr>
          </w:p>
        </w:tc>
      </w:tr>
      <w:tr w14:paraId="39C28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noWrap w:val="0"/>
            <w:vAlign w:val="center"/>
          </w:tcPr>
          <w:p w14:paraId="7A1E4BAF">
            <w:pPr>
              <w:pStyle w:val="9"/>
              <w:bidi w:val="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签订服务合同</w:t>
            </w:r>
            <w:r>
              <w:rPr>
                <w:rFonts w:hint="eastAsia" w:ascii="仿宋" w:hAnsi="仿宋" w:eastAsia="仿宋" w:cs="仿宋"/>
                <w:color w:val="auto"/>
                <w:sz w:val="24"/>
                <w:szCs w:val="24"/>
                <w:highlight w:val="none"/>
                <w:lang w:val="en-US" w:eastAsia="zh-CN"/>
              </w:rPr>
              <w:t>之日起1</w:t>
            </w:r>
            <w:r>
              <w:rPr>
                <w:rFonts w:hint="eastAsia" w:ascii="仿宋" w:hAnsi="仿宋" w:eastAsia="仿宋" w:cs="仿宋"/>
                <w:color w:val="auto"/>
                <w:sz w:val="24"/>
                <w:szCs w:val="24"/>
                <w:highlight w:val="none"/>
              </w:rPr>
              <w:t>0天内，</w:t>
            </w:r>
            <w:r>
              <w:rPr>
                <w:rFonts w:hint="eastAsia" w:ascii="仿宋" w:hAnsi="仿宋" w:eastAsia="仿宋" w:cs="仿宋"/>
                <w:color w:val="auto"/>
                <w:sz w:val="24"/>
                <w:szCs w:val="24"/>
                <w:highlight w:val="none"/>
                <w:lang w:eastAsia="zh-CN"/>
              </w:rPr>
              <w:t>成交供应商</w:t>
            </w:r>
            <w:r>
              <w:rPr>
                <w:rFonts w:hint="eastAsia" w:ascii="仿宋" w:hAnsi="仿宋" w:eastAsia="仿宋" w:cs="仿宋"/>
                <w:color w:val="auto"/>
                <w:sz w:val="24"/>
                <w:szCs w:val="24"/>
                <w:highlight w:val="none"/>
              </w:rPr>
              <w:t>驻场人员、车辆及相关设备未到场服务的，每逾期1天扣</w:t>
            </w:r>
            <w:r>
              <w:rPr>
                <w:rFonts w:hint="eastAsia" w:ascii="仿宋" w:hAnsi="仿宋" w:eastAsia="仿宋" w:cs="仿宋"/>
                <w:color w:val="auto"/>
                <w:sz w:val="24"/>
                <w:szCs w:val="24"/>
                <w:highlight w:val="none"/>
                <w:lang w:val="en-US" w:eastAsia="zh-CN"/>
              </w:rPr>
              <w:t>除合同金额的3%</w:t>
            </w:r>
            <w:r>
              <w:rPr>
                <w:rFonts w:hint="eastAsia" w:ascii="仿宋" w:hAnsi="仿宋" w:eastAsia="仿宋" w:cs="仿宋"/>
                <w:color w:val="auto"/>
                <w:sz w:val="24"/>
                <w:szCs w:val="24"/>
                <w:highlight w:val="none"/>
              </w:rPr>
              <w:t>，逾期1个月终止合同</w:t>
            </w:r>
            <w:r>
              <w:rPr>
                <w:rFonts w:hint="eastAsia" w:ascii="仿宋" w:hAnsi="仿宋" w:eastAsia="仿宋" w:cs="仿宋"/>
                <w:color w:val="auto"/>
                <w:sz w:val="24"/>
                <w:szCs w:val="24"/>
                <w:highlight w:val="none"/>
                <w:lang w:eastAsia="zh-CN"/>
              </w:rPr>
              <w:t>。</w:t>
            </w:r>
          </w:p>
        </w:tc>
      </w:tr>
    </w:tbl>
    <w:p w14:paraId="355F8B78">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仿宋" w:hAnsi="仿宋" w:eastAsia="仿宋" w:cs="仿宋"/>
          <w:b/>
          <w:bCs/>
          <w:color w:val="auto"/>
          <w:kern w:val="0"/>
          <w:sz w:val="24"/>
          <w:szCs w:val="24"/>
          <w:highlight w:val="none"/>
          <w:lang w:bidi="ar"/>
        </w:rPr>
      </w:pPr>
    </w:p>
    <w:p w14:paraId="2F146280">
      <w:r>
        <w:rPr>
          <w:rFonts w:hint="eastAsia" w:ascii="仿宋" w:hAnsi="仿宋" w:eastAsia="仿宋" w:cs="仿宋"/>
          <w:b/>
          <w:bCs/>
          <w:color w:val="auto"/>
          <w:sz w:val="24"/>
          <w:szCs w:val="24"/>
          <w:highlight w:val="none"/>
        </w:rPr>
        <w:t>考核结果判定:</w:t>
      </w:r>
      <w:r>
        <w:rPr>
          <w:rFonts w:hint="eastAsia" w:ascii="仿宋" w:hAnsi="仿宋" w:eastAsia="仿宋" w:cs="仿宋"/>
          <w:b/>
          <w:bCs/>
          <w:color w:val="auto"/>
          <w:sz w:val="24"/>
          <w:szCs w:val="24"/>
          <w:highlight w:val="none"/>
          <w:lang w:val="en-US" w:eastAsia="zh-CN"/>
        </w:rPr>
        <w:t>90分以上不扣除服务费，90分以下，每低2分，扣1%的服务费。</w:t>
      </w:r>
      <w:bookmarkStart w:id="5" w:name="_GoBack"/>
      <w:bookmarkEnd w:id="5"/>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C7D061"/>
    <w:multiLevelType w:val="singleLevel"/>
    <w:tmpl w:val="8DC7D061"/>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4623A9"/>
    <w:rsid w:val="3F4623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iPriority="99" w:semiHidden="0" w:name="Table Grid"/>
    <w:lsdException w:unhideWhenUsed="0" w:uiPriority="0" w:semiHidden="0"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2"/>
    <w:basedOn w:val="1"/>
    <w:next w:val="1"/>
    <w:qFormat/>
    <w:uiPriority w:val="0"/>
    <w:pPr>
      <w:keepNext/>
      <w:keepLines/>
      <w:spacing w:before="260" w:beforeLines="0" w:after="260" w:afterLines="0" w:line="416" w:lineRule="auto"/>
      <w:jc w:val="center"/>
      <w:outlineLvl w:val="1"/>
    </w:pPr>
    <w:rPr>
      <w:rFonts w:ascii="Arial" w:hAnsi="Arial" w:eastAsia="黑体"/>
      <w:b/>
      <w:bCs/>
      <w:sz w:val="32"/>
      <w:szCs w:val="32"/>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customStyle="1" w:styleId="2">
    <w:name w:val="正文缩进1"/>
    <w:basedOn w:val="1"/>
    <w:qFormat/>
    <w:uiPriority w:val="0"/>
    <w:rPr>
      <w:szCs w:val="24"/>
    </w:rPr>
  </w:style>
  <w:style w:type="paragraph" w:styleId="4">
    <w:name w:val="Body Text"/>
    <w:basedOn w:val="1"/>
    <w:next w:val="5"/>
    <w:uiPriority w:val="0"/>
    <w:pPr>
      <w:spacing w:line="240" w:lineRule="atLeast"/>
    </w:pPr>
    <w:rPr>
      <w:sz w:val="18"/>
      <w:szCs w:val="20"/>
    </w:rPr>
  </w:style>
  <w:style w:type="paragraph" w:styleId="5">
    <w:name w:val="header"/>
    <w:basedOn w:val="1"/>
    <w:next w:val="1"/>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unhideWhenUsed/>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9">
    <w:name w:val="No Spacing"/>
    <w:qFormat/>
    <w:uiPriority w:val="99"/>
    <w:pPr>
      <w:widowControl w:val="0"/>
      <w:jc w:val="both"/>
    </w:pPr>
    <w:rPr>
      <w:rFonts w:ascii="Times New Roman" w:hAnsi="Times New Roman" w:eastAsia="宋体" w:cs="Times New Roman"/>
      <w:kern w:val="2"/>
      <w:sz w:val="21"/>
      <w:szCs w:val="24"/>
      <w:lang w:val="en-US" w:eastAsia="zh-CN" w:bidi="ar-SA"/>
    </w:rPr>
  </w:style>
  <w:style w:type="paragraph" w:styleId="10">
    <w:name w:val="List Paragraph"/>
    <w:basedOn w:val="1"/>
    <w:qFormat/>
    <w:uiPriority w:val="1"/>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2026-06-08T06:41:00Z</dcterms:created>
  <dc:creator>Administrator</dc:creator>
  <cp:lastModifiedBy>Administrator</cp:lastModifiedBy>
  <dcterms:modified xsi:type="dcterms:W3CDTF">2026-06-08T06:43:05Z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B5B662E333454594A503B8CA96C9AED7_11</vt:lpwstr>
  </property>
  <property fmtid="{D5CDD505-2E9C-101B-9397-08002B2CF9AE}" pid="4" name="KSOTemplateDocerSaveRecord">
    <vt:lpwstr>eyJoZGlkIjoiNGQzNzgzZmJiNjQ2MzFkYTJiZTMxOTZiMGRjOTE5OWYiLCJ1c2VySWQiOiIyODQzOTg2MDMifQ==</vt:lpwstr>
  </property>
</Properties>
</file>