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F4C0E4">
      <w:pPr>
        <w:widowControl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</w:rPr>
      </w:pPr>
      <w:bookmarkStart w:id="0" w:name="_Toc8667"/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0"/>
    </w:p>
    <w:p w14:paraId="76C7EC13">
      <w:pPr>
        <w:widowControl w:val="0"/>
        <w:spacing w:line="257" w:lineRule="auto"/>
        <w:rPr>
          <w:color w:val="auto"/>
        </w:rPr>
      </w:pPr>
    </w:p>
    <w:p w14:paraId="7A252025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一、项目概述</w:t>
      </w:r>
    </w:p>
    <w:p w14:paraId="65012091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本项目旨在通过采购专业的网络运维服务，承担指定区域内各政务服务中心、办公大楼、街办、社区及驻外单位的软、硬件及网络系统的运行维护工作，以保障各业务系统、网络平台及数据的安全、持续、可靠、高效运行，建立规范化的运维管理体系与服务评价体系。</w:t>
      </w:r>
    </w:p>
    <w:p w14:paraId="08F44965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二、项目目标</w:t>
      </w:r>
    </w:p>
    <w:p w14:paraId="71C92F2F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在项目服务期内，达成以下目标：</w:t>
      </w:r>
    </w:p>
    <w:p w14:paraId="16898A17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1.高可用保障：确保软、硬件运行技术支撑满足业务管理需求，提供快速响应，减少业务中断时间，保证各系统的高可用性。关键指标要求包括：</w:t>
      </w:r>
    </w:p>
    <w:p w14:paraId="1EA4F040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应用系统可用率 ≥ 99%（系统发布、更新导致的不可用除外）。</w:t>
      </w:r>
    </w:p>
    <w:p w14:paraId="311BBE12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年平均故障恢复时间 ≤ 1个日历日/起。</w:t>
      </w:r>
    </w:p>
    <w:p w14:paraId="32B5C5F5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月平均设备在线率、完好率不低于90%。</w:t>
      </w:r>
    </w:p>
    <w:p w14:paraId="697EAD97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影响主要及重要业务运行的故障发生为0起。</w:t>
      </w:r>
    </w:p>
    <w:p w14:paraId="299C4A8D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2.规范化管理：建立职责明确、流程规范、管理高效的运维服务管理体系，实现人员、技术和流程的标准化、规范化管理。</w:t>
      </w:r>
    </w:p>
    <w:p w14:paraId="2FDCBFF9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3.持续优化：建立运维服务水平评价体系，通过指标监控与运行分析，实现对系统运行服务的集中、分级管理和监控，并能及时调整运维策略，促进运维质量和效率的持续提高。</w:t>
      </w:r>
    </w:p>
    <w:p w14:paraId="242B357C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4.全天候响应：提供7*24小时故障排除与技术支持服务。</w:t>
      </w:r>
    </w:p>
    <w:p w14:paraId="025925ED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三、运维服务范围与质量要求</w:t>
      </w:r>
    </w:p>
    <w:p w14:paraId="5AB00B52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1.服务范围：涵盖区综合服务中心、区市民中心、区文化综合大楼、区属各驻外单位、各街办、社区、区属各临时办公机构的所有内外场软硬件及网络系统。具体范围详见《服务内容与要求》。</w:t>
      </w:r>
    </w:p>
    <w:p w14:paraId="77685641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2.服务时间：提供7*24小时全天候服务受理与响应。</w:t>
      </w:r>
    </w:p>
    <w:p w14:paraId="328CAA66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3.故障响应要求：</w:t>
      </w:r>
    </w:p>
    <w:p w14:paraId="2A06C8BA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提供7*24小时热线支持。</w:t>
      </w:r>
    </w:p>
    <w:p w14:paraId="44F7E280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出现紧急问题，需在30分钟内做出响应并提出应急措施。核心机房0.5小时内、汇聚机房1小时内安排技术人员到达现场。</w:t>
      </w:r>
    </w:p>
    <w:p w14:paraId="2CBD01A4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故障分级与处理时限：</w:t>
      </w:r>
    </w:p>
    <w:p w14:paraId="66876C1F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一级（重大故障）：主干网络故障，整个业务受影响。响应时间5分钟，工作日10分钟/节假日1小时内到达现场，到达后2小时内解决。</w:t>
      </w:r>
    </w:p>
    <w:p w14:paraId="385E9B2E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二级（严重故障）：关键部件或业务系统故障，性能受重大影响。响应时间5分钟，工作日10分钟/节假日1小时内到达现场，到达后4小时内解决。</w:t>
      </w:r>
    </w:p>
    <w:p w14:paraId="10A7F32E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三级（一般性故障）：除一、二级外的服务器硬件等故障。响应时间5分钟，工作日10分钟/节假日1小时内到达现场，到达后8小时内解决。</w:t>
      </w:r>
    </w:p>
    <w:p w14:paraId="51EF000B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四、</w:t>
      </w:r>
      <w:bookmarkStart w:id="1" w:name="OLE_LINK9"/>
      <w:r>
        <w:rPr>
          <w:rFonts w:hint="eastAsia" w:ascii="宋体" w:hAnsi="宋体" w:eastAsia="宋体" w:cs="宋体"/>
          <w:sz w:val="24"/>
          <w:szCs w:val="24"/>
          <w:lang w:eastAsia="zh-CN"/>
        </w:rPr>
        <w:t>派驻工程师要求</w:t>
      </w:r>
      <w:bookmarkEnd w:id="1"/>
    </w:p>
    <w:p w14:paraId="2098A033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1.人员数量：供应商需派驻4名现场工程师，在区综合服务中心、区市民中心现场驻点（为期一年）。</w:t>
      </w:r>
    </w:p>
    <w:p w14:paraId="7E3BBCE2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2.人员要求：</w:t>
      </w:r>
    </w:p>
    <w:p w14:paraId="02E84FA7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   均须具备大学专科以上学历，拥有计算机基础操作能力及网络系统运维经验。</w:t>
      </w:r>
    </w:p>
    <w:p w14:paraId="121C10BA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   能独立完成设备的软硬件安装、配置、调试等维护工作，具备故障分析和解决能力。</w:t>
      </w:r>
    </w:p>
    <w:p w14:paraId="26A377A9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   拥有良好的服务意识及协作精神。</w:t>
      </w:r>
    </w:p>
    <w:p w14:paraId="14C31485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  3.上岗流程：派驻人员需通过区政数局负责工作人员的面试，面试通过后方可上岗。</w:t>
      </w:r>
    </w:p>
    <w:p w14:paraId="268B7629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4.人员管理：</w:t>
      </w:r>
    </w:p>
    <w:p w14:paraId="044DAE0A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所有维保人员的调度指挥权归区政数局所有。</w:t>
      </w:r>
    </w:p>
    <w:p w14:paraId="30DB5C4B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维护人员不得迟到早退、无故旷工，需24小时保持电话畅通，每人每月请假不得超过2天。</w:t>
      </w:r>
    </w:p>
    <w:p w14:paraId="4BE47E88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五、服务内容与要求（整合清单）</w:t>
      </w:r>
    </w:p>
    <w:p w14:paraId="7D9B5701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供应商需提供以下全方位的运维服务：</w:t>
      </w:r>
    </w:p>
    <w:p w14:paraId="3F084F7E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A.网络基础设施运维</w:t>
      </w:r>
    </w:p>
    <w:p w14:paraId="4119C7DC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1.日常巡检：每日对机房、电子监察系统进行巡检并汇报；每月对网络设备、全区政务外网设备进行巡检并出具报告。</w:t>
      </w:r>
    </w:p>
    <w:p w14:paraId="246CA283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2.运维实施：包括全区社区（村）电子政务外网的全面巡检、网络拓扑绘制与调整、资产统计清查、视频会议保障、电话线路维护等。</w:t>
      </w:r>
    </w:p>
    <w:p w14:paraId="63F197F5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3.维保服务：对范围内的交换机、路由器、防火墙、交换机等所有网络设备提供硬件维保、策略优化及故障更换服务。</w:t>
      </w:r>
    </w:p>
    <w:p w14:paraId="299921CD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4.运维报告：每半年提交一份网络运维工作报告，每季度提交健康检查报告、网络拓扑图等。</w:t>
      </w:r>
    </w:p>
    <w:p w14:paraId="31E5F535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B.机房与环境设施运维</w:t>
      </w:r>
    </w:p>
    <w:p w14:paraId="1ADB9609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1.机房日常管理：包括机房卫生、出入登记、节假日值班。</w:t>
      </w:r>
    </w:p>
    <w:p w14:paraId="5971C58D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2.设备维保：</w:t>
      </w:r>
    </w:p>
    <w:p w14:paraId="0F9F672D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UPS设备：提供原厂一年一次检查维护，包含定期巡检、性能测试、参数校验及备件保障服务。</w:t>
      </w:r>
    </w:p>
    <w:p w14:paraId="0693EFC8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环控系统：对环境监控传感器（温湿度、漏水、烟雾）、门禁、视频监控等子系统进行维护，确保7*24小时监控有效。</w:t>
      </w:r>
    </w:p>
    <w:p w14:paraId="6FB6FD4A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    基础设施：对机房供电、防雷、空调等系统进行定期检查。</w:t>
      </w:r>
    </w:p>
    <w:p w14:paraId="1B44B8F9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C.安全设备与网络安全运维</w:t>
      </w:r>
    </w:p>
    <w:p w14:paraId="67DD9DB9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1.安全设备维保与升级：对防火墙、入侵防御（IPS）、上网行为管理（AC）、日志审计等安全设备进行硬件维保、软件升级、特征库更新。</w:t>
      </w:r>
    </w:p>
    <w:p w14:paraId="4FF0DDD6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2.网络安全服务：</w:t>
      </w:r>
    </w:p>
    <w:p w14:paraId="303538E7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 等保测评：协助完成指定信息系统的网络安全等级保护测评。</w:t>
      </w:r>
    </w:p>
    <w:p w14:paraId="181B2E60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安全监测与应急：提供网站安全监测、季度安全巡检、应急响应服务（7*24小时）、重要时期安保值守。</w:t>
      </w:r>
    </w:p>
    <w:p w14:paraId="79B91673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应急演练：制定网络安全应急预案，每年至少开展一次应急演练。</w:t>
      </w:r>
    </w:p>
    <w:p w14:paraId="13B7802D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安全培训：每年为相关人员至少提供一次网络安全意识与技能培训。</w:t>
      </w:r>
    </w:p>
    <w:p w14:paraId="2C39C1E2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D.办公终端及智能化系统运维</w:t>
      </w:r>
    </w:p>
    <w:p w14:paraId="267EFAED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1.办公设备维护：负责区领导办公室、市民中心等所有办公电脑、打印机、电话的安装、维护、配置及故障处理。</w:t>
      </w:r>
    </w:p>
    <w:p w14:paraId="32ECD9E6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2.智能化系统运维：保障排队叫号系统、满意评价系统、多媒体会议系统等正常运行。</w:t>
      </w:r>
    </w:p>
    <w:p w14:paraId="0A7F6435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F.其他支持服务</w:t>
      </w:r>
    </w:p>
    <w:p w14:paraId="7EA76D8A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1.文档与资产管理：建立并持续更新设备信息档案库、网络拓扑图、资产台账。所有服务过程需有详细记录和报告。</w:t>
      </w:r>
    </w:p>
    <w:p w14:paraId="77CE584D">
      <w:pPr>
        <w:spacing w:before="120" w:line="360" w:lineRule="auto"/>
        <w:ind w:firstLine="360" w:firstLineChars="15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2.配合工作：无条件配合区政数局交办的其他工作。</w:t>
      </w:r>
    </w:p>
    <w:p w14:paraId="72A64758">
      <w:pPr>
        <w:spacing w:line="360" w:lineRule="auto"/>
        <w:ind w:firstLine="482" w:firstLineChars="200"/>
        <w:rPr>
          <w:rFonts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六、服务考核</w:t>
      </w:r>
    </w:p>
    <w:p w14:paraId="7D0D1A75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1.考核方式：采取月度、季度、年度相结合的评分考核制。</w:t>
      </w:r>
    </w:p>
    <w:p w14:paraId="6DE02BF5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2.考核评分标准（综合）：</w:t>
      </w:r>
    </w:p>
    <w:p w14:paraId="5C85271E">
      <w:pPr>
        <w:spacing w:line="360" w:lineRule="auto"/>
        <w:ind w:firstLine="482" w:firstLineChars="200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</w:rPr>
        <w:t>中标单位应该严格按照投标提供材料派遣人员，如果人员不符合，招标人有权直接取消合同，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并扣除所有款项。</w:t>
      </w:r>
    </w:p>
    <w:p w14:paraId="062C97B8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月度考核（50分）：主要考核故障响应时效（电话即时、现场按故障级别规定时间）、事件报告提交（48小时内）、定期巡检报告提交、服务态度等。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4207"/>
        <w:gridCol w:w="2665"/>
      </w:tblGrid>
      <w:tr w14:paraId="2272E8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</w:tcPr>
          <w:p w14:paraId="688705CD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类别</w:t>
            </w:r>
          </w:p>
        </w:tc>
        <w:tc>
          <w:tcPr>
            <w:tcW w:w="4207" w:type="dxa"/>
          </w:tcPr>
          <w:p w14:paraId="5A45F052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要求</w:t>
            </w:r>
          </w:p>
        </w:tc>
        <w:tc>
          <w:tcPr>
            <w:tcW w:w="2665" w:type="dxa"/>
          </w:tcPr>
          <w:p w14:paraId="2B385015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评判标准</w:t>
            </w:r>
          </w:p>
        </w:tc>
      </w:tr>
      <w:tr w14:paraId="17A2F2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420" w:type="dxa"/>
            <w:vMerge w:val="restart"/>
          </w:tcPr>
          <w:p w14:paraId="1CCFF6BA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故障响应</w:t>
            </w:r>
          </w:p>
        </w:tc>
        <w:tc>
          <w:tcPr>
            <w:tcW w:w="4207" w:type="dxa"/>
          </w:tcPr>
          <w:p w14:paraId="04365963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一级故障：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响应时间5分钟，工作日10分钟/节假日1小时内到达现场，到达后2小时内解决。</w:t>
            </w:r>
          </w:p>
        </w:tc>
        <w:tc>
          <w:tcPr>
            <w:tcW w:w="2665" w:type="dxa"/>
          </w:tcPr>
          <w:p w14:paraId="35A02439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未达到一次扣10分</w:t>
            </w:r>
          </w:p>
        </w:tc>
      </w:tr>
      <w:tr w14:paraId="72D2B7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</w:tcPr>
          <w:p w14:paraId="643EBA79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207" w:type="dxa"/>
          </w:tcPr>
          <w:p w14:paraId="47AE8218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二级（严重故障）：关键部件或业务系统故障，性能受重大影响。响应时间5分钟，工作日10分钟/节假日1小时内到达现场，到达后4小时内解决。</w:t>
            </w:r>
          </w:p>
          <w:p w14:paraId="2AF43E33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665" w:type="dxa"/>
          </w:tcPr>
          <w:p w14:paraId="7781ECBB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未达到一次扣5分</w:t>
            </w:r>
          </w:p>
        </w:tc>
      </w:tr>
      <w:tr w14:paraId="428815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</w:tcPr>
          <w:p w14:paraId="16BCE9C1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207" w:type="dxa"/>
          </w:tcPr>
          <w:p w14:paraId="191C5069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三级（一般性故障）：除一、二级外的服务器硬件等故障。响应时间5分钟，工作日10分钟/节假日1小时内到达现场，到达后8小时内解决。</w:t>
            </w:r>
          </w:p>
          <w:p w14:paraId="7A4A285F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665" w:type="dxa"/>
          </w:tcPr>
          <w:p w14:paraId="756D0D53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未达到一次扣2分</w:t>
            </w:r>
          </w:p>
        </w:tc>
      </w:tr>
      <w:tr w14:paraId="1C6E49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</w:tcPr>
          <w:p w14:paraId="1C953256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事件报告提交</w:t>
            </w:r>
          </w:p>
        </w:tc>
        <w:tc>
          <w:tcPr>
            <w:tcW w:w="4207" w:type="dxa"/>
          </w:tcPr>
          <w:p w14:paraId="7C8B03F4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按照实际事件发生的情况核算，并于48小 时内提供相应的处置报告提供给甲方</w:t>
            </w:r>
          </w:p>
        </w:tc>
        <w:tc>
          <w:tcPr>
            <w:tcW w:w="2665" w:type="dxa"/>
          </w:tcPr>
          <w:p w14:paraId="00DCBE6E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按照事件情况核算，每少一次扣1分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；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48小时内未提供处置报告的，每超过24小时扣1分，</w:t>
            </w:r>
          </w:p>
        </w:tc>
      </w:tr>
      <w:tr w14:paraId="5D8BD7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</w:tcPr>
          <w:p w14:paraId="1333858B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定期巡检报告提交</w:t>
            </w:r>
          </w:p>
        </w:tc>
        <w:tc>
          <w:tcPr>
            <w:tcW w:w="4207" w:type="dxa"/>
          </w:tcPr>
          <w:p w14:paraId="2CA93833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提交巡检报告及问题整改方案，并进行相应整改，内容与合同内容一致</w:t>
            </w:r>
          </w:p>
        </w:tc>
        <w:tc>
          <w:tcPr>
            <w:tcW w:w="2665" w:type="dxa"/>
          </w:tcPr>
          <w:p w14:paraId="3D9A90B1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巡检完毕后10个工作日内提交巡检报告等，每延迟一日扣1分，</w:t>
            </w:r>
          </w:p>
        </w:tc>
      </w:tr>
      <w:tr w14:paraId="498819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</w:tcPr>
          <w:p w14:paraId="7BC13D40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服务态度</w:t>
            </w:r>
          </w:p>
        </w:tc>
        <w:tc>
          <w:tcPr>
            <w:tcW w:w="4207" w:type="dxa"/>
          </w:tcPr>
          <w:p w14:paraId="49427C0D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工作人员拖沓、敷衍、态度恶劣等影响工作的事项</w:t>
            </w:r>
          </w:p>
        </w:tc>
        <w:tc>
          <w:tcPr>
            <w:tcW w:w="2665" w:type="dxa"/>
          </w:tcPr>
          <w:p w14:paraId="5A96EE51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每出现一次扣2分，</w:t>
            </w:r>
          </w:p>
        </w:tc>
      </w:tr>
    </w:tbl>
    <w:p w14:paraId="4C827A88">
      <w:pPr>
        <w:spacing w:line="360" w:lineRule="auto"/>
        <w:ind w:firstLine="600"/>
        <w:rPr>
          <w:rFonts w:ascii="宋体" w:hAnsi="宋体" w:eastAsia="宋体" w:cs="宋体"/>
          <w:sz w:val="24"/>
          <w:szCs w:val="24"/>
        </w:rPr>
      </w:pPr>
    </w:p>
    <w:p w14:paraId="5AF800B6">
      <w:pPr>
        <w:spacing w:line="360" w:lineRule="auto"/>
        <w:ind w:firstLine="6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季度考核（25分）：重点考核季度巡检报告的质量与提交及时性。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4207"/>
        <w:gridCol w:w="2665"/>
      </w:tblGrid>
      <w:tr w14:paraId="1C4DA6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</w:tcPr>
          <w:p w14:paraId="22F4B922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类别</w:t>
            </w:r>
          </w:p>
        </w:tc>
        <w:tc>
          <w:tcPr>
            <w:tcW w:w="4207" w:type="dxa"/>
          </w:tcPr>
          <w:p w14:paraId="31F1E03B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要求</w:t>
            </w:r>
          </w:p>
        </w:tc>
        <w:tc>
          <w:tcPr>
            <w:tcW w:w="2665" w:type="dxa"/>
          </w:tcPr>
          <w:p w14:paraId="2B2FD87E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评判标准</w:t>
            </w:r>
          </w:p>
        </w:tc>
      </w:tr>
      <w:tr w14:paraId="003A70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6" w:hRule="atLeast"/>
        </w:trPr>
        <w:tc>
          <w:tcPr>
            <w:tcW w:w="1420" w:type="dxa"/>
          </w:tcPr>
          <w:p w14:paraId="72961AD4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巡检报告的质量与提交及时性</w:t>
            </w:r>
          </w:p>
        </w:tc>
        <w:tc>
          <w:tcPr>
            <w:tcW w:w="4207" w:type="dxa"/>
          </w:tcPr>
          <w:p w14:paraId="75C4504C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提交季度巡检报告及问题整改方案，并进行相应整改，内容与合同内容一致</w:t>
            </w:r>
          </w:p>
        </w:tc>
        <w:tc>
          <w:tcPr>
            <w:tcW w:w="2665" w:type="dxa"/>
          </w:tcPr>
          <w:p w14:paraId="70B22FA8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  <w:p w14:paraId="426E5B81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kern w:val="2"/>
                <w:sz w:val="24"/>
                <w:szCs w:val="24"/>
                <w:lang w:eastAsia="zh-CN"/>
              </w:rPr>
            </w:pPr>
          </w:p>
          <w:p w14:paraId="17A67341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巡检完毕后10个工作日内提交巡检报告等，每延迟一日扣1分，</w:t>
            </w:r>
          </w:p>
          <w:p w14:paraId="1014DC7F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</w:tr>
    </w:tbl>
    <w:p w14:paraId="6662371B">
      <w:pPr>
        <w:spacing w:line="360" w:lineRule="auto"/>
        <w:ind w:firstLine="600"/>
        <w:rPr>
          <w:rFonts w:ascii="宋体" w:hAnsi="宋体" w:eastAsia="宋体" w:cs="宋体"/>
          <w:sz w:val="24"/>
          <w:szCs w:val="24"/>
        </w:rPr>
      </w:pPr>
    </w:p>
    <w:p w14:paraId="62BDD26C">
      <w:pPr>
        <w:spacing w:line="360" w:lineRule="auto"/>
        <w:ind w:firstLine="6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年度专项考核（25分）：考核安全演练表现、重大活动保障、渗透测试完成情况、安全培训、创新协作等。</w:t>
      </w:r>
    </w:p>
    <w:p w14:paraId="1585C782">
      <w:pPr>
        <w:spacing w:line="360" w:lineRule="auto"/>
        <w:ind w:firstLine="600"/>
        <w:rPr>
          <w:rFonts w:ascii="宋体" w:hAnsi="宋体" w:eastAsia="宋体" w:cs="宋体"/>
          <w:sz w:val="24"/>
          <w:szCs w:val="24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4207"/>
        <w:gridCol w:w="2665"/>
      </w:tblGrid>
      <w:tr w14:paraId="76B11C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</w:tcPr>
          <w:p w14:paraId="26026D54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类别</w:t>
            </w:r>
          </w:p>
        </w:tc>
        <w:tc>
          <w:tcPr>
            <w:tcW w:w="4207" w:type="dxa"/>
          </w:tcPr>
          <w:p w14:paraId="482AB832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要求</w:t>
            </w:r>
          </w:p>
        </w:tc>
        <w:tc>
          <w:tcPr>
            <w:tcW w:w="2665" w:type="dxa"/>
          </w:tcPr>
          <w:p w14:paraId="4545667F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评判标准</w:t>
            </w:r>
          </w:p>
        </w:tc>
      </w:tr>
      <w:tr w14:paraId="0A892F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420" w:type="dxa"/>
          </w:tcPr>
          <w:p w14:paraId="1C764D2D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安全演练</w:t>
            </w:r>
          </w:p>
        </w:tc>
        <w:tc>
          <w:tcPr>
            <w:tcW w:w="4207" w:type="dxa"/>
          </w:tcPr>
          <w:p w14:paraId="20F4DC0D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在监管部门组织的攻防演练、网络安全应急实战演练过程中，保障的系统或网络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未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发生被攻破、数据泄露等问题，且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未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被相关监管部门通报漏洞或违规操作</w:t>
            </w:r>
          </w:p>
        </w:tc>
        <w:tc>
          <w:tcPr>
            <w:tcW w:w="2665" w:type="dxa"/>
          </w:tcPr>
          <w:p w14:paraId="1E467573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未达到一次扣2分</w:t>
            </w:r>
          </w:p>
        </w:tc>
      </w:tr>
      <w:tr w14:paraId="0264E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</w:tcPr>
          <w:p w14:paraId="422A0B6E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重大活动保障</w:t>
            </w:r>
          </w:p>
        </w:tc>
        <w:tc>
          <w:tcPr>
            <w:tcW w:w="4207" w:type="dxa"/>
          </w:tcPr>
          <w:p w14:paraId="77CDAC96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提前5个工作日提交保障预案，并经甲方确认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；发生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攻击、漏洞或数据泄漏事件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及时处理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；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提供保障期间人员安排表，15分钟内响应需求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；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保障结束后5个工作日内提交总结报告</w:t>
            </w:r>
          </w:p>
        </w:tc>
        <w:tc>
          <w:tcPr>
            <w:tcW w:w="2665" w:type="dxa"/>
          </w:tcPr>
          <w:p w14:paraId="252852B7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未达到一次扣5分</w:t>
            </w:r>
          </w:p>
        </w:tc>
      </w:tr>
      <w:tr w14:paraId="51316D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</w:tcPr>
          <w:p w14:paraId="504C2E53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渗透测试完成情况</w:t>
            </w:r>
          </w:p>
        </w:tc>
        <w:tc>
          <w:tcPr>
            <w:tcW w:w="4207" w:type="dxa"/>
          </w:tcPr>
          <w:p w14:paraId="1110E861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每年至少完成1次全面渗透测试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提供完整测试报告（含漏洞详情和修复建议）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对发现的高危漏洞完成整改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提供后续漏洞修复验证报告</w:t>
            </w:r>
          </w:p>
        </w:tc>
        <w:tc>
          <w:tcPr>
            <w:tcW w:w="2665" w:type="dxa"/>
          </w:tcPr>
          <w:p w14:paraId="46DB86C3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未达到一次扣5分</w:t>
            </w:r>
          </w:p>
        </w:tc>
      </w:tr>
      <w:tr w14:paraId="735370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</w:tcPr>
          <w:p w14:paraId="00432BA0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安全培训</w:t>
            </w:r>
          </w:p>
        </w:tc>
        <w:tc>
          <w:tcPr>
            <w:tcW w:w="4207" w:type="dxa"/>
          </w:tcPr>
          <w:p w14:paraId="616AEAA3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每年度组织一次安全培训服务并提供完整的培训材料</w:t>
            </w:r>
          </w:p>
        </w:tc>
        <w:tc>
          <w:tcPr>
            <w:tcW w:w="2665" w:type="dxa"/>
          </w:tcPr>
          <w:p w14:paraId="6E823ED3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未达到一次扣5分</w:t>
            </w:r>
          </w:p>
        </w:tc>
      </w:tr>
      <w:tr w14:paraId="6352B7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</w:tcPr>
          <w:p w14:paraId="75915B0F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创新协作</w:t>
            </w:r>
          </w:p>
        </w:tc>
        <w:tc>
          <w:tcPr>
            <w:tcW w:w="4207" w:type="dxa"/>
          </w:tcPr>
          <w:p w14:paraId="5F6C33E9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根据项目效益及获奖情况加 1-3分/个。</w:t>
            </w:r>
          </w:p>
        </w:tc>
        <w:tc>
          <w:tcPr>
            <w:tcW w:w="2665" w:type="dxa"/>
          </w:tcPr>
          <w:p w14:paraId="38CF9154">
            <w:pPr>
              <w:widowControl w:val="0"/>
              <w:spacing w:line="360" w:lineRule="auto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</w:tr>
    </w:tbl>
    <w:p w14:paraId="3630F10D">
      <w:pPr>
        <w:spacing w:line="360" w:lineRule="auto"/>
        <w:ind w:firstLine="600"/>
        <w:rPr>
          <w:rFonts w:ascii="宋体" w:hAnsi="宋体" w:eastAsia="宋体" w:cs="宋体"/>
          <w:sz w:val="24"/>
          <w:szCs w:val="24"/>
        </w:rPr>
      </w:pPr>
    </w:p>
    <w:p w14:paraId="717F378E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3.考核结果应用：</w:t>
      </w:r>
    </w:p>
    <w:p w14:paraId="46E71EC2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    年度综合得分 = 月度考核平均分 + 季度考核平均分 + 年度专项考核分。</w:t>
      </w:r>
    </w:p>
    <w:p w14:paraId="26F3C7EC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    </w:t>
      </w:r>
      <w:r>
        <w:rPr>
          <w:rFonts w:hint="eastAsia" w:ascii="宋体" w:hAnsi="宋体" w:eastAsia="宋体" w:cs="宋体"/>
          <w:sz w:val="24"/>
          <w:szCs w:val="24"/>
        </w:rPr>
        <w:t>得分≥90分：不扣费。</w:t>
      </w:r>
    </w:p>
    <w:p w14:paraId="7224CD4B">
      <w:pPr>
        <w:spacing w:line="360" w:lineRule="auto"/>
        <w:ind w:firstLine="482" w:firstLineChars="200"/>
        <w:rPr>
          <w:rFonts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86-89分：扣除合同总额的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15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%。</w:t>
      </w:r>
    </w:p>
    <w:p w14:paraId="5B1D9ED2">
      <w:pPr>
        <w:spacing w:line="360" w:lineRule="auto"/>
        <w:ind w:firstLine="482" w:firstLineChars="200"/>
        <w:rPr>
          <w:rFonts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80-85分：扣除合同总额的3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0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%。</w:t>
      </w:r>
    </w:p>
    <w:p w14:paraId="15F651B8">
      <w:pPr>
        <w:spacing w:line="360" w:lineRule="auto"/>
        <w:ind w:firstLine="482" w:firstLineChars="200"/>
        <w:rPr>
          <w:rFonts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得分&lt;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8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0分：采购人有权单方面终止合同。</w:t>
      </w:r>
    </w:p>
    <w:p w14:paraId="2C08FB7E">
      <w:pPr>
        <w:pStyle w:val="7"/>
      </w:pPr>
      <w:r>
        <w:rPr>
          <w:rFonts w:hint="eastAsia"/>
        </w:rPr>
        <w:t>此外，发生不配合工作、私接非指派工作、人员不符合要求且未及时更换等情况，将按次扣除当月合同款的50%或全部。</w:t>
      </w:r>
    </w:p>
    <w:p w14:paraId="7DFC1921">
      <w:r>
        <w:rPr>
          <w:rFonts w:ascii="宋体" w:hAnsi="宋体" w:eastAsia="宋体" w:cs="宋体"/>
          <w:b/>
          <w:bCs/>
          <w:spacing w:val="-2"/>
          <w:sz w:val="24"/>
          <w:szCs w:val="24"/>
          <w:lang w:eastAsia="zh-CN"/>
        </w:rPr>
        <w:t>注：以上</w:t>
      </w:r>
      <w:r>
        <w:rPr>
          <w:rFonts w:hint="eastAsia" w:ascii="宋体" w:hAnsi="宋体" w:eastAsia="宋体" w:cs="宋体"/>
          <w:b/>
          <w:bCs/>
          <w:spacing w:val="-2"/>
          <w:sz w:val="24"/>
          <w:szCs w:val="24"/>
          <w:lang w:eastAsia="zh-CN"/>
        </w:rPr>
        <w:t>采购要</w:t>
      </w:r>
      <w:r>
        <w:rPr>
          <w:rFonts w:ascii="宋体" w:hAnsi="宋体" w:eastAsia="宋体" w:cs="宋体"/>
          <w:b/>
          <w:bCs/>
          <w:spacing w:val="-2"/>
          <w:sz w:val="24"/>
          <w:szCs w:val="24"/>
          <w:lang w:eastAsia="zh-CN"/>
        </w:rPr>
        <w:t>求为</w:t>
      </w:r>
      <w:r>
        <w:rPr>
          <w:rFonts w:hint="eastAsia" w:ascii="宋体" w:hAnsi="宋体" w:eastAsia="宋体" w:cs="宋体"/>
          <w:b/>
          <w:bCs/>
          <w:spacing w:val="-2"/>
          <w:sz w:val="24"/>
          <w:szCs w:val="24"/>
          <w:lang w:eastAsia="zh-CN"/>
        </w:rPr>
        <w:t>实质性条款</w:t>
      </w:r>
      <w:r>
        <w:rPr>
          <w:rFonts w:ascii="宋体" w:hAnsi="宋体" w:eastAsia="宋体" w:cs="宋体"/>
          <w:b/>
          <w:bCs/>
          <w:spacing w:val="-2"/>
          <w:sz w:val="24"/>
          <w:szCs w:val="24"/>
          <w:lang w:eastAsia="zh-CN"/>
        </w:rPr>
        <w:t>必须满足项，否则作无效</w:t>
      </w:r>
      <w:r>
        <w:rPr>
          <w:rFonts w:hint="eastAsia" w:ascii="宋体" w:hAnsi="宋体" w:eastAsia="宋体" w:cs="宋体"/>
          <w:b/>
          <w:bCs/>
          <w:spacing w:val="-2"/>
          <w:sz w:val="24"/>
          <w:szCs w:val="24"/>
          <w:lang w:eastAsia="zh-CN"/>
        </w:rPr>
        <w:t>磋商响应文件处理</w:t>
      </w:r>
      <w:r>
        <w:rPr>
          <w:rFonts w:ascii="宋体" w:hAnsi="宋体" w:eastAsia="宋体" w:cs="宋体"/>
          <w:b/>
          <w:bCs/>
          <w:spacing w:val="-3"/>
          <w:sz w:val="24"/>
          <w:szCs w:val="24"/>
          <w:lang w:eastAsia="zh-CN"/>
        </w:rPr>
        <w:t>。</w:t>
      </w:r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wNTM5NzYwMDRjMzkwZTVkZjY2ODkwMGIxNGU0OTUifQ=="/>
  </w:docVars>
  <w:rsids>
    <w:rsidRoot w:val="0E492DA9"/>
    <w:rsid w:val="0E492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List Paragraph"/>
    <w:basedOn w:val="1"/>
    <w:autoRedefine/>
    <w:qFormat/>
    <w:uiPriority w:val="0"/>
    <w:pPr>
      <w:widowControl w:val="0"/>
      <w:kinsoku/>
      <w:autoSpaceDE/>
      <w:autoSpaceDN/>
      <w:adjustRightInd/>
      <w:snapToGrid/>
      <w:spacing w:line="360" w:lineRule="auto"/>
      <w:ind w:firstLine="480" w:firstLineChars="200"/>
      <w:jc w:val="both"/>
      <w:textAlignment w:val="auto"/>
    </w:pPr>
    <w:rPr>
      <w:rFonts w:ascii="宋体" w:hAnsi="宋体" w:eastAsia="宋体" w:cs="宋体"/>
      <w:snapToGrid/>
      <w:color w:val="auto"/>
      <w:kern w:val="2"/>
      <w:sz w:val="24"/>
      <w:szCs w:val="24"/>
      <w:lang w:eastAsia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2026-04-30T03:58:00Z</dcterms:created>
  <dc:creator>Special___Ying</dc:creator>
  <cp:lastModifiedBy>Special___Ying</cp:lastModifiedBy>
  <dcterms:modified xsi:type="dcterms:W3CDTF">2026-04-30T03:59:24Z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C88F588FA4F84D92870236BD5F3F8019_11</vt:lpwstr>
  </property>
</Properties>
</file>