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EC529F">
      <w:pPr>
        <w:pageBreakBefore w:val="0"/>
        <w:widowControl w:val="0"/>
        <w:wordWrap/>
        <w:overflowPunct/>
        <w:topLinePunct w:val="0"/>
        <w:bidi w:val="0"/>
        <w:spacing w:before="47" w:line="360" w:lineRule="auto"/>
        <w:jc w:val="center"/>
        <w:outlineLvl w:val="1"/>
        <w:rPr>
          <w:color w:val="auto"/>
          <w:spacing w:val="0"/>
          <w:w w:val="100"/>
          <w:position w:val="0"/>
        </w:rPr>
      </w:pPr>
      <w:bookmarkStart w:id="0" w:name="_Toc1250"/>
      <w:r>
        <w:rPr>
          <w:rFonts w:ascii="宋体" w:hAnsi="宋体" w:eastAsia="宋体" w:cs="宋体"/>
          <w:color w:val="auto"/>
          <w:spacing w:val="0"/>
          <w:w w:val="100"/>
          <w:position w:val="0"/>
          <w:sz w:val="24"/>
          <w:szCs w:val="24"/>
          <w14:textOutline w14:w="4356" w14:cap="sq" w14:cmpd="sng" w14:algn="ctr">
            <w14:solidFill>
              <w14:srgbClr w14:val="000000"/>
            </w14:solidFill>
            <w14:prstDash w14:val="solid"/>
            <w14:bevel/>
          </w14:textOutline>
        </w:rPr>
        <w:t>采购需求</w:t>
      </w:r>
      <w:bookmarkEnd w:id="0"/>
    </w:p>
    <w:p w14:paraId="04C894BB">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★(一) 投标人须提供全新、原装，并符合质量标准的货物。</w:t>
      </w:r>
    </w:p>
    <w:p w14:paraId="0E2B7967">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★(二) 投标产品属于国家规定“三包”范围的，其产品质量保证期不得低于“三包”规定。投标人的质量保证期承诺优于国家“三包”规定的，按投标人实际承诺执行。</w:t>
      </w:r>
    </w:p>
    <w:p w14:paraId="42F164DC">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★(三)货物如为某单位的专利或特有产品，请投标人在答疑期内告知采购代理机构。</w:t>
      </w:r>
    </w:p>
    <w:p w14:paraId="1E5A0217">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★(四) 所有货物的知识产权问题，由各投标人自行负责。</w:t>
      </w:r>
    </w:p>
    <w:p w14:paraId="4A5937FB">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★(五)本招标文件提出的是最低限度的要求，投标人的方案应达到或优于本招标文件要求，且符合国家有关标准和规范要求。</w:t>
      </w:r>
    </w:p>
    <w:p w14:paraId="3DFA69EB">
      <w:pPr>
        <w:pStyle w:val="3"/>
        <w:spacing w:line="360" w:lineRule="auto"/>
        <w:ind w:firstLine="480" w:firstLineChars="200"/>
        <w:rPr>
          <w:rFonts w:ascii="宋体" w:hAnsi="宋体" w:eastAsia="宋体" w:cs="宋体"/>
          <w:snapToGrid w:val="0"/>
          <w:color w:val="auto"/>
          <w:spacing w:val="0"/>
          <w:w w:val="100"/>
          <w:position w:val="0"/>
          <w:sz w:val="24"/>
          <w:szCs w:val="24"/>
          <w:lang w:val="en-US" w:eastAsia="zh-CN" w:bidi="ar-SA"/>
        </w:rPr>
      </w:pPr>
      <w:r>
        <w:rPr>
          <w:rFonts w:hint="eastAsia" w:ascii="宋体" w:hAnsi="宋体" w:eastAsia="宋体" w:cs="宋体"/>
          <w:snapToGrid w:val="0"/>
          <w:color w:val="auto"/>
          <w:spacing w:val="0"/>
          <w:w w:val="100"/>
          <w:position w:val="0"/>
          <w:sz w:val="24"/>
          <w:szCs w:val="24"/>
          <w:lang w:val="en-US" w:eastAsia="zh-CN" w:bidi="ar-SA"/>
        </w:rPr>
        <w:t>★(六) 本项目支持中、小、微企业发展线上融资，将按照“赣州市财政局赣州市人民政府金融工作办公室人民银行赣州市中心支行印发《关于深入推进赣州市政府采购合同线上融资工作的通知》”。</w:t>
      </w:r>
    </w:p>
    <w:p w14:paraId="5380EB6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lang w:val="en-US" w:eastAsia="zh-CN"/>
        </w:rPr>
      </w:pPr>
      <w:r>
        <w:rPr>
          <w:rFonts w:hint="eastAsia" w:ascii="宋体" w:hAnsi="宋体" w:eastAsia="宋体" w:cs="宋体"/>
          <w:snapToGrid w:val="0"/>
          <w:color w:val="auto"/>
          <w:spacing w:val="0"/>
          <w:w w:val="100"/>
          <w:position w:val="0"/>
          <w:sz w:val="24"/>
          <w:szCs w:val="24"/>
          <w:lang w:val="en-US" w:eastAsia="zh-CN" w:bidi="ar-SA"/>
        </w:rPr>
        <w:t>★（七）技术规格及要求：</w:t>
      </w:r>
    </w:p>
    <w:p w14:paraId="72906107">
      <w:pPr>
        <w:keepNext w:val="0"/>
        <w:keepLines w:val="0"/>
        <w:pageBreakBefore w:val="0"/>
        <w:numPr>
          <w:ilvl w:val="0"/>
          <w:numId w:val="1"/>
        </w:numPr>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产品用途：用于人体中枢神经和外周神经的刺激，评定。</w:t>
      </w:r>
    </w:p>
    <w:p w14:paraId="1478647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2. 最大磁感应强度≥6T, 连续可调。</w:t>
      </w:r>
    </w:p>
    <w:p w14:paraId="45ED53C5">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3. 输出频率：0-60Hz可调。</w:t>
      </w:r>
    </w:p>
    <w:p w14:paraId="4966EC8F">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4. 脉冲宽度：340μs±10%。</w:t>
      </w:r>
    </w:p>
    <w:p w14:paraId="19886914">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5. 磁感应强度最大变化率至少包含40kT/S-70kT/S。</w:t>
      </w:r>
    </w:p>
    <w:p w14:paraId="2E29B7E6">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6. 脉冲上升时间：至少包含30us-60us。</w:t>
      </w:r>
    </w:p>
    <w:p w14:paraId="40D222A0">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7. 冷却系统：设备具备冷却系统。</w:t>
      </w:r>
    </w:p>
    <w:p w14:paraId="062A928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8. 具备安全保障系统</w:t>
      </w:r>
    </w:p>
    <w:p w14:paraId="4B157707">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8.1刺激线圈温度≥41℃，停止磁场输出并显示故障原因；</w:t>
      </w:r>
    </w:p>
    <w:p w14:paraId="3CE63FD9">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9. 刺激模式有单刺激模式sTMS，重复刺激模式rTMS，复合刺激模式(TBS)，多种刺激模式自由调整。</w:t>
      </w:r>
    </w:p>
    <w:p w14:paraId="3360F90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10.刺激线圈功能</w:t>
      </w:r>
    </w:p>
    <w:p w14:paraId="23F477A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10.1在测阈值时，线圈上有控制按键，可调节强度和触发刺激，快速检测运动阈值；</w:t>
      </w:r>
    </w:p>
    <w:p w14:paraId="553EF07E">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10.2具备开机状态下热插拔功能；</w:t>
      </w:r>
    </w:p>
    <w:p w14:paraId="00B09D9A">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10.3具有电动吸液和电动排液功能，方便机箱冷却液的添加和更换。</w:t>
      </w:r>
    </w:p>
    <w:p w14:paraId="3C9B24B2">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10.4具备选配锥形线圈、蝶形线圈、儿童线圈、伪刺激线圈等；</w:t>
      </w:r>
    </w:p>
    <w:p w14:paraId="3C7889C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11.</w:t>
      </w:r>
      <w:r>
        <w:rPr>
          <w:rFonts w:hint="default" w:ascii="宋体" w:hAnsi="宋体" w:eastAsia="宋体" w:cs="宋体"/>
          <w:sz w:val="24"/>
          <w:szCs w:val="32"/>
          <w:highlight w:val="none"/>
          <w:lang w:val="en-US" w:eastAsia="zh-CN"/>
        </w:rPr>
        <w:t>一体式全包围可推移整机结构，防止治疗或清洁时液体直接接触到机箱造成设备短路等风险。非堆叠结构，非分体式机箱设计或可拆卸单机箱设计。</w:t>
      </w:r>
    </w:p>
    <w:p w14:paraId="3915D9C6">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12.人机交互管理与控制系统功能；</w:t>
      </w:r>
    </w:p>
    <w:p w14:paraId="5AE0C53D">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12.1≥19英寸触摸式操作屏；</w:t>
      </w:r>
    </w:p>
    <w:p w14:paraId="56B699B2">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12.2设置刺激强度、刺激频率、刺激时间、间歇时间、工作时间、重复周期；</w:t>
      </w:r>
    </w:p>
    <w:p w14:paraId="013B6C94">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12.3包含专家电子处方，并自带大脑解剖定位图及详细文字描述，帮助操作人员定位；</w:t>
      </w:r>
    </w:p>
    <w:p w14:paraId="105319B8">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12.4 数据库管理功能，病例管理(可实现存储、查询、分析及管理)、打印功能(可自定义编辑，自动化输出)。</w:t>
      </w:r>
    </w:p>
    <w:p w14:paraId="020B407F">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12.5设备操作台带有一键急停物理按键；</w:t>
      </w:r>
    </w:p>
    <w:p w14:paraId="2E993691">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13.运动诱发电位监测模块技术指标</w:t>
      </w:r>
    </w:p>
    <w:p w14:paraId="4EC5D1C9">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13.1通道数：≥2通道：</w:t>
      </w:r>
    </w:p>
    <w:p w14:paraId="2423A05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13.2采样率：≥100KHz；</w:t>
      </w:r>
    </w:p>
    <w:p w14:paraId="780AB8AB">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sz w:val="24"/>
          <w:szCs w:val="32"/>
          <w:highlight w:val="none"/>
          <w:lang w:val="en-US" w:eastAsia="zh-CN"/>
        </w:rPr>
      </w:pPr>
      <w:r>
        <w:rPr>
          <w:rFonts w:hint="eastAsia" w:ascii="宋体" w:hAnsi="宋体" w:eastAsia="宋体" w:cs="宋体"/>
          <w:sz w:val="24"/>
          <w:szCs w:val="32"/>
          <w:highlight w:val="none"/>
          <w:lang w:val="en-US" w:eastAsia="zh-CN"/>
        </w:rPr>
        <w:t>13.3频率测量范围：1Hz-500Hz</w:t>
      </w:r>
    </w:p>
    <w:p w14:paraId="6A9AA0AC">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13.4传输方式：无线传输或有线传输。</w:t>
      </w:r>
    </w:p>
    <w:p w14:paraId="0DD358DD">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14.设备使用年限：≥10年</w:t>
      </w:r>
    </w:p>
    <w:p w14:paraId="714409B1">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15.设备功耗≥3500VA</w:t>
      </w:r>
    </w:p>
    <w:p w14:paraId="640BE424">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16.</w:t>
      </w:r>
      <w:r>
        <w:rPr>
          <w:rFonts w:hint="default" w:ascii="宋体" w:hAnsi="宋体" w:eastAsia="宋体" w:cs="宋体"/>
          <w:sz w:val="24"/>
          <w:szCs w:val="32"/>
          <w:lang w:val="en-US" w:eastAsia="zh-CN"/>
        </w:rPr>
        <w:t>产品注册证的适应范围包含精神科</w:t>
      </w:r>
      <w:r>
        <w:rPr>
          <w:rFonts w:hint="eastAsia" w:ascii="宋体" w:hAnsi="宋体" w:eastAsia="宋体" w:cs="宋体"/>
          <w:sz w:val="24"/>
          <w:szCs w:val="32"/>
          <w:lang w:val="en-US" w:eastAsia="zh-CN"/>
        </w:rPr>
        <w:t>；</w:t>
      </w:r>
    </w:p>
    <w:p w14:paraId="05D5E6CD">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default" w:ascii="宋体" w:hAnsi="宋体" w:eastAsia="宋体" w:cs="宋体"/>
          <w:sz w:val="24"/>
          <w:szCs w:val="32"/>
          <w:lang w:val="en-US" w:eastAsia="zh-CN"/>
        </w:rPr>
      </w:pPr>
      <w:r>
        <w:rPr>
          <w:rFonts w:hint="eastAsia" w:ascii="宋体" w:hAnsi="宋体" w:eastAsia="宋体" w:cs="宋体"/>
          <w:sz w:val="24"/>
          <w:szCs w:val="32"/>
          <w:lang w:val="en-US" w:eastAsia="zh-CN"/>
        </w:rPr>
        <w:t>17.提供2次临床操作人员的培训，质保期内每年提供2次维护保养；</w:t>
      </w:r>
    </w:p>
    <w:p w14:paraId="70757C7C">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sz w:val="24"/>
          <w:szCs w:val="32"/>
          <w:lang w:val="en-US" w:eastAsia="zh-CN"/>
        </w:rPr>
      </w:pPr>
      <w:r>
        <w:rPr>
          <w:rFonts w:hint="eastAsia" w:ascii="宋体" w:hAnsi="宋体" w:eastAsia="宋体" w:cs="宋体"/>
          <w:sz w:val="24"/>
          <w:szCs w:val="32"/>
          <w:lang w:val="en-US" w:eastAsia="zh-CN"/>
        </w:rPr>
        <w:t>18.单台设备的配置要求（原厂标配）</w:t>
      </w:r>
    </w:p>
    <w:p w14:paraId="51204DD9">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(1)</w:t>
      </w:r>
      <w:r>
        <w:rPr>
          <w:rFonts w:hint="eastAsia" w:ascii="宋体" w:hAnsi="宋体" w:eastAsia="宋体" w:cs="宋体"/>
          <w:sz w:val="24"/>
          <w:szCs w:val="32"/>
          <w:highlight w:val="none"/>
          <w:lang w:val="en-US" w:eastAsia="zh-CN"/>
        </w:rPr>
        <w:t>磁刺激仪主机1套：</w:t>
      </w:r>
    </w:p>
    <w:p w14:paraId="2489E60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(2)</w:t>
      </w:r>
      <w:r>
        <w:rPr>
          <w:rFonts w:hint="eastAsia" w:ascii="宋体" w:hAnsi="宋体" w:eastAsia="宋体" w:cs="宋体"/>
          <w:sz w:val="24"/>
          <w:szCs w:val="32"/>
          <w:highlight w:val="none"/>
          <w:lang w:val="en-US" w:eastAsia="zh-CN"/>
        </w:rPr>
        <w:t>定位帽5个：</w:t>
      </w:r>
    </w:p>
    <w:p w14:paraId="06714188">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(3)</w:t>
      </w:r>
      <w:r>
        <w:rPr>
          <w:rFonts w:hint="eastAsia" w:ascii="宋体" w:hAnsi="宋体" w:eastAsia="宋体" w:cs="宋体"/>
          <w:sz w:val="24"/>
          <w:szCs w:val="32"/>
          <w:highlight w:val="none"/>
          <w:lang w:val="en-US" w:eastAsia="zh-CN"/>
        </w:rPr>
        <w:t>刺激线圈1副：(8字形或圆形)</w:t>
      </w:r>
    </w:p>
    <w:p w14:paraId="31D4566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(4)</w:t>
      </w:r>
      <w:r>
        <w:rPr>
          <w:rFonts w:hint="eastAsia" w:ascii="宋体" w:hAnsi="宋体" w:eastAsia="宋体" w:cs="宋体"/>
          <w:sz w:val="24"/>
          <w:szCs w:val="32"/>
          <w:highlight w:val="none"/>
          <w:lang w:val="en-US" w:eastAsia="zh-CN"/>
        </w:rPr>
        <w:t>MEP 模块1套；</w:t>
      </w:r>
    </w:p>
    <w:p w14:paraId="1389C41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(5)</w:t>
      </w:r>
      <w:r>
        <w:rPr>
          <w:rFonts w:hint="eastAsia" w:ascii="宋体" w:hAnsi="宋体" w:eastAsia="宋体" w:cs="宋体"/>
          <w:sz w:val="24"/>
          <w:szCs w:val="32"/>
          <w:highlight w:val="none"/>
          <w:lang w:val="en-US" w:eastAsia="zh-CN"/>
        </w:rPr>
        <w:t>磁刺激仪控制软件1套。</w:t>
      </w:r>
    </w:p>
    <w:p w14:paraId="0696FBF1">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(6)</w:t>
      </w:r>
      <w:r>
        <w:rPr>
          <w:rFonts w:hint="eastAsia" w:ascii="宋体" w:hAnsi="宋体" w:eastAsia="宋体" w:cs="宋体"/>
          <w:sz w:val="24"/>
          <w:szCs w:val="32"/>
          <w:highlight w:val="none"/>
          <w:lang w:val="en-US" w:eastAsia="zh-CN"/>
        </w:rPr>
        <w:t>打印机1台</w:t>
      </w:r>
    </w:p>
    <w:p w14:paraId="06D7FF35">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600" w:firstLineChars="250"/>
        <w:jc w:val="both"/>
        <w:textAlignment w:val="baseline"/>
        <w:rPr>
          <w:rFonts w:hint="eastAsia" w:ascii="宋体" w:hAnsi="宋体" w:eastAsia="宋体" w:cs="宋体"/>
          <w:sz w:val="24"/>
          <w:szCs w:val="32"/>
          <w:highlight w:val="none"/>
          <w:lang w:val="en-US" w:eastAsia="zh-CN"/>
        </w:rPr>
      </w:pPr>
      <w:r>
        <w:rPr>
          <w:rFonts w:hint="default" w:ascii="宋体" w:hAnsi="宋体" w:eastAsia="宋体" w:cs="宋体"/>
          <w:snapToGrid w:val="0"/>
          <w:color w:val="000000"/>
          <w:sz w:val="24"/>
          <w:szCs w:val="32"/>
          <w:lang w:val="en-US" w:eastAsia="zh-CN" w:bidi="ar-SA"/>
        </w:rPr>
        <w:t>(7)</w:t>
      </w:r>
      <w:r>
        <w:rPr>
          <w:rFonts w:hint="eastAsia" w:ascii="宋体" w:hAnsi="宋体" w:eastAsia="宋体" w:cs="宋体"/>
          <w:sz w:val="24"/>
          <w:szCs w:val="32"/>
          <w:highlight w:val="none"/>
          <w:lang w:val="en-US" w:eastAsia="zh-CN"/>
        </w:rPr>
        <w:t>舒适座椅1把</w:t>
      </w:r>
    </w:p>
    <w:p w14:paraId="0B3E330F">
      <w:pPr>
        <w:autoSpaceDE w:val="0"/>
        <w:autoSpaceDN w:val="0"/>
        <w:spacing w:line="360" w:lineRule="auto"/>
        <w:ind w:firstLine="446" w:firstLineChars="200"/>
        <w:rPr>
          <w:rFonts w:hint="eastAsia" w:ascii="宋体" w:hAnsi="宋体" w:eastAsia="宋体" w:cs="Times New Roman"/>
          <w:b/>
          <w:bCs/>
          <w:snapToGrid w:val="0"/>
          <w:color w:val="auto"/>
          <w:spacing w:val="-9"/>
          <w:kern w:val="0"/>
          <w:sz w:val="28"/>
          <w:szCs w:val="28"/>
          <w:highlight w:val="none"/>
          <w:lang w:val="en-US" w:eastAsia="zh-CN" w:bidi="ar-SA"/>
        </w:rPr>
      </w:pPr>
      <w:r>
        <w:rPr>
          <w:rFonts w:hint="eastAsia" w:ascii="宋体" w:hAnsi="宋体" w:eastAsia="宋体" w:cs="Times New Roman"/>
          <w:b/>
          <w:bCs/>
          <w:snapToGrid w:val="0"/>
          <w:color w:val="auto"/>
          <w:spacing w:val="-9"/>
          <w:kern w:val="0"/>
          <w:sz w:val="24"/>
          <w:szCs w:val="24"/>
          <w:highlight w:val="none"/>
          <w:lang w:val="en-US" w:eastAsia="zh-CN" w:bidi="ar-SA"/>
        </w:rPr>
        <w:t>注：以上采购项目需求中技术要求属于不允许偏离的实质性条款。投标文件未完全满足采购文件中技术要求的实质性条款或指标，视为无效投标</w:t>
      </w:r>
      <w:r>
        <w:rPr>
          <w:rFonts w:hint="eastAsia" w:ascii="宋体" w:hAnsi="宋体" w:eastAsia="宋体" w:cs="Times New Roman"/>
          <w:b/>
          <w:bCs/>
          <w:snapToGrid w:val="0"/>
          <w:color w:val="auto"/>
          <w:spacing w:val="-9"/>
          <w:kern w:val="0"/>
          <w:sz w:val="28"/>
          <w:szCs w:val="28"/>
          <w:highlight w:val="none"/>
          <w:lang w:val="en-US" w:eastAsia="zh-CN" w:bidi="ar-SA"/>
        </w:rPr>
        <w:t>。</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98349E"/>
    <w:multiLevelType w:val="singleLevel"/>
    <w:tmpl w:val="7198349E"/>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734AEC"/>
    <w:rsid w:val="0A734A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2026-06-08T02:37:00Z</dcterms:created>
  <dc:creator>Administrator</dc:creator>
  <cp:lastModifiedBy>Administrator</cp:lastModifiedBy>
  <dcterms:modified xsi:type="dcterms:W3CDTF">2026-06-08T02:38:17Z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00ED5B1C273D43AD9BA49FCC5B3FDF35_11</vt:lpwstr>
  </property>
  <property fmtid="{D5CDD505-2E9C-101B-9397-08002B2CF9AE}" pid="4" name="KSOTemplateDocerSaveRecord">
    <vt:lpwstr>eyJoZGlkIjoiYzlkNDUzNzAwZGEyNGMxMjNhMzIyOTkzZjU5MzhjYWIiLCJ1c2VySWQiOiIxNzYyOTg2ODg1In0=</vt:lpwstr>
  </property>
</Properties>
</file>