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F7267">
      <w:pPr>
        <w:pageBreakBefore w:val="0"/>
        <w:widowControl w:val="0"/>
        <w:wordWrap/>
        <w:overflowPunct/>
        <w:topLinePunct w:val="0"/>
        <w:bidi w:val="0"/>
        <w:spacing w:line="242" w:lineRule="auto"/>
        <w:rPr>
          <w:rFonts w:hint="eastAsia" w:ascii="宋体" w:hAnsi="宋体" w:eastAsia="宋体" w:cs="宋体"/>
          <w:color w:val="auto"/>
          <w:spacing w:val="0"/>
          <w:w w:val="100"/>
          <w:position w:val="0"/>
          <w:highlight w:val="none"/>
          <w:lang w:val="en-US" w:eastAsia="zh-CN"/>
        </w:rPr>
      </w:pPr>
      <w:r>
        <w:rPr>
          <w:rFonts w:hint="eastAsia" w:ascii="宋体" w:hAnsi="宋体" w:eastAsia="宋体" w:cs="宋体"/>
          <w:color w:val="auto"/>
          <w:spacing w:val="0"/>
          <w:w w:val="100"/>
          <w:position w:val="0"/>
          <w:highlight w:val="none"/>
          <w:lang w:val="en-US" w:eastAsia="zh-CN"/>
        </w:rPr>
        <w:t xml:space="preserve"> </w:t>
      </w:r>
    </w:p>
    <w:p w14:paraId="37176CC3">
      <w:pPr>
        <w:pageBreakBefore w:val="0"/>
        <w:widowControl w:val="0"/>
        <w:wordWrap/>
        <w:overflowPunct/>
        <w:topLinePunct w:val="0"/>
        <w:bidi w:val="0"/>
        <w:spacing w:line="242" w:lineRule="auto"/>
        <w:rPr>
          <w:rFonts w:hint="eastAsia" w:ascii="宋体" w:hAnsi="宋体" w:eastAsia="宋体" w:cs="宋体"/>
          <w:color w:val="auto"/>
          <w:spacing w:val="0"/>
          <w:w w:val="100"/>
          <w:position w:val="0"/>
          <w:highlight w:val="none"/>
        </w:rPr>
      </w:pPr>
    </w:p>
    <w:p w14:paraId="504526AB">
      <w:pPr>
        <w:pageBreakBefore w:val="0"/>
        <w:widowControl w:val="0"/>
        <w:wordWrap/>
        <w:overflowPunct/>
        <w:topLinePunct w:val="0"/>
        <w:bidi w:val="0"/>
        <w:spacing w:line="242" w:lineRule="auto"/>
        <w:rPr>
          <w:rFonts w:hint="eastAsia" w:ascii="宋体" w:hAnsi="宋体" w:eastAsia="宋体" w:cs="宋体"/>
          <w:color w:val="auto"/>
          <w:spacing w:val="0"/>
          <w:w w:val="100"/>
          <w:position w:val="0"/>
          <w:highlight w:val="none"/>
        </w:rPr>
      </w:pPr>
    </w:p>
    <w:p w14:paraId="5CCD94F4">
      <w:pPr>
        <w:pageBreakBefore w:val="0"/>
        <w:widowControl w:val="0"/>
        <w:wordWrap/>
        <w:overflowPunct/>
        <w:topLinePunct w:val="0"/>
        <w:bidi w:val="0"/>
        <w:spacing w:line="243" w:lineRule="auto"/>
        <w:rPr>
          <w:rFonts w:hint="eastAsia" w:ascii="宋体" w:hAnsi="宋体" w:eastAsia="宋体" w:cs="宋体"/>
          <w:color w:val="auto"/>
          <w:spacing w:val="0"/>
          <w:w w:val="100"/>
          <w:position w:val="0"/>
          <w:highlight w:val="none"/>
        </w:rPr>
      </w:pPr>
    </w:p>
    <w:p w14:paraId="6522A09A">
      <w:pPr>
        <w:pageBreakBefore w:val="0"/>
        <w:widowControl w:val="0"/>
        <w:wordWrap/>
        <w:overflowPunct/>
        <w:topLinePunct w:val="0"/>
        <w:bidi w:val="0"/>
        <w:spacing w:line="243" w:lineRule="auto"/>
        <w:rPr>
          <w:rFonts w:hint="eastAsia" w:ascii="宋体" w:hAnsi="宋体" w:eastAsia="宋体" w:cs="宋体"/>
          <w:color w:val="auto"/>
          <w:spacing w:val="0"/>
          <w:w w:val="100"/>
          <w:position w:val="0"/>
          <w:highlight w:val="none"/>
        </w:rPr>
      </w:pPr>
    </w:p>
    <w:p w14:paraId="209DA952">
      <w:pPr>
        <w:pStyle w:val="7"/>
        <w:pageBreakBefore w:val="0"/>
        <w:widowControl w:val="0"/>
        <w:wordWrap/>
        <w:overflowPunct/>
        <w:topLinePunct w:val="0"/>
        <w:bidi w:val="0"/>
        <w:rPr>
          <w:rFonts w:hint="eastAsia" w:ascii="宋体" w:hAnsi="宋体" w:eastAsia="宋体" w:cs="宋体"/>
          <w:color w:val="auto"/>
          <w:spacing w:val="0"/>
          <w:w w:val="100"/>
          <w:position w:val="0"/>
          <w:highlight w:val="none"/>
        </w:rPr>
      </w:pPr>
    </w:p>
    <w:p w14:paraId="5AE34606">
      <w:pPr>
        <w:pStyle w:val="7"/>
        <w:pageBreakBefore w:val="0"/>
        <w:widowControl w:val="0"/>
        <w:wordWrap/>
        <w:overflowPunct/>
        <w:topLinePunct w:val="0"/>
        <w:bidi w:val="0"/>
        <w:rPr>
          <w:rFonts w:hint="eastAsia" w:ascii="宋体" w:hAnsi="宋体" w:eastAsia="宋体" w:cs="宋体"/>
          <w:color w:val="auto"/>
          <w:spacing w:val="0"/>
          <w:w w:val="100"/>
          <w:position w:val="0"/>
          <w:highlight w:val="none"/>
        </w:rPr>
      </w:pPr>
    </w:p>
    <w:p w14:paraId="45E28581">
      <w:pPr>
        <w:pStyle w:val="7"/>
        <w:pageBreakBefore w:val="0"/>
        <w:widowControl w:val="0"/>
        <w:wordWrap/>
        <w:overflowPunct/>
        <w:topLinePunct w:val="0"/>
        <w:bidi w:val="0"/>
        <w:rPr>
          <w:rFonts w:hint="eastAsia" w:ascii="宋体" w:hAnsi="宋体" w:eastAsia="宋体" w:cs="宋体"/>
          <w:color w:val="auto"/>
          <w:spacing w:val="0"/>
          <w:w w:val="100"/>
          <w:position w:val="0"/>
          <w:highlight w:val="none"/>
        </w:rPr>
      </w:pPr>
    </w:p>
    <w:p w14:paraId="18C00533">
      <w:pPr>
        <w:pageBreakBefore w:val="0"/>
        <w:widowControl w:val="0"/>
        <w:wordWrap/>
        <w:overflowPunct/>
        <w:topLinePunct w:val="0"/>
        <w:bidi w:val="0"/>
        <w:spacing w:before="270" w:line="221" w:lineRule="auto"/>
        <w:jc w:val="center"/>
        <w:outlineLvl w:val="0"/>
        <w:rPr>
          <w:rFonts w:hint="eastAsia" w:ascii="宋体" w:hAnsi="宋体" w:eastAsia="宋体" w:cs="宋体"/>
          <w:b/>
          <w:bCs/>
          <w:color w:val="auto"/>
          <w:spacing w:val="0"/>
          <w:w w:val="100"/>
          <w:position w:val="0"/>
          <w:sz w:val="56"/>
          <w:szCs w:val="56"/>
          <w:highlight w:val="none"/>
          <w:lang w:eastAsia="zh-CN"/>
        </w:rPr>
      </w:pPr>
      <w:bookmarkStart w:id="0" w:name="_Toc32278"/>
      <w:r>
        <w:rPr>
          <w:rFonts w:hint="eastAsia" w:ascii="宋体" w:hAnsi="宋体" w:eastAsia="宋体" w:cs="宋体"/>
          <w:b/>
          <w:bCs/>
          <w:color w:val="auto"/>
          <w:spacing w:val="0"/>
          <w:w w:val="100"/>
          <w:position w:val="0"/>
          <w:sz w:val="56"/>
          <w:szCs w:val="56"/>
          <w:highlight w:val="none"/>
          <w:lang w:eastAsia="zh-CN"/>
        </w:rPr>
        <w:t>江西省政府采购公开招标文件</w:t>
      </w:r>
      <w:bookmarkEnd w:id="0"/>
    </w:p>
    <w:p w14:paraId="20DC2032">
      <w:pPr>
        <w:pageBreakBefore w:val="0"/>
        <w:widowControl w:val="0"/>
        <w:wordWrap/>
        <w:overflowPunct/>
        <w:topLinePunct w:val="0"/>
        <w:bidi w:val="0"/>
        <w:spacing w:line="308" w:lineRule="auto"/>
        <w:rPr>
          <w:rFonts w:hint="eastAsia" w:ascii="宋体" w:hAnsi="宋体" w:eastAsia="宋体" w:cs="宋体"/>
          <w:color w:val="auto"/>
          <w:spacing w:val="0"/>
          <w:w w:val="100"/>
          <w:position w:val="0"/>
          <w:highlight w:val="none"/>
          <w:lang w:eastAsia="zh-CN"/>
        </w:rPr>
      </w:pPr>
    </w:p>
    <w:p w14:paraId="2717918C">
      <w:pPr>
        <w:pageBreakBefore w:val="0"/>
        <w:widowControl w:val="0"/>
        <w:wordWrap/>
        <w:overflowPunct/>
        <w:topLinePunct w:val="0"/>
        <w:bidi w:val="0"/>
        <w:spacing w:line="308" w:lineRule="auto"/>
        <w:rPr>
          <w:rFonts w:hint="eastAsia" w:ascii="宋体" w:hAnsi="宋体" w:eastAsia="宋体" w:cs="宋体"/>
          <w:color w:val="auto"/>
          <w:spacing w:val="0"/>
          <w:w w:val="100"/>
          <w:position w:val="0"/>
          <w:highlight w:val="none"/>
          <w:lang w:eastAsia="zh-CN"/>
        </w:rPr>
      </w:pPr>
    </w:p>
    <w:p w14:paraId="6231C77D">
      <w:pPr>
        <w:pageBreakBefore w:val="0"/>
        <w:widowControl w:val="0"/>
        <w:wordWrap/>
        <w:overflowPunct/>
        <w:topLinePunct w:val="0"/>
        <w:bidi w:val="0"/>
        <w:spacing w:line="308" w:lineRule="auto"/>
        <w:rPr>
          <w:rFonts w:hint="eastAsia" w:ascii="宋体" w:hAnsi="宋体" w:eastAsia="宋体" w:cs="宋体"/>
          <w:color w:val="auto"/>
          <w:spacing w:val="0"/>
          <w:w w:val="100"/>
          <w:position w:val="0"/>
          <w:highlight w:val="none"/>
          <w:lang w:eastAsia="zh-CN"/>
        </w:rPr>
      </w:pPr>
    </w:p>
    <w:p w14:paraId="2A89ECEB">
      <w:pPr>
        <w:pageBreakBefore w:val="0"/>
        <w:widowControl w:val="0"/>
        <w:wordWrap/>
        <w:overflowPunct/>
        <w:topLinePunct w:val="0"/>
        <w:bidi w:val="0"/>
        <w:spacing w:before="101" w:line="224" w:lineRule="auto"/>
        <w:ind w:left="3654" w:leftChars="0" w:hanging="3654" w:hangingChars="1179"/>
        <w:jc w:val="center"/>
        <w:rPr>
          <w:rFonts w:hint="eastAsia" w:ascii="宋体" w:hAnsi="宋体" w:eastAsia="宋体" w:cs="宋体"/>
          <w:color w:val="auto"/>
          <w:spacing w:val="0"/>
          <w:w w:val="100"/>
          <w:position w:val="0"/>
          <w:sz w:val="31"/>
          <w:szCs w:val="31"/>
          <w:highlight w:val="none"/>
          <w:lang w:eastAsia="zh-CN"/>
        </w:rPr>
      </w:pP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（货物类）</w:t>
      </w:r>
    </w:p>
    <w:p w14:paraId="51B7443E">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6BBF19F7">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1EB7ECF8">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C16D1A1">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CE0B4FF">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700F96BD">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71645B31">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11D825CD">
      <w:pPr>
        <w:pageBreakBefore w:val="0"/>
        <w:widowControl w:val="0"/>
        <w:wordWrap/>
        <w:overflowPunct/>
        <w:topLinePunct w:val="0"/>
        <w:bidi w:val="0"/>
        <w:spacing w:line="247" w:lineRule="auto"/>
        <w:rPr>
          <w:rFonts w:hint="eastAsia" w:ascii="宋体" w:hAnsi="宋体" w:eastAsia="宋体" w:cs="宋体"/>
          <w:color w:val="auto"/>
          <w:spacing w:val="0"/>
          <w:w w:val="100"/>
          <w:position w:val="0"/>
          <w:highlight w:val="none"/>
          <w:lang w:eastAsia="zh-CN"/>
        </w:rPr>
      </w:pPr>
    </w:p>
    <w:p w14:paraId="2E095529">
      <w:pPr>
        <w:pageBreakBefore w:val="0"/>
        <w:widowControl w:val="0"/>
        <w:wordWrap/>
        <w:overflowPunct/>
        <w:topLinePunct w:val="0"/>
        <w:bidi w:val="0"/>
        <w:spacing w:before="101" w:line="225" w:lineRule="auto"/>
        <w:rPr>
          <w:rFonts w:hint="eastAsia" w:ascii="宋体" w:hAnsi="宋体" w:eastAsia="宋体" w:cs="宋体"/>
          <w:color w:val="auto"/>
          <w:spacing w:val="0"/>
          <w:w w:val="100"/>
          <w:position w:val="0"/>
          <w:sz w:val="32"/>
          <w:szCs w:val="32"/>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项目名称：</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东华理工大学抚州新校区公共设备机动项目</w:t>
      </w:r>
    </w:p>
    <w:p w14:paraId="4100B489">
      <w:pPr>
        <w:pageBreakBefore w:val="0"/>
        <w:widowControl w:val="0"/>
        <w:wordWrap/>
        <w:overflowPunct/>
        <w:topLinePunct w:val="0"/>
        <w:bidi w:val="0"/>
        <w:spacing w:before="101" w:line="225" w:lineRule="auto"/>
        <w:rPr>
          <w:rFonts w:hint="eastAsia" w:ascii="宋体" w:hAnsi="宋体" w:eastAsia="宋体" w:cs="宋体"/>
          <w:color w:val="auto"/>
          <w:spacing w:val="0"/>
          <w:w w:val="100"/>
          <w:position w:val="0"/>
          <w:sz w:val="31"/>
          <w:szCs w:val="31"/>
          <w:highlight w:val="none"/>
          <w:lang w:val="en-US" w:eastAsia="zh-CN"/>
        </w:rPr>
      </w:pPr>
      <w:r>
        <w:rPr>
          <w:rFonts w:hint="eastAsia" w:ascii="宋体" w:hAnsi="宋体" w:eastAsia="宋体" w:cs="宋体"/>
          <w:color w:val="auto"/>
          <w:spacing w:val="0"/>
          <w:w w:val="100"/>
          <w:position w:val="0"/>
          <w:sz w:val="32"/>
          <w:szCs w:val="32"/>
          <w:highlight w:val="none"/>
          <w:lang w:eastAsia="zh-CN"/>
          <w14:textOutline w14:w="5791" w14:cap="sq" w14:cmpd="sng" w14:algn="ctr">
            <w14:solidFill>
              <w14:srgbClr w14:val="000000"/>
            </w14:solidFill>
            <w14:prstDash w14:val="solid"/>
            <w14:bevel/>
          </w14:textOutline>
        </w:rPr>
        <w:t>项目</w:t>
      </w:r>
      <w:r>
        <w:rPr>
          <w:rFonts w:hint="eastAsia" w:ascii="宋体" w:hAnsi="宋体" w:eastAsia="宋体" w:cs="宋体"/>
          <w:color w:val="auto"/>
          <w:spacing w:val="0"/>
          <w:w w:val="100"/>
          <w:position w:val="0"/>
          <w:sz w:val="32"/>
          <w:szCs w:val="32"/>
          <w:highlight w:val="none"/>
          <w:lang w:val="en-US" w:eastAsia="zh-CN"/>
          <w14:textOutline w14:w="5791" w14:cap="sq" w14:cmpd="sng" w14:algn="ctr">
            <w14:solidFill>
              <w14:srgbClr w14:val="000000"/>
            </w14:solidFill>
            <w14:prstDash w14:val="solid"/>
            <w14:bevel/>
          </w14:textOutline>
        </w:rPr>
        <w:t>编号：JXTC2026200101</w:t>
      </w:r>
    </w:p>
    <w:p w14:paraId="6322DBC7">
      <w:pPr>
        <w:pageBreakBefore w:val="0"/>
        <w:widowControl w:val="0"/>
        <w:wordWrap/>
        <w:overflowPunct/>
        <w:topLinePunct w:val="0"/>
        <w:bidi w:val="0"/>
        <w:spacing w:line="250" w:lineRule="auto"/>
        <w:rPr>
          <w:rFonts w:hint="eastAsia" w:ascii="宋体" w:hAnsi="宋体" w:eastAsia="宋体" w:cs="宋体"/>
          <w:color w:val="auto"/>
          <w:spacing w:val="0"/>
          <w:w w:val="100"/>
          <w:position w:val="0"/>
          <w:highlight w:val="none"/>
          <w:lang w:eastAsia="zh-CN"/>
        </w:rPr>
      </w:pPr>
    </w:p>
    <w:p w14:paraId="20088DA1">
      <w:pPr>
        <w:pageBreakBefore w:val="0"/>
        <w:widowControl w:val="0"/>
        <w:wordWrap/>
        <w:overflowPunct/>
        <w:topLinePunct w:val="0"/>
        <w:bidi w:val="0"/>
        <w:spacing w:line="250" w:lineRule="auto"/>
        <w:rPr>
          <w:rFonts w:hint="eastAsia" w:ascii="宋体" w:hAnsi="宋体" w:eastAsia="宋体" w:cs="宋体"/>
          <w:color w:val="auto"/>
          <w:spacing w:val="0"/>
          <w:w w:val="100"/>
          <w:position w:val="0"/>
          <w:highlight w:val="none"/>
          <w:lang w:eastAsia="zh-CN"/>
        </w:rPr>
      </w:pPr>
    </w:p>
    <w:p w14:paraId="79AC4DA6">
      <w:pPr>
        <w:pageBreakBefore w:val="0"/>
        <w:widowControl w:val="0"/>
        <w:wordWrap/>
        <w:overflowPunct/>
        <w:topLinePunct w:val="0"/>
        <w:bidi w:val="0"/>
        <w:spacing w:line="251" w:lineRule="auto"/>
        <w:rPr>
          <w:rFonts w:hint="eastAsia" w:ascii="宋体" w:hAnsi="宋体" w:eastAsia="宋体" w:cs="宋体"/>
          <w:color w:val="auto"/>
          <w:spacing w:val="0"/>
          <w:w w:val="100"/>
          <w:position w:val="0"/>
          <w:highlight w:val="none"/>
          <w:lang w:eastAsia="zh-CN"/>
        </w:rPr>
      </w:pPr>
    </w:p>
    <w:p w14:paraId="755595DD">
      <w:pPr>
        <w:pageBreakBefore w:val="0"/>
        <w:widowControl w:val="0"/>
        <w:wordWrap/>
        <w:overflowPunct/>
        <w:topLinePunct w:val="0"/>
        <w:bidi w:val="0"/>
        <w:spacing w:line="251" w:lineRule="auto"/>
        <w:rPr>
          <w:rFonts w:hint="eastAsia" w:ascii="宋体" w:hAnsi="宋体" w:eastAsia="宋体" w:cs="宋体"/>
          <w:color w:val="auto"/>
          <w:spacing w:val="0"/>
          <w:w w:val="100"/>
          <w:position w:val="0"/>
          <w:highlight w:val="none"/>
          <w:lang w:eastAsia="zh-CN"/>
        </w:rPr>
      </w:pPr>
    </w:p>
    <w:p w14:paraId="4242793F">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4F54EFF">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2CACA5E">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7F6FC0A">
      <w:pPr>
        <w:pStyle w:val="7"/>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78713A6">
      <w:pPr>
        <w:pageBreakBefore w:val="0"/>
        <w:widowControl w:val="0"/>
        <w:wordWrap/>
        <w:overflowPunct/>
        <w:topLinePunct w:val="0"/>
        <w:bidi w:val="0"/>
        <w:spacing w:line="251" w:lineRule="auto"/>
        <w:rPr>
          <w:rFonts w:hint="eastAsia" w:ascii="宋体" w:hAnsi="宋体" w:eastAsia="宋体" w:cs="宋体"/>
          <w:color w:val="auto"/>
          <w:spacing w:val="0"/>
          <w:w w:val="100"/>
          <w:position w:val="0"/>
          <w:highlight w:val="none"/>
          <w:lang w:eastAsia="zh-CN"/>
        </w:rPr>
      </w:pPr>
    </w:p>
    <w:p w14:paraId="26347111">
      <w:pPr>
        <w:pageBreakBefore w:val="0"/>
        <w:widowControl w:val="0"/>
        <w:wordWrap/>
        <w:overflowPunct/>
        <w:topLinePunct w:val="0"/>
        <w:bidi w:val="0"/>
        <w:spacing w:line="251" w:lineRule="auto"/>
        <w:rPr>
          <w:rFonts w:hint="eastAsia" w:ascii="宋体" w:hAnsi="宋体" w:eastAsia="宋体" w:cs="宋体"/>
          <w:color w:val="auto"/>
          <w:spacing w:val="0"/>
          <w:w w:val="100"/>
          <w:position w:val="0"/>
          <w:highlight w:val="none"/>
          <w:lang w:eastAsia="zh-CN"/>
        </w:rPr>
      </w:pPr>
    </w:p>
    <w:p w14:paraId="3D30F8D5">
      <w:pPr>
        <w:pageBreakBefore w:val="0"/>
        <w:widowControl w:val="0"/>
        <w:wordWrap/>
        <w:overflowPunct/>
        <w:topLinePunct w:val="0"/>
        <w:bidi w:val="0"/>
        <w:spacing w:line="251" w:lineRule="auto"/>
        <w:rPr>
          <w:rFonts w:hint="eastAsia" w:ascii="宋体" w:hAnsi="宋体" w:eastAsia="宋体" w:cs="宋体"/>
          <w:color w:val="auto"/>
          <w:spacing w:val="0"/>
          <w:w w:val="100"/>
          <w:position w:val="0"/>
          <w:highlight w:val="none"/>
          <w:lang w:eastAsia="zh-CN"/>
        </w:rPr>
      </w:pPr>
    </w:p>
    <w:p w14:paraId="62485718">
      <w:pPr>
        <w:pageBreakBefore w:val="0"/>
        <w:widowControl w:val="0"/>
        <w:wordWrap/>
        <w:overflowPunct/>
        <w:topLinePunct w:val="0"/>
        <w:bidi w:val="0"/>
        <w:spacing w:before="101" w:line="614" w:lineRule="exact"/>
        <w:jc w:val="center"/>
        <w:rPr>
          <w:rFonts w:hint="eastAsia" w:ascii="宋体" w:hAnsi="宋体" w:eastAsia="宋体" w:cs="宋体"/>
          <w:color w:val="auto"/>
          <w:sz w:val="28"/>
          <w:szCs w:val="28"/>
          <w:highlight w:val="none"/>
          <w:lang w:eastAsia="zh-CN"/>
        </w:rPr>
      </w:pPr>
      <w:r>
        <w:rPr>
          <w:rFonts w:hint="eastAsia" w:ascii="宋体" w:hAnsi="宋体" w:eastAsia="宋体" w:cs="宋体"/>
          <w:color w:val="auto"/>
          <w:position w:val="23"/>
          <w:sz w:val="28"/>
          <w:szCs w:val="28"/>
          <w:highlight w:val="none"/>
          <w:lang w:val="en-US" w:eastAsia="zh-CN"/>
          <w14:textOutline w14:w="5105" w14:cap="sq" w14:cmpd="sng" w14:algn="ctr">
            <w14:solidFill>
              <w14:srgbClr w14:val="000000"/>
            </w14:solidFill>
            <w14:prstDash w14:val="solid"/>
            <w14:bevel/>
          </w14:textOutline>
        </w:rPr>
        <w:t xml:space="preserve">   江西省机电设备招标有限</w:t>
      </w:r>
      <w:r>
        <w:rPr>
          <w:rFonts w:hint="eastAsia" w:ascii="宋体" w:hAnsi="宋体" w:eastAsia="宋体" w:cs="宋体"/>
          <w:color w:val="auto"/>
          <w:position w:val="23"/>
          <w:sz w:val="28"/>
          <w:szCs w:val="28"/>
          <w:highlight w:val="none"/>
          <w:lang w:eastAsia="zh-CN"/>
          <w14:textOutline w14:w="5105" w14:cap="sq" w14:cmpd="sng" w14:algn="ctr">
            <w14:solidFill>
              <w14:srgbClr w14:val="000000"/>
            </w14:solidFill>
            <w14:prstDash w14:val="solid"/>
            <w14:bevel/>
          </w14:textOutline>
        </w:rPr>
        <w:t>公司</w:t>
      </w:r>
    </w:p>
    <w:p w14:paraId="2DC298F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pP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江西</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 xml:space="preserve"> </w:t>
      </w:r>
      <w:r>
        <w:rPr>
          <w:rFonts w:hint="eastAsia" w:ascii="宋体" w:hAnsi="宋体" w:eastAsia="宋体" w:cs="宋体"/>
          <w:color w:val="auto"/>
          <w:spacing w:val="-16"/>
          <w:sz w:val="28"/>
          <w:szCs w:val="28"/>
          <w:highlight w:val="none"/>
          <w14:textOutline w14:w="5105" w14:cap="sq" w14:cmpd="sng" w14:algn="ctr">
            <w14:solidFill>
              <w14:srgbClr w14:val="000000"/>
            </w14:solidFill>
            <w14:prstDash w14:val="solid"/>
            <w14:bevel/>
          </w14:textOutline>
        </w:rPr>
        <w:t>·</w:t>
      </w:r>
      <w:r>
        <w:rPr>
          <w:rFonts w:hint="eastAsia" w:ascii="宋体" w:hAnsi="宋体" w:eastAsia="宋体" w:cs="宋体"/>
          <w:color w:val="auto"/>
          <w:spacing w:val="-88"/>
          <w:sz w:val="28"/>
          <w:szCs w:val="28"/>
          <w:highlight w:val="none"/>
        </w:rPr>
        <w:t xml:space="preserve"> </w:t>
      </w:r>
      <w:r>
        <w:rPr>
          <w:rFonts w:hint="eastAsia" w:ascii="宋体" w:hAnsi="宋体" w:eastAsia="宋体" w:cs="宋体"/>
          <w:color w:val="auto"/>
          <w:spacing w:val="-88"/>
          <w:sz w:val="28"/>
          <w:szCs w:val="28"/>
          <w:highlight w:val="none"/>
          <w:lang w:val="en-US" w:eastAsia="zh-CN"/>
        </w:rPr>
        <w:t xml:space="preserve"> </w:t>
      </w:r>
      <w:r>
        <w:rPr>
          <w:rFonts w:hint="eastAsia" w:ascii="宋体" w:hAnsi="宋体" w:eastAsia="宋体" w:cs="宋体"/>
          <w:color w:val="auto"/>
          <w:spacing w:val="-16"/>
          <w:sz w:val="28"/>
          <w:szCs w:val="28"/>
          <w:highlight w:val="none"/>
          <w:lang w:val="en-US" w:eastAsia="zh-CN"/>
          <w14:textOutline w14:w="5105" w14:cap="sq" w14:cmpd="sng" w14:algn="ctr">
            <w14:solidFill>
              <w14:srgbClr w14:val="000000"/>
            </w14:solidFill>
            <w14:prstDash w14:val="solid"/>
            <w14:bevel/>
          </w14:textOutline>
        </w:rPr>
        <w:t>南昌</w:t>
      </w:r>
    </w:p>
    <w:p w14:paraId="5079A00E">
      <w:pPr>
        <w:keepNext w:val="0"/>
        <w:keepLines w:val="0"/>
        <w:pageBreakBefore w:val="0"/>
        <w:widowControl w:val="0"/>
        <w:kinsoku w:val="0"/>
        <w:wordWrap/>
        <w:overflowPunct/>
        <w:topLinePunct w:val="0"/>
        <w:autoSpaceDE w:val="0"/>
        <w:autoSpaceDN w:val="0"/>
        <w:bidi w:val="0"/>
        <w:adjustRightInd w:val="0"/>
        <w:snapToGrid w:val="0"/>
        <w:spacing w:before="78" w:line="440" w:lineRule="exact"/>
        <w:ind w:left="107"/>
        <w:textAlignment w:val="baseline"/>
        <w:outlineLvl w:val="9"/>
        <w:rPr>
          <w:rFonts w:hint="eastAsia" w:ascii="宋体" w:hAnsi="宋体" w:eastAsia="宋体" w:cs="宋体"/>
          <w:color w:val="auto"/>
          <w:spacing w:val="-1"/>
          <w:sz w:val="24"/>
          <w:szCs w:val="24"/>
          <w:highlight w:val="none"/>
          <w:lang w:val="en-US" w:eastAsia="zh-CN"/>
          <w14:textOutline w14:w="4356" w14:cap="sq" w14:cmpd="sng" w14:algn="ctr">
            <w14:solidFill>
              <w14:srgbClr w14:val="000000"/>
            </w14:solidFill>
            <w14:prstDash w14:val="solid"/>
            <w14:bevel/>
          </w14:textOutline>
        </w:rPr>
        <w:sectPr>
          <w:pgSz w:w="11906" w:h="16839"/>
          <w:pgMar w:top="1440" w:right="1800" w:bottom="1440" w:left="1800" w:header="0" w:footer="0" w:gutter="0"/>
          <w:cols w:space="720" w:num="1"/>
        </w:sectPr>
      </w:pPr>
    </w:p>
    <w:sdt>
      <w:sdtPr>
        <w:rPr>
          <w:rFonts w:hint="eastAsia" w:ascii="宋体" w:hAnsi="宋体" w:eastAsia="宋体" w:cs="宋体"/>
          <w:b/>
          <w:bCs/>
          <w:snapToGrid w:val="0"/>
          <w:color w:val="000000"/>
          <w:sz w:val="28"/>
          <w:szCs w:val="28"/>
          <w:highlight w:val="none"/>
          <w:lang w:val="en-US" w:eastAsia="en-US" w:bidi="ar-SA"/>
        </w:rPr>
        <w:id w:val="147454966"/>
        <w15:color w:val="DBDBDB"/>
        <w:docPartObj>
          <w:docPartGallery w:val="Table of Contents"/>
          <w:docPartUnique/>
        </w:docPartObj>
      </w:sdtPr>
      <w:sdtEndPr>
        <w:rPr>
          <w:rFonts w:hint="eastAsia" w:ascii="宋体" w:hAnsi="宋体" w:eastAsia="宋体" w:cs="宋体"/>
          <w:b/>
          <w:bCs/>
          <w:snapToGrid w:val="0"/>
          <w:color w:val="auto"/>
          <w:spacing w:val="0"/>
          <w:w w:val="100"/>
          <w:position w:val="0"/>
          <w:sz w:val="21"/>
          <w:szCs w:val="20"/>
          <w:highlight w:val="none"/>
          <w:lang w:val="en-US" w:eastAsia="zh-CN" w:bidi="ar-SA"/>
        </w:rPr>
      </w:sdtEndPr>
      <w:sdtContent>
        <w:p w14:paraId="467EED40">
          <w:pPr>
            <w:spacing w:before="0" w:beforeLines="0" w:after="0" w:afterLines="0" w:line="240" w:lineRule="auto"/>
            <w:ind w:left="0" w:leftChars="0" w:right="0" w:rightChars="0" w:firstLine="0" w:firstLineChars="0"/>
            <w:jc w:val="center"/>
            <w:rPr>
              <w:rFonts w:hint="eastAsia" w:ascii="宋体" w:hAnsi="宋体" w:eastAsia="宋体" w:cs="宋体"/>
              <w:b/>
              <w:bCs/>
              <w:sz w:val="28"/>
              <w:szCs w:val="28"/>
              <w:highlight w:val="none"/>
            </w:rPr>
          </w:pPr>
          <w:r>
            <w:rPr>
              <w:rFonts w:hint="eastAsia" w:ascii="宋体" w:hAnsi="宋体" w:eastAsia="宋体" w:cs="宋体"/>
              <w:b/>
              <w:bCs/>
              <w:sz w:val="28"/>
              <w:szCs w:val="28"/>
              <w:highlight w:val="none"/>
            </w:rPr>
            <w:t>目录</w:t>
          </w:r>
        </w:p>
        <w:p w14:paraId="76067B8C">
          <w:pPr>
            <w:pStyle w:val="41"/>
            <w:tabs>
              <w:tab w:val="right" w:leader="dot" w:pos="9040"/>
            </w:tabs>
            <w:ind w:firstLine="1200" w:firstLineChars="600"/>
            <w:rPr>
              <w:rFonts w:hint="eastAsia" w:ascii="宋体" w:hAnsi="宋体" w:eastAsia="宋体" w:cs="宋体"/>
              <w:highlight w:val="none"/>
            </w:rPr>
          </w:pPr>
          <w:r>
            <w:rPr>
              <w:rFonts w:hint="eastAsia" w:ascii="宋体" w:hAnsi="宋体" w:eastAsia="宋体" w:cs="宋体"/>
              <w:color w:val="auto"/>
              <w:spacing w:val="0"/>
              <w:w w:val="100"/>
              <w:position w:val="0"/>
              <w:sz w:val="20"/>
              <w:szCs w:val="20"/>
              <w:highlight w:val="none"/>
              <w:lang w:eastAsia="zh-CN"/>
            </w:rPr>
            <w:fldChar w:fldCharType="begin"/>
          </w:r>
          <w:r>
            <w:rPr>
              <w:rFonts w:hint="eastAsia" w:ascii="宋体" w:hAnsi="宋体" w:eastAsia="宋体" w:cs="宋体"/>
              <w:color w:val="auto"/>
              <w:spacing w:val="0"/>
              <w:w w:val="100"/>
              <w:position w:val="0"/>
              <w:sz w:val="20"/>
              <w:szCs w:val="20"/>
              <w:highlight w:val="none"/>
              <w:lang w:eastAsia="zh-CN"/>
            </w:rPr>
            <w:instrText xml:space="preserve">TOC \o "1-3" \h \u </w:instrText>
          </w:r>
          <w:r>
            <w:rPr>
              <w:rFonts w:hint="eastAsia" w:ascii="宋体" w:hAnsi="宋体" w:eastAsia="宋体" w:cs="宋体"/>
              <w:color w:val="auto"/>
              <w:spacing w:val="0"/>
              <w:w w:val="100"/>
              <w:position w:val="0"/>
              <w:sz w:val="20"/>
              <w:szCs w:val="20"/>
              <w:highlight w:val="none"/>
              <w:lang w:eastAsia="zh-CN"/>
            </w:rPr>
            <w:fldChar w:fldCharType="separate"/>
          </w:r>
        </w:p>
        <w:p w14:paraId="741AF06C">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_Toc10185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0"/>
              <w:highlight w:val="none"/>
              <w14:textOutline w14:w="5791" w14:cap="sq" w14:cmpd="sng" w14:algn="ctr">
                <w14:solidFill>
                  <w14:srgbClr w14:val="000000"/>
                </w14:solidFill>
                <w14:prstDash w14:val="solid"/>
                <w14:bevel/>
              </w14:textOutline>
            </w:rPr>
            <w:t>第一章</w:t>
          </w:r>
          <w:r>
            <w:rPr>
              <w:rFonts w:hint="eastAsia" w:ascii="宋体" w:hAnsi="宋体" w:eastAsia="宋体" w:cs="宋体"/>
              <w:spacing w:val="0"/>
              <w:w w:val="100"/>
              <w:position w:val="0"/>
              <w:szCs w:val="30"/>
              <w:highlight w:val="none"/>
            </w:rPr>
            <w:t xml:space="preserve">  </w:t>
          </w:r>
          <w:r>
            <w:rPr>
              <w:rFonts w:hint="eastAsia" w:ascii="宋体" w:hAnsi="宋体" w:eastAsia="宋体" w:cs="宋体"/>
              <w:spacing w:val="0"/>
              <w:w w:val="100"/>
              <w:position w:val="0"/>
              <w:szCs w:val="30"/>
              <w:highlight w:val="none"/>
              <w14:textOutline w14:w="5791" w14:cap="sq" w14:cmpd="sng" w14:algn="ctr">
                <w14:solidFill>
                  <w14:srgbClr w14:val="000000"/>
                </w14:solidFill>
                <w14:prstDash w14:val="solid"/>
                <w14:bevel/>
              </w14:textOutline>
            </w:rPr>
            <w:t>投标邀请</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_Toc10185 \h </w:instrText>
          </w:r>
          <w:r>
            <w:rPr>
              <w:rFonts w:hint="eastAsia" w:ascii="宋体" w:hAnsi="宋体" w:eastAsia="宋体" w:cs="宋体"/>
              <w:highlight w:val="none"/>
            </w:rPr>
            <w:fldChar w:fldCharType="separate"/>
          </w:r>
          <w:r>
            <w:rPr>
              <w:rFonts w:hint="eastAsia" w:ascii="宋体" w:hAnsi="宋体" w:eastAsia="宋体" w:cs="宋体"/>
              <w:highlight w:val="none"/>
            </w:rPr>
            <w:t>1</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293F2EF2">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_Toc6675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第二章</w:t>
          </w:r>
          <w:r>
            <w:rPr>
              <w:rFonts w:hint="eastAsia" w:ascii="宋体" w:hAnsi="宋体" w:eastAsia="宋体" w:cs="宋体"/>
              <w:spacing w:val="0"/>
              <w:w w:val="100"/>
              <w:position w:val="0"/>
              <w:szCs w:val="31"/>
              <w:highlight w:val="none"/>
              <w:lang w:eastAsia="zh-CN"/>
            </w:rPr>
            <w:t xml:space="preserve">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投标人须知</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_Toc6675 \h </w:instrText>
          </w:r>
          <w:r>
            <w:rPr>
              <w:rFonts w:hint="eastAsia" w:ascii="宋体" w:hAnsi="宋体" w:eastAsia="宋体" w:cs="宋体"/>
              <w:highlight w:val="none"/>
            </w:rPr>
            <w:fldChar w:fldCharType="separate"/>
          </w:r>
          <w:r>
            <w:rPr>
              <w:rFonts w:hint="eastAsia" w:ascii="宋体" w:hAnsi="宋体" w:eastAsia="宋体" w:cs="宋体"/>
              <w:highlight w:val="none"/>
            </w:rPr>
            <w:t>5</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450EB3DB">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_Toc14012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第三章 拟签订的合同文本（</w:t>
          </w:r>
          <w:r>
            <w:rPr>
              <w:rFonts w:hint="eastAsia" w:ascii="宋体" w:hAnsi="宋体" w:eastAsia="宋体" w:cs="宋体"/>
              <w:spacing w:val="0"/>
              <w:w w:val="100"/>
              <w:position w:val="0"/>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_Toc14012 \h </w:instrText>
          </w:r>
          <w:r>
            <w:rPr>
              <w:rFonts w:hint="eastAsia" w:ascii="宋体" w:hAnsi="宋体" w:eastAsia="宋体" w:cs="宋体"/>
              <w:highlight w:val="none"/>
            </w:rPr>
            <w:fldChar w:fldCharType="separate"/>
          </w:r>
          <w:r>
            <w:rPr>
              <w:rFonts w:hint="eastAsia" w:ascii="宋体" w:hAnsi="宋体" w:eastAsia="宋体" w:cs="宋体"/>
              <w:highlight w:val="none"/>
            </w:rPr>
            <w:t>31</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58BEFE47">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_Toc6495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第四章</w:t>
          </w:r>
          <w:r>
            <w:rPr>
              <w:rFonts w:hint="eastAsia" w:ascii="宋体" w:hAnsi="宋体" w:eastAsia="宋体" w:cs="宋体"/>
              <w:spacing w:val="0"/>
              <w:w w:val="100"/>
              <w:position w:val="0"/>
              <w:szCs w:val="31"/>
              <w:highlight w:val="none"/>
              <w:lang w:eastAsia="zh-CN"/>
            </w:rPr>
            <w:t xml:space="preserve">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投标文件格式</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_Toc6495 \h </w:instrText>
          </w:r>
          <w:r>
            <w:rPr>
              <w:rFonts w:hint="eastAsia" w:ascii="宋体" w:hAnsi="宋体" w:eastAsia="宋体" w:cs="宋体"/>
              <w:highlight w:val="none"/>
            </w:rPr>
            <w:fldChar w:fldCharType="separate"/>
          </w:r>
          <w:r>
            <w:rPr>
              <w:rFonts w:hint="eastAsia" w:ascii="宋体" w:hAnsi="宋体" w:eastAsia="宋体" w:cs="宋体"/>
              <w:highlight w:val="none"/>
            </w:rPr>
            <w:t>35</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00E2DCBF">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_Toc11877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spacing w:val="0"/>
              <w:w w:val="100"/>
              <w:position w:val="0"/>
              <w:szCs w:val="31"/>
              <w:highlight w:val="none"/>
              <w:lang w:eastAsia="zh-CN"/>
            </w:rPr>
            <w:t xml:space="preserve">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货物需求表及采购需求</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_Toc11877 \h </w:instrText>
          </w:r>
          <w:r>
            <w:rPr>
              <w:rFonts w:hint="eastAsia" w:ascii="宋体" w:hAnsi="宋体" w:eastAsia="宋体" w:cs="宋体"/>
              <w:highlight w:val="none"/>
            </w:rPr>
            <w:fldChar w:fldCharType="separate"/>
          </w:r>
          <w:r>
            <w:rPr>
              <w:rFonts w:hint="eastAsia" w:ascii="宋体" w:hAnsi="宋体" w:eastAsia="宋体" w:cs="宋体"/>
              <w:highlight w:val="none"/>
            </w:rPr>
            <w:t>68</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6D1ABC25">
          <w:pPr>
            <w:pStyle w:val="42"/>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_Toc18085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spacing w:val="0"/>
              <w:w w:val="100"/>
              <w:position w:val="0"/>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spacing w:val="0"/>
              <w:w w:val="100"/>
              <w:position w:val="0"/>
              <w:szCs w:val="24"/>
              <w:highlight w:val="none"/>
              <w14:textOutline w14:w="4356" w14:cap="sq" w14:cmpd="sng" w14:algn="ctr">
                <w14:solidFill>
                  <w14:srgbClr w14:val="000000"/>
                </w14:solidFill>
                <w14:prstDash w14:val="solid"/>
                <w14:bevel/>
              </w14:textOutline>
            </w:rPr>
            <w:t>需求表</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_Toc18085 \h </w:instrText>
          </w:r>
          <w:r>
            <w:rPr>
              <w:rFonts w:hint="eastAsia" w:ascii="宋体" w:hAnsi="宋体" w:eastAsia="宋体" w:cs="宋体"/>
              <w:highlight w:val="none"/>
            </w:rPr>
            <w:fldChar w:fldCharType="separate"/>
          </w:r>
          <w:r>
            <w:rPr>
              <w:rFonts w:hint="eastAsia" w:ascii="宋体" w:hAnsi="宋体" w:eastAsia="宋体" w:cs="宋体"/>
              <w:highlight w:val="none"/>
            </w:rPr>
            <w:t>68</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604AB83C">
          <w:pPr>
            <w:pStyle w:val="42"/>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_Toc1527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24"/>
              <w:highlight w:val="none"/>
              <w14:textOutline w14:w="4356" w14:cap="sq" w14:cmpd="sng" w14:algn="ctr">
                <w14:solidFill>
                  <w14:srgbClr w14:val="000000"/>
                </w14:solidFill>
                <w14:prstDash w14:val="solid"/>
                <w14:bevel/>
              </w14:textOutline>
            </w:rPr>
            <w:t>二、采购需求</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_Toc1527 \h </w:instrText>
          </w:r>
          <w:r>
            <w:rPr>
              <w:rFonts w:hint="eastAsia" w:ascii="宋体" w:hAnsi="宋体" w:eastAsia="宋体" w:cs="宋体"/>
              <w:highlight w:val="none"/>
            </w:rPr>
            <w:fldChar w:fldCharType="separate"/>
          </w:r>
          <w:r>
            <w:rPr>
              <w:rFonts w:hint="eastAsia" w:ascii="宋体" w:hAnsi="宋体" w:eastAsia="宋体" w:cs="宋体"/>
              <w:highlight w:val="none"/>
            </w:rPr>
            <w:t>69</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34F90C24">
          <w:pPr>
            <w:pStyle w:val="43"/>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_Toc22650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24"/>
              <w:highlight w:val="none"/>
            </w:rPr>
            <w:t>（一） 采购清单</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_Toc22650 \h </w:instrText>
          </w:r>
          <w:r>
            <w:rPr>
              <w:rFonts w:hint="eastAsia" w:ascii="宋体" w:hAnsi="宋体" w:eastAsia="宋体" w:cs="宋体"/>
              <w:highlight w:val="none"/>
            </w:rPr>
            <w:fldChar w:fldCharType="separate"/>
          </w:r>
          <w:r>
            <w:rPr>
              <w:rFonts w:hint="eastAsia" w:ascii="宋体" w:hAnsi="宋体" w:eastAsia="宋体" w:cs="宋体"/>
              <w:highlight w:val="none"/>
            </w:rPr>
            <w:t>69</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0DCE9BF5">
          <w:pPr>
            <w:pStyle w:val="43"/>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_Toc30071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24"/>
              <w:highlight w:val="none"/>
            </w:rPr>
            <w:t>（</w:t>
          </w:r>
          <w:r>
            <w:rPr>
              <w:rFonts w:hint="eastAsia" w:ascii="宋体" w:hAnsi="宋体" w:eastAsia="宋体" w:cs="宋体"/>
              <w:spacing w:val="0"/>
              <w:w w:val="100"/>
              <w:position w:val="0"/>
              <w:szCs w:val="24"/>
              <w:highlight w:val="none"/>
              <w:lang w:val="en-US" w:eastAsia="zh-CN"/>
            </w:rPr>
            <w:t>二</w:t>
          </w:r>
          <w:r>
            <w:rPr>
              <w:rFonts w:hint="eastAsia" w:ascii="宋体" w:hAnsi="宋体" w:eastAsia="宋体" w:cs="宋体"/>
              <w:spacing w:val="0"/>
              <w:w w:val="100"/>
              <w:position w:val="0"/>
              <w:szCs w:val="24"/>
              <w:highlight w:val="none"/>
            </w:rPr>
            <w:t xml:space="preserve">） </w:t>
          </w:r>
          <w:r>
            <w:rPr>
              <w:rFonts w:hint="eastAsia" w:ascii="宋体" w:hAnsi="宋体" w:eastAsia="宋体" w:cs="宋体"/>
              <w:spacing w:val="0"/>
              <w:w w:val="100"/>
              <w:position w:val="0"/>
              <w:szCs w:val="24"/>
              <w:highlight w:val="none"/>
              <w:lang w:val="en-US" w:eastAsia="zh-CN"/>
            </w:rPr>
            <w:t>技术需求</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_Toc30071 \h </w:instrText>
          </w:r>
          <w:r>
            <w:rPr>
              <w:rFonts w:hint="eastAsia" w:ascii="宋体" w:hAnsi="宋体" w:eastAsia="宋体" w:cs="宋体"/>
              <w:highlight w:val="none"/>
            </w:rPr>
            <w:fldChar w:fldCharType="separate"/>
          </w:r>
          <w:r>
            <w:rPr>
              <w:rFonts w:hint="eastAsia" w:ascii="宋体" w:hAnsi="宋体" w:eastAsia="宋体" w:cs="宋体"/>
              <w:highlight w:val="none"/>
            </w:rPr>
            <w:t>69</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03D2DD34">
          <w:pPr>
            <w:pStyle w:val="43"/>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_Toc20255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24"/>
              <w:highlight w:val="none"/>
              <w:lang w:eastAsia="zh-CN"/>
            </w:rPr>
            <w:t>（</w:t>
          </w:r>
          <w:r>
            <w:rPr>
              <w:rFonts w:hint="eastAsia" w:ascii="宋体" w:hAnsi="宋体" w:eastAsia="宋体" w:cs="宋体"/>
              <w:spacing w:val="0"/>
              <w:w w:val="100"/>
              <w:position w:val="0"/>
              <w:szCs w:val="24"/>
              <w:highlight w:val="none"/>
              <w:lang w:val="en-US" w:eastAsia="zh-CN"/>
            </w:rPr>
            <w:t>三</w:t>
          </w:r>
          <w:r>
            <w:rPr>
              <w:rFonts w:hint="eastAsia" w:ascii="宋体" w:hAnsi="宋体" w:eastAsia="宋体" w:cs="宋体"/>
              <w:spacing w:val="0"/>
              <w:w w:val="100"/>
              <w:position w:val="0"/>
              <w:szCs w:val="24"/>
              <w:highlight w:val="none"/>
              <w:lang w:eastAsia="zh-CN"/>
            </w:rPr>
            <w:t>） 商务条件</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_Toc20255 \h </w:instrText>
          </w:r>
          <w:r>
            <w:rPr>
              <w:rFonts w:hint="eastAsia" w:ascii="宋体" w:hAnsi="宋体" w:eastAsia="宋体" w:cs="宋体"/>
              <w:highlight w:val="none"/>
            </w:rPr>
            <w:fldChar w:fldCharType="separate"/>
          </w:r>
          <w:r>
            <w:rPr>
              <w:rFonts w:hint="eastAsia" w:ascii="宋体" w:hAnsi="宋体" w:eastAsia="宋体" w:cs="宋体"/>
              <w:highlight w:val="none"/>
            </w:rPr>
            <w:t>82</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7F041D34">
          <w:pPr>
            <w:pStyle w:val="41"/>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_Toc9660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 xml:space="preserve">第六章 </w:t>
          </w:r>
          <w:r>
            <w:rPr>
              <w:rFonts w:hint="eastAsia" w:ascii="宋体" w:hAnsi="宋体" w:eastAsia="宋体" w:cs="宋体"/>
              <w:spacing w:val="0"/>
              <w:w w:val="100"/>
              <w:position w:val="0"/>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spacing w:val="0"/>
              <w:w w:val="100"/>
              <w:position w:val="0"/>
              <w:szCs w:val="31"/>
              <w:highlight w:val="none"/>
              <w:lang w:val="en-US" w:eastAsia="zh-CN"/>
              <w14:textOutline w14:w="5791" w14:cap="sq" w14:cmpd="sng" w14:algn="ctr">
                <w14:solidFill>
                  <w14:srgbClr w14:val="000000"/>
                </w14:solidFill>
                <w14:prstDash w14:val="solid"/>
                <w14:bevel/>
              </w14:textOutline>
            </w:rPr>
            <w:t>标准</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_Toc9660 \h </w:instrText>
          </w:r>
          <w:r>
            <w:rPr>
              <w:rFonts w:hint="eastAsia" w:ascii="宋体" w:hAnsi="宋体" w:eastAsia="宋体" w:cs="宋体"/>
              <w:highlight w:val="none"/>
            </w:rPr>
            <w:fldChar w:fldCharType="separate"/>
          </w:r>
          <w:r>
            <w:rPr>
              <w:rFonts w:hint="eastAsia" w:ascii="宋体" w:hAnsi="宋体" w:eastAsia="宋体" w:cs="宋体"/>
              <w:highlight w:val="none"/>
            </w:rPr>
            <w:t>85</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26CEF80E">
          <w:pPr>
            <w:pStyle w:val="42"/>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_Toc22232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bCs w:val="0"/>
              <w:snapToGrid w:val="0"/>
              <w:spacing w:val="0"/>
              <w:w w:val="100"/>
              <w:position w:val="0"/>
              <w:szCs w:val="24"/>
              <w:highlight w:val="none"/>
              <w:lang w:val="en-US" w:eastAsia="zh-CN" w:bidi="ar-SA"/>
              <w14:textOutline w14:w="4356" w14:cap="sq" w14:cmpd="sng" w14:algn="ctr">
                <w14:solidFill>
                  <w14:srgbClr w14:val="000000"/>
                </w14:solidFill>
                <w14:prstDash w14:val="solid"/>
                <w14:bevel/>
              </w14:textOutline>
            </w:rPr>
            <w:t>一、 符合性审查</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_Toc22232 \h </w:instrText>
          </w:r>
          <w:r>
            <w:rPr>
              <w:rFonts w:hint="eastAsia" w:ascii="宋体" w:hAnsi="宋体" w:eastAsia="宋体" w:cs="宋体"/>
              <w:highlight w:val="none"/>
            </w:rPr>
            <w:fldChar w:fldCharType="separate"/>
          </w:r>
          <w:r>
            <w:rPr>
              <w:rFonts w:hint="eastAsia" w:ascii="宋体" w:hAnsi="宋体" w:eastAsia="宋体" w:cs="宋体"/>
              <w:highlight w:val="none"/>
            </w:rPr>
            <w:t>85</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24AC89D0">
          <w:pPr>
            <w:pStyle w:val="42"/>
            <w:tabs>
              <w:tab w:val="right" w:leader="dot" w:pos="9040"/>
            </w:tabs>
            <w:rPr>
              <w:rFonts w:hint="eastAsia" w:ascii="宋体" w:hAnsi="宋体" w:eastAsia="宋体" w:cs="宋体"/>
              <w:highlight w:val="none"/>
            </w:rPr>
          </w:pPr>
          <w:r>
            <w:rPr>
              <w:rFonts w:hint="eastAsia" w:ascii="宋体" w:hAnsi="宋体" w:eastAsia="宋体" w:cs="宋体"/>
              <w:color w:val="auto"/>
              <w:spacing w:val="0"/>
              <w:w w:val="100"/>
              <w:position w:val="0"/>
              <w:szCs w:val="20"/>
              <w:highlight w:val="none"/>
              <w:lang w:eastAsia="zh-CN"/>
            </w:rPr>
            <w:fldChar w:fldCharType="begin"/>
          </w:r>
          <w:r>
            <w:rPr>
              <w:rFonts w:hint="eastAsia" w:ascii="宋体" w:hAnsi="宋体" w:eastAsia="宋体" w:cs="宋体"/>
              <w:spacing w:val="0"/>
              <w:w w:val="100"/>
              <w:position w:val="0"/>
              <w:szCs w:val="20"/>
              <w:highlight w:val="none"/>
              <w:lang w:eastAsia="zh-CN"/>
            </w:rPr>
            <w:instrText xml:space="preserve"> HYPERLINK \l _Toc17819 </w:instrText>
          </w:r>
          <w:r>
            <w:rPr>
              <w:rFonts w:hint="eastAsia" w:ascii="宋体" w:hAnsi="宋体" w:eastAsia="宋体" w:cs="宋体"/>
              <w:spacing w:val="0"/>
              <w:w w:val="100"/>
              <w:position w:val="0"/>
              <w:szCs w:val="20"/>
              <w:highlight w:val="none"/>
              <w:lang w:eastAsia="zh-CN"/>
            </w:rPr>
            <w:fldChar w:fldCharType="separate"/>
          </w:r>
          <w:r>
            <w:rPr>
              <w:rFonts w:hint="eastAsia" w:ascii="宋体" w:hAnsi="宋体" w:eastAsia="宋体" w:cs="宋体"/>
              <w:bCs w:val="0"/>
              <w:snapToGrid w:val="0"/>
              <w:spacing w:val="0"/>
              <w:w w:val="100"/>
              <w:position w:val="0"/>
              <w:szCs w:val="24"/>
              <w:highlight w:val="none"/>
              <w:lang w:val="en-US" w:eastAsia="zh-CN" w:bidi="ar-SA"/>
              <w14:textOutline w14:w="4356" w14:cap="sq" w14:cmpd="sng" w14:algn="ctr">
                <w14:solidFill>
                  <w14:srgbClr w14:val="000000"/>
                </w14:solidFill>
                <w14:prstDash w14:val="solid"/>
                <w14:bevel/>
              </w14:textOutline>
            </w:rPr>
            <w:t>二、 评分标准</w:t>
          </w:r>
          <w:r>
            <w:rPr>
              <w:rFonts w:hint="eastAsia" w:ascii="宋体" w:hAnsi="宋体" w:eastAsia="宋体" w:cs="宋体"/>
              <w:highlight w:val="none"/>
            </w:rPr>
            <w:tab/>
          </w:r>
          <w:r>
            <w:rPr>
              <w:rFonts w:hint="eastAsia" w:ascii="宋体" w:hAnsi="宋体" w:eastAsia="宋体" w:cs="宋体"/>
              <w:highlight w:val="none"/>
            </w:rPr>
            <w:fldChar w:fldCharType="begin"/>
          </w:r>
          <w:r>
            <w:rPr>
              <w:rFonts w:hint="eastAsia" w:ascii="宋体" w:hAnsi="宋体" w:eastAsia="宋体" w:cs="宋体"/>
              <w:highlight w:val="none"/>
            </w:rPr>
            <w:instrText xml:space="preserve"> PAGEREF _Toc17819 \h </w:instrText>
          </w:r>
          <w:r>
            <w:rPr>
              <w:rFonts w:hint="eastAsia" w:ascii="宋体" w:hAnsi="宋体" w:eastAsia="宋体" w:cs="宋体"/>
              <w:highlight w:val="none"/>
            </w:rPr>
            <w:fldChar w:fldCharType="separate"/>
          </w:r>
          <w:r>
            <w:rPr>
              <w:rFonts w:hint="eastAsia" w:ascii="宋体" w:hAnsi="宋体" w:eastAsia="宋体" w:cs="宋体"/>
              <w:highlight w:val="none"/>
            </w:rPr>
            <w:t>85</w:t>
          </w:r>
          <w:r>
            <w:rPr>
              <w:rFonts w:hint="eastAsia" w:ascii="宋体" w:hAnsi="宋体" w:eastAsia="宋体" w:cs="宋体"/>
              <w:highlight w:val="none"/>
            </w:rPr>
            <w:fldChar w:fldCharType="end"/>
          </w:r>
          <w:r>
            <w:rPr>
              <w:rFonts w:hint="eastAsia" w:ascii="宋体" w:hAnsi="宋体" w:eastAsia="宋体" w:cs="宋体"/>
              <w:color w:val="auto"/>
              <w:spacing w:val="0"/>
              <w:w w:val="100"/>
              <w:position w:val="0"/>
              <w:szCs w:val="20"/>
              <w:highlight w:val="none"/>
              <w:lang w:eastAsia="zh-CN"/>
            </w:rPr>
            <w:fldChar w:fldCharType="end"/>
          </w:r>
        </w:p>
        <w:p w14:paraId="145C4D17">
          <w:pPr>
            <w:pageBreakBefore w:val="0"/>
            <w:widowControl w:val="0"/>
            <w:wordWrap/>
            <w:overflowPunct/>
            <w:topLinePunct w:val="0"/>
            <w:bidi w:val="0"/>
            <w:spacing w:line="229" w:lineRule="auto"/>
            <w:rPr>
              <w:rFonts w:hint="eastAsia" w:ascii="宋体" w:hAnsi="宋体" w:eastAsia="宋体" w:cs="宋体"/>
              <w:snapToGrid w:val="0"/>
              <w:color w:val="auto"/>
              <w:spacing w:val="0"/>
              <w:w w:val="100"/>
              <w:position w:val="0"/>
              <w:sz w:val="21"/>
              <w:szCs w:val="20"/>
              <w:highlight w:val="none"/>
              <w:lang w:val="en-US" w:eastAsia="zh-CN" w:bidi="ar-SA"/>
            </w:rPr>
          </w:pPr>
          <w:r>
            <w:rPr>
              <w:rFonts w:hint="eastAsia" w:ascii="宋体" w:hAnsi="宋体" w:eastAsia="宋体" w:cs="宋体"/>
              <w:color w:val="auto"/>
              <w:spacing w:val="0"/>
              <w:w w:val="100"/>
              <w:position w:val="0"/>
              <w:szCs w:val="20"/>
              <w:highlight w:val="none"/>
              <w:lang w:eastAsia="zh-CN"/>
            </w:rPr>
            <w:fldChar w:fldCharType="end"/>
          </w:r>
        </w:p>
      </w:sdtContent>
    </w:sdt>
    <w:p w14:paraId="13DCFCF3">
      <w:pPr>
        <w:pStyle w:val="10"/>
        <w:rPr>
          <w:rFonts w:hint="eastAsia" w:ascii="宋体" w:hAnsi="宋体" w:eastAsia="宋体" w:cs="宋体"/>
          <w:highlight w:val="none"/>
          <w:lang w:eastAsia="zh-CN"/>
        </w:rPr>
      </w:pPr>
    </w:p>
    <w:p w14:paraId="2BFB4DD1">
      <w:pPr>
        <w:pStyle w:val="6"/>
        <w:rPr>
          <w:rFonts w:hint="eastAsia" w:ascii="宋体" w:hAnsi="宋体" w:eastAsia="宋体" w:cs="宋体"/>
          <w:highlight w:val="none"/>
          <w:lang w:eastAsia="zh-CN"/>
        </w:rPr>
        <w:sectPr>
          <w:footerReference r:id="rId3" w:type="default"/>
          <w:pgSz w:w="11906" w:h="16839"/>
          <w:pgMar w:top="1232" w:right="1447" w:bottom="1153" w:left="1419" w:header="0" w:footer="994" w:gutter="0"/>
          <w:pgNumType w:start="1"/>
          <w:cols w:space="720" w:num="1"/>
        </w:sectPr>
      </w:pPr>
    </w:p>
    <w:p w14:paraId="5863F0C7">
      <w:pPr>
        <w:pageBreakBefore w:val="0"/>
        <w:widowControl w:val="0"/>
        <w:wordWrap/>
        <w:overflowPunct/>
        <w:topLinePunct w:val="0"/>
        <w:bidi w:val="0"/>
        <w:spacing w:before="63" w:line="224" w:lineRule="auto"/>
        <w:ind w:left="4797" w:leftChars="0" w:hanging="4797" w:hangingChars="1599"/>
        <w:jc w:val="center"/>
        <w:outlineLvl w:val="0"/>
        <w:rPr>
          <w:rFonts w:hint="eastAsia" w:ascii="宋体" w:hAnsi="宋体" w:eastAsia="宋体" w:cs="宋体"/>
          <w:color w:val="auto"/>
          <w:spacing w:val="0"/>
          <w:w w:val="100"/>
          <w:position w:val="0"/>
          <w:sz w:val="30"/>
          <w:szCs w:val="30"/>
          <w:highlight w:val="none"/>
        </w:rPr>
      </w:pPr>
      <w:bookmarkStart w:id="1" w:name="_Toc10185"/>
      <w:r>
        <w:rPr>
          <w:rFonts w:hint="eastAsia" w:ascii="宋体" w:hAnsi="宋体" w:eastAsia="宋体" w:cs="宋体"/>
          <w:color w:val="auto"/>
          <w:spacing w:val="0"/>
          <w:w w:val="100"/>
          <w:position w:val="0"/>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3175" t="6350" r="2540" b="5080"/>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gAFdg2QAA&#10;AA0BAAAPAAAAAAAAAAEAIAAAACIAAABkcnMvZG93bnJldi54bWxQSwECFAAUAAAACACHTuJAm9Fh&#10;gh0CAABHBAAADgAAAAAAAAABACAAAAAoAQAAZHJzL2Uyb0RvYy54bWxQSwUGAAAAAAYABgBZAQAA&#10;twUAAAAA&#10;">
                <v:fill on="t" opacity="49344f"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3175" t="4445" r="254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kHc4XZAAAADQEAAA8AAAAAAAAAAQAg&#10;AAAAIgAAAGRycy9kb3ducmV2LnhtbFBLAQIUABQAAAAIAIdO4kA/reXuDQIAACQEAAAOAAAAAAAA&#10;AAEAIAAAACgBAABkcnMvZTJvRG9jLnhtbFBLBQYAAAAABgAGAFkBAACnBQAAAAA=&#10;">
                <v:fill on="t" focussize="0,0"/>
                <v:stroke on="f"/>
                <v:imagedata o:title=""/>
                <o:lock v:ext="edit" aspectratio="f"/>
              </v:rect>
            </w:pict>
          </mc:Fallback>
        </mc:AlternateContent>
      </w:r>
      <w:r>
        <w:rPr>
          <w:rFonts w:hint="eastAsia" w:ascii="宋体" w:hAnsi="宋体" w:eastAsia="宋体" w:cs="宋体"/>
          <w:color w:val="auto"/>
          <w:spacing w:val="0"/>
          <w:w w:val="100"/>
          <w:position w:val="0"/>
          <w:sz w:val="30"/>
          <w:szCs w:val="30"/>
          <w:highlight w:val="none"/>
          <w14:textOutline w14:w="5791" w14:cap="sq" w14:cmpd="sng" w14:algn="ctr">
            <w14:solidFill>
              <w14:srgbClr w14:val="000000"/>
            </w14:solidFill>
            <w14:prstDash w14:val="solid"/>
            <w14:bevel/>
          </w14:textOutline>
        </w:rPr>
        <w:t>第一章</w:t>
      </w:r>
      <w:r>
        <w:rPr>
          <w:rFonts w:hint="eastAsia" w:ascii="宋体" w:hAnsi="宋体" w:eastAsia="宋体" w:cs="宋体"/>
          <w:color w:val="auto"/>
          <w:spacing w:val="0"/>
          <w:w w:val="100"/>
          <w:position w:val="0"/>
          <w:sz w:val="30"/>
          <w:szCs w:val="30"/>
          <w:highlight w:val="none"/>
        </w:rPr>
        <w:t xml:space="preserve">  </w:t>
      </w:r>
      <w:r>
        <w:rPr>
          <w:rFonts w:hint="eastAsia" w:ascii="宋体" w:hAnsi="宋体" w:eastAsia="宋体" w:cs="宋体"/>
          <w:color w:val="auto"/>
          <w:spacing w:val="0"/>
          <w:w w:val="100"/>
          <w:position w:val="0"/>
          <w:sz w:val="30"/>
          <w:szCs w:val="30"/>
          <w:highlight w:val="none"/>
          <w14:textOutline w14:w="5791" w14:cap="sq" w14:cmpd="sng" w14:algn="ctr">
            <w14:solidFill>
              <w14:srgbClr w14:val="000000"/>
            </w14:solidFill>
            <w14:prstDash w14:val="solid"/>
            <w14:bevel/>
          </w14:textOutline>
        </w:rPr>
        <w:t>投标邀请</w:t>
      </w:r>
      <w:bookmarkEnd w:id="1"/>
    </w:p>
    <w:p w14:paraId="0C9378DC">
      <w:pPr>
        <w:keepNext w:val="0"/>
        <w:keepLines w:val="0"/>
        <w:pageBreakBefore w:val="0"/>
        <w:widowControl w:val="0"/>
        <w:kinsoku w:val="0"/>
        <w:wordWrap/>
        <w:overflowPunct/>
        <w:topLinePunct w:val="0"/>
        <w:autoSpaceDE w:val="0"/>
        <w:autoSpaceDN w:val="0"/>
        <w:bidi w:val="0"/>
        <w:adjustRightInd w:val="0"/>
        <w:snapToGrid w:val="0"/>
        <w:spacing w:before="90" w:line="360" w:lineRule="auto"/>
        <w:textAlignment w:val="baseline"/>
        <w:rPr>
          <w:rFonts w:hint="eastAsia" w:ascii="宋体" w:hAnsi="宋体" w:eastAsia="宋体" w:cs="宋体"/>
          <w:color w:val="auto"/>
          <w:spacing w:val="0"/>
          <w:w w:val="100"/>
          <w:position w:val="0"/>
          <w:highlight w:val="none"/>
        </w:rPr>
      </w:pPr>
    </w:p>
    <w:p w14:paraId="3295B0DC">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kern w:val="0"/>
          <w:position w:val="0"/>
          <w:sz w:val="24"/>
          <w:szCs w:val="24"/>
          <w:highlight w:val="none"/>
          <w:shd w:val="clear" w:color="auto" w:fill="FFFFFF"/>
          <w:lang w:val="en-US" w:eastAsia="zh-CN"/>
        </w:rPr>
        <w:t>东华理工大学抚州新校区公共设备机动项目</w:t>
      </w:r>
      <w:r>
        <w:rPr>
          <w:rFonts w:hint="eastAsia" w:ascii="宋体" w:hAnsi="宋体" w:eastAsia="宋体" w:cs="宋体"/>
          <w:color w:val="auto"/>
          <w:spacing w:val="0"/>
          <w:w w:val="100"/>
          <w:kern w:val="0"/>
          <w:position w:val="0"/>
          <w:sz w:val="24"/>
          <w:szCs w:val="24"/>
          <w:highlight w:val="none"/>
          <w:shd w:val="clear" w:color="auto" w:fill="FFFFFF"/>
        </w:rPr>
        <w:t>的</w:t>
      </w:r>
      <w:r>
        <w:rPr>
          <w:rFonts w:hint="eastAsia" w:ascii="宋体" w:hAnsi="宋体" w:eastAsia="宋体" w:cs="宋体"/>
          <w:color w:val="auto"/>
          <w:spacing w:val="0"/>
          <w:w w:val="100"/>
          <w:kern w:val="0"/>
          <w:position w:val="0"/>
          <w:sz w:val="24"/>
          <w:szCs w:val="24"/>
          <w:highlight w:val="none"/>
        </w:rPr>
        <w:t>潜在投标人应在</w:t>
      </w:r>
      <w:r>
        <w:rPr>
          <w:rFonts w:hint="eastAsia" w:ascii="宋体" w:hAnsi="宋体" w:eastAsia="宋体" w:cs="宋体"/>
          <w:color w:val="auto"/>
          <w:spacing w:val="0"/>
          <w:w w:val="100"/>
          <w:kern w:val="0"/>
          <w:position w:val="0"/>
          <w:sz w:val="24"/>
          <w:szCs w:val="24"/>
          <w:highlight w:val="none"/>
          <w:u w:val="none"/>
        </w:rPr>
        <w:t>江西省公共资源交易</w:t>
      </w:r>
      <w:r>
        <w:rPr>
          <w:rFonts w:hint="eastAsia" w:ascii="宋体" w:hAnsi="宋体" w:eastAsia="宋体" w:cs="宋体"/>
          <w:color w:val="auto"/>
          <w:spacing w:val="0"/>
          <w:w w:val="100"/>
          <w:kern w:val="0"/>
          <w:position w:val="0"/>
          <w:sz w:val="24"/>
          <w:szCs w:val="24"/>
          <w:highlight w:val="none"/>
          <w:u w:val="none"/>
          <w:lang w:val="en-US" w:eastAsia="zh-CN"/>
        </w:rPr>
        <w:t>平台确认并</w:t>
      </w:r>
      <w:r>
        <w:rPr>
          <w:rFonts w:hint="eastAsia" w:ascii="宋体" w:hAnsi="宋体" w:eastAsia="宋体" w:cs="宋体"/>
          <w:color w:val="auto"/>
          <w:spacing w:val="0"/>
          <w:w w:val="100"/>
          <w:kern w:val="0"/>
          <w:position w:val="0"/>
          <w:sz w:val="24"/>
          <w:szCs w:val="24"/>
          <w:highlight w:val="none"/>
        </w:rPr>
        <w:t>获取招标文件，并于</w:t>
      </w:r>
      <w:r>
        <w:rPr>
          <w:rFonts w:hint="eastAsia" w:ascii="宋体" w:hAnsi="宋体" w:eastAsia="宋体" w:cs="宋体"/>
          <w:color w:val="auto"/>
          <w:spacing w:val="0"/>
          <w:w w:val="100"/>
          <w:kern w:val="0"/>
          <w:position w:val="0"/>
          <w:sz w:val="24"/>
          <w:szCs w:val="24"/>
          <w:highlight w:val="none"/>
          <w:u w:val="single"/>
          <w:lang w:val="en-US" w:eastAsia="zh-CN"/>
        </w:rPr>
        <w:t xml:space="preserve">2026 </w:t>
      </w:r>
      <w:r>
        <w:rPr>
          <w:rFonts w:hint="eastAsia" w:ascii="宋体" w:hAnsi="宋体" w:eastAsia="宋体" w:cs="宋体"/>
          <w:color w:val="auto"/>
          <w:spacing w:val="0"/>
          <w:w w:val="100"/>
          <w:kern w:val="0"/>
          <w:position w:val="0"/>
          <w:sz w:val="24"/>
          <w:szCs w:val="24"/>
          <w:highlight w:val="none"/>
        </w:rPr>
        <w:t>年</w:t>
      </w:r>
      <w:r>
        <w:rPr>
          <w:rFonts w:hint="eastAsia" w:ascii="宋体" w:hAnsi="宋体" w:eastAsia="宋体" w:cs="宋体"/>
          <w:color w:val="auto"/>
          <w:spacing w:val="0"/>
          <w:w w:val="100"/>
          <w:kern w:val="0"/>
          <w:position w:val="0"/>
          <w:sz w:val="24"/>
          <w:szCs w:val="24"/>
          <w:highlight w:val="none"/>
          <w:u w:val="single"/>
          <w:lang w:val="en-US" w:eastAsia="zh-CN"/>
        </w:rPr>
        <w:t>6</w:t>
      </w:r>
      <w:r>
        <w:rPr>
          <w:rFonts w:hint="eastAsia" w:ascii="宋体" w:hAnsi="宋体" w:eastAsia="宋体" w:cs="宋体"/>
          <w:color w:val="auto"/>
          <w:spacing w:val="0"/>
          <w:w w:val="100"/>
          <w:kern w:val="0"/>
          <w:position w:val="0"/>
          <w:sz w:val="24"/>
          <w:szCs w:val="24"/>
          <w:highlight w:val="none"/>
        </w:rPr>
        <w:t>月</w:t>
      </w:r>
      <w:r>
        <w:rPr>
          <w:rFonts w:hint="eastAsia" w:ascii="宋体" w:hAnsi="宋体" w:eastAsia="宋体" w:cs="宋体"/>
          <w:color w:val="auto"/>
          <w:spacing w:val="0"/>
          <w:w w:val="100"/>
          <w:kern w:val="0"/>
          <w:position w:val="0"/>
          <w:sz w:val="24"/>
          <w:szCs w:val="24"/>
          <w:highlight w:val="none"/>
          <w:u w:val="single"/>
          <w:lang w:val="en-US" w:eastAsia="zh-CN"/>
        </w:rPr>
        <w:t>30</w:t>
      </w:r>
      <w:r>
        <w:rPr>
          <w:rFonts w:hint="eastAsia" w:ascii="宋体" w:hAnsi="宋体" w:eastAsia="宋体" w:cs="宋体"/>
          <w:color w:val="auto"/>
          <w:spacing w:val="0"/>
          <w:w w:val="100"/>
          <w:kern w:val="0"/>
          <w:position w:val="0"/>
          <w:sz w:val="24"/>
          <w:szCs w:val="24"/>
          <w:highlight w:val="none"/>
        </w:rPr>
        <w:t>日</w:t>
      </w:r>
      <w:r>
        <w:rPr>
          <w:rFonts w:hint="eastAsia" w:ascii="宋体" w:hAnsi="宋体" w:eastAsia="宋体" w:cs="宋体"/>
          <w:color w:val="auto"/>
          <w:spacing w:val="0"/>
          <w:w w:val="100"/>
          <w:kern w:val="0"/>
          <w:position w:val="0"/>
          <w:sz w:val="24"/>
          <w:szCs w:val="24"/>
          <w:highlight w:val="none"/>
          <w:u w:val="single"/>
          <w:lang w:val="en-US" w:eastAsia="zh-CN"/>
        </w:rPr>
        <w:t>09</w:t>
      </w:r>
      <w:r>
        <w:rPr>
          <w:rFonts w:hint="eastAsia" w:ascii="宋体" w:hAnsi="宋体" w:eastAsia="宋体" w:cs="宋体"/>
          <w:color w:val="auto"/>
          <w:spacing w:val="0"/>
          <w:w w:val="100"/>
          <w:kern w:val="0"/>
          <w:position w:val="0"/>
          <w:sz w:val="24"/>
          <w:szCs w:val="24"/>
          <w:highlight w:val="none"/>
        </w:rPr>
        <w:t>点</w:t>
      </w:r>
      <w:r>
        <w:rPr>
          <w:rFonts w:hint="eastAsia" w:ascii="宋体" w:hAnsi="宋体" w:eastAsia="宋体" w:cs="宋体"/>
          <w:color w:val="auto"/>
          <w:spacing w:val="0"/>
          <w:w w:val="100"/>
          <w:kern w:val="0"/>
          <w:position w:val="0"/>
          <w:sz w:val="24"/>
          <w:szCs w:val="24"/>
          <w:highlight w:val="none"/>
          <w:u w:val="single"/>
          <w:lang w:val="en-US" w:eastAsia="zh-CN"/>
        </w:rPr>
        <w:t>30</w:t>
      </w:r>
      <w:r>
        <w:rPr>
          <w:rFonts w:hint="eastAsia" w:ascii="宋体" w:hAnsi="宋体" w:eastAsia="宋体" w:cs="宋体"/>
          <w:color w:val="auto"/>
          <w:spacing w:val="0"/>
          <w:w w:val="100"/>
          <w:kern w:val="0"/>
          <w:position w:val="0"/>
          <w:sz w:val="24"/>
          <w:szCs w:val="24"/>
          <w:highlight w:val="none"/>
        </w:rPr>
        <w:t>分（北京时间）前</w:t>
      </w:r>
      <w:r>
        <w:rPr>
          <w:rFonts w:hint="eastAsia" w:ascii="宋体" w:hAnsi="宋体" w:eastAsia="宋体" w:cs="宋体"/>
          <w:color w:val="auto"/>
          <w:spacing w:val="0"/>
          <w:w w:val="100"/>
          <w:kern w:val="0"/>
          <w:position w:val="0"/>
          <w:sz w:val="24"/>
          <w:szCs w:val="24"/>
          <w:highlight w:val="none"/>
          <w:lang w:val="en-US" w:eastAsia="zh-CN"/>
        </w:rPr>
        <w:t>提</w:t>
      </w:r>
      <w:r>
        <w:rPr>
          <w:rFonts w:hint="eastAsia" w:ascii="宋体" w:hAnsi="宋体" w:eastAsia="宋体" w:cs="宋体"/>
          <w:color w:val="auto"/>
          <w:spacing w:val="0"/>
          <w:w w:val="100"/>
          <w:kern w:val="0"/>
          <w:position w:val="0"/>
          <w:sz w:val="24"/>
          <w:szCs w:val="24"/>
          <w:highlight w:val="none"/>
        </w:rPr>
        <w:t>交投标文件。</w:t>
      </w:r>
    </w:p>
    <w:p w14:paraId="6116DA63">
      <w:pPr>
        <w:keepNext w:val="0"/>
        <w:keepLines w:val="0"/>
        <w:pageBreakBefore w:val="0"/>
        <w:widowControl w:val="0"/>
        <w:kinsoku w:val="0"/>
        <w:wordWrap/>
        <w:overflowPunct/>
        <w:topLinePunct w:val="0"/>
        <w:autoSpaceDE w:val="0"/>
        <w:autoSpaceDN w:val="0"/>
        <w:bidi w:val="0"/>
        <w:adjustRightInd w:val="0"/>
        <w:snapToGrid w:val="0"/>
        <w:spacing w:line="360" w:lineRule="auto"/>
        <w:ind w:left="107"/>
        <w:textAlignment w:val="baseline"/>
        <w:outlineLvl w:val="0"/>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2" w:name="_Toc13577"/>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一、项目基本情况</w:t>
      </w:r>
      <w:bookmarkEnd w:id="2"/>
    </w:p>
    <w:p w14:paraId="59345CF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项目编号：</w:t>
      </w:r>
      <w:r>
        <w:rPr>
          <w:rFonts w:hint="eastAsia" w:ascii="宋体" w:hAnsi="宋体" w:eastAsia="宋体" w:cs="宋体"/>
          <w:color w:val="auto"/>
          <w:spacing w:val="0"/>
          <w:w w:val="100"/>
          <w:position w:val="0"/>
          <w:sz w:val="24"/>
          <w:szCs w:val="24"/>
          <w:highlight w:val="none"/>
          <w:lang w:val="en-US" w:eastAsia="zh-CN"/>
        </w:rPr>
        <w:t xml:space="preserve">JXTC2026200101  </w:t>
      </w:r>
    </w:p>
    <w:p w14:paraId="23C5E86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项目名称：</w:t>
      </w:r>
      <w:r>
        <w:rPr>
          <w:rFonts w:hint="eastAsia" w:ascii="宋体" w:hAnsi="宋体" w:eastAsia="宋体" w:cs="宋体"/>
          <w:color w:val="auto"/>
          <w:spacing w:val="0"/>
          <w:w w:val="100"/>
          <w:position w:val="0"/>
          <w:sz w:val="24"/>
          <w:szCs w:val="24"/>
          <w:highlight w:val="none"/>
          <w:lang w:val="en-US" w:eastAsia="zh-CN"/>
        </w:rPr>
        <w:t>东华理工大学抚州新校区公共设备机动项目</w:t>
      </w:r>
    </w:p>
    <w:p w14:paraId="11A84E7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lang w:val="en-US" w:eastAsia="zh-CN"/>
        </w:rPr>
        <w:t>397900</w:t>
      </w:r>
      <w:r>
        <w:rPr>
          <w:rFonts w:ascii="宋体" w:hAnsi="宋体" w:eastAsia="宋体" w:cs="宋体"/>
          <w:color w:val="auto"/>
          <w:spacing w:val="0"/>
          <w:position w:val="0"/>
          <w:sz w:val="24"/>
          <w:szCs w:val="24"/>
          <w:highlight w:val="none"/>
          <w:lang w:eastAsia="zh-CN"/>
        </w:rPr>
        <w:t>元人民币</w:t>
      </w:r>
    </w:p>
    <w:p w14:paraId="2B8835D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采购需求：</w:t>
      </w:r>
    </w:p>
    <w:tbl>
      <w:tblPr>
        <w:tblStyle w:val="18"/>
        <w:tblW w:w="8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2149"/>
        <w:gridCol w:w="1100"/>
        <w:gridCol w:w="1550"/>
        <w:gridCol w:w="2519"/>
      </w:tblGrid>
      <w:tr w14:paraId="4C4FF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66B14319">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序号</w:t>
            </w:r>
          </w:p>
        </w:tc>
        <w:tc>
          <w:tcPr>
            <w:tcW w:w="2149" w:type="dxa"/>
            <w:noWrap/>
            <w:vAlign w:val="center"/>
          </w:tcPr>
          <w:p w14:paraId="0534CEAF">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名称</w:t>
            </w:r>
          </w:p>
        </w:tc>
        <w:tc>
          <w:tcPr>
            <w:tcW w:w="1100" w:type="dxa"/>
            <w:noWrap/>
            <w:vAlign w:val="center"/>
          </w:tcPr>
          <w:p w14:paraId="48B2A30C">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数量</w:t>
            </w:r>
          </w:p>
        </w:tc>
        <w:tc>
          <w:tcPr>
            <w:tcW w:w="1550" w:type="dxa"/>
            <w:noWrap/>
            <w:vAlign w:val="center"/>
          </w:tcPr>
          <w:p w14:paraId="13F162C7">
            <w:pPr>
              <w:keepNext w:val="0"/>
              <w:keepLines w:val="0"/>
              <w:pageBreakBefore w:val="0"/>
              <w:wordWrap/>
              <w:overflowPunct/>
              <w:topLinePunct w:val="0"/>
              <w:bidi w:val="0"/>
              <w:spacing w:line="360" w:lineRule="auto"/>
              <w:jc w:val="center"/>
              <w:rPr>
                <w:rFonts w:hint="default" w:ascii="宋体" w:hAnsi="宋体" w:eastAsia="宋体" w:cs="宋体"/>
                <w:b/>
                <w:w w:val="90"/>
                <w:sz w:val="24"/>
                <w:szCs w:val="24"/>
                <w:highlight w:val="none"/>
                <w:lang w:val="en-US" w:eastAsia="zh-CN"/>
              </w:rPr>
            </w:pPr>
            <w:r>
              <w:rPr>
                <w:rFonts w:hint="eastAsia" w:ascii="宋体" w:hAnsi="宋体" w:eastAsia="宋体" w:cs="宋体"/>
                <w:b/>
                <w:sz w:val="24"/>
                <w:szCs w:val="24"/>
                <w:highlight w:val="none"/>
              </w:rPr>
              <w:t>单价</w:t>
            </w:r>
            <w:r>
              <w:rPr>
                <w:rFonts w:hint="eastAsia" w:ascii="宋体" w:hAnsi="宋体" w:eastAsia="宋体" w:cs="宋体"/>
                <w:b/>
                <w:sz w:val="24"/>
                <w:szCs w:val="24"/>
                <w:highlight w:val="none"/>
                <w:lang w:val="en-US" w:eastAsia="zh-CN"/>
              </w:rPr>
              <w:t>最高限价（元）</w:t>
            </w:r>
          </w:p>
        </w:tc>
        <w:tc>
          <w:tcPr>
            <w:tcW w:w="2519" w:type="dxa"/>
            <w:noWrap/>
            <w:vAlign w:val="center"/>
          </w:tcPr>
          <w:p w14:paraId="25C6372F">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lang w:val="en-US" w:eastAsia="zh-CN"/>
              </w:rPr>
            </w:pPr>
            <w:r>
              <w:rPr>
                <w:rFonts w:hint="eastAsia" w:ascii="宋体" w:hAnsi="宋体" w:eastAsia="宋体" w:cs="宋体"/>
                <w:b/>
                <w:sz w:val="24"/>
                <w:szCs w:val="24"/>
                <w:highlight w:val="none"/>
                <w:lang w:val="en-US" w:eastAsia="zh-CN"/>
              </w:rPr>
              <w:t>采购条目编号</w:t>
            </w:r>
          </w:p>
        </w:tc>
      </w:tr>
      <w:tr w14:paraId="0CE1B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2BAAD25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w:t>
            </w:r>
          </w:p>
        </w:tc>
        <w:tc>
          <w:tcPr>
            <w:tcW w:w="2149" w:type="dxa"/>
            <w:noWrap/>
            <w:vAlign w:val="center"/>
          </w:tcPr>
          <w:p w14:paraId="2229C34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便携式计算机</w:t>
            </w:r>
          </w:p>
        </w:tc>
        <w:tc>
          <w:tcPr>
            <w:tcW w:w="1100" w:type="dxa"/>
            <w:noWrap/>
            <w:vAlign w:val="center"/>
          </w:tcPr>
          <w:p w14:paraId="045669A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11台</w:t>
            </w:r>
          </w:p>
        </w:tc>
        <w:tc>
          <w:tcPr>
            <w:tcW w:w="1550" w:type="dxa"/>
            <w:noWrap/>
            <w:vAlign w:val="center"/>
          </w:tcPr>
          <w:p w14:paraId="5A691B1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5000 </w:t>
            </w:r>
          </w:p>
        </w:tc>
        <w:tc>
          <w:tcPr>
            <w:tcW w:w="2519" w:type="dxa"/>
            <w:noWrap/>
            <w:vAlign w:val="center"/>
          </w:tcPr>
          <w:p w14:paraId="67D20E6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抚购2026J000212634</w:t>
            </w:r>
          </w:p>
        </w:tc>
      </w:tr>
      <w:tr w14:paraId="11597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7F451F4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2</w:t>
            </w:r>
          </w:p>
        </w:tc>
        <w:tc>
          <w:tcPr>
            <w:tcW w:w="2149" w:type="dxa"/>
            <w:noWrap/>
            <w:vAlign w:val="center"/>
          </w:tcPr>
          <w:p w14:paraId="1B43E78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台式计算机</w:t>
            </w:r>
          </w:p>
        </w:tc>
        <w:tc>
          <w:tcPr>
            <w:tcW w:w="1100" w:type="dxa"/>
            <w:noWrap/>
            <w:vAlign w:val="center"/>
          </w:tcPr>
          <w:p w14:paraId="498C824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3台</w:t>
            </w:r>
          </w:p>
        </w:tc>
        <w:tc>
          <w:tcPr>
            <w:tcW w:w="1550" w:type="dxa"/>
            <w:noWrap/>
            <w:vAlign w:val="center"/>
          </w:tcPr>
          <w:p w14:paraId="2E3AB7E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5000 </w:t>
            </w:r>
          </w:p>
        </w:tc>
        <w:tc>
          <w:tcPr>
            <w:tcW w:w="2519" w:type="dxa"/>
            <w:noWrap/>
            <w:vAlign w:val="center"/>
          </w:tcPr>
          <w:p w14:paraId="4154CF2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抚购2026J000212635</w:t>
            </w:r>
          </w:p>
        </w:tc>
      </w:tr>
      <w:tr w14:paraId="5135C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BF563C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3</w:t>
            </w:r>
          </w:p>
        </w:tc>
        <w:tc>
          <w:tcPr>
            <w:tcW w:w="2149" w:type="dxa"/>
            <w:noWrap/>
            <w:vAlign w:val="center"/>
          </w:tcPr>
          <w:p w14:paraId="47D8C6A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多功能一体机</w:t>
            </w:r>
          </w:p>
        </w:tc>
        <w:tc>
          <w:tcPr>
            <w:tcW w:w="1100" w:type="dxa"/>
            <w:noWrap/>
            <w:vAlign w:val="center"/>
          </w:tcPr>
          <w:p w14:paraId="6A844F9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15台</w:t>
            </w:r>
          </w:p>
        </w:tc>
        <w:tc>
          <w:tcPr>
            <w:tcW w:w="1550" w:type="dxa"/>
            <w:noWrap/>
            <w:vAlign w:val="center"/>
          </w:tcPr>
          <w:p w14:paraId="434792B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2600 </w:t>
            </w:r>
          </w:p>
        </w:tc>
        <w:tc>
          <w:tcPr>
            <w:tcW w:w="2519" w:type="dxa"/>
            <w:noWrap/>
            <w:vAlign w:val="center"/>
          </w:tcPr>
          <w:p w14:paraId="72EA7A0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抚购2026J000212636</w:t>
            </w:r>
          </w:p>
        </w:tc>
      </w:tr>
      <w:tr w14:paraId="12B9F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51ED92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4</w:t>
            </w:r>
          </w:p>
        </w:tc>
        <w:tc>
          <w:tcPr>
            <w:tcW w:w="2149" w:type="dxa"/>
            <w:noWrap/>
            <w:vAlign w:val="center"/>
          </w:tcPr>
          <w:p w14:paraId="18D051F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1</w:t>
            </w:r>
          </w:p>
        </w:tc>
        <w:tc>
          <w:tcPr>
            <w:tcW w:w="1100" w:type="dxa"/>
            <w:noWrap/>
            <w:vAlign w:val="center"/>
          </w:tcPr>
          <w:p w14:paraId="6CFFB39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15套</w:t>
            </w:r>
          </w:p>
        </w:tc>
        <w:tc>
          <w:tcPr>
            <w:tcW w:w="1550" w:type="dxa"/>
            <w:noWrap/>
            <w:vAlign w:val="center"/>
          </w:tcPr>
          <w:p w14:paraId="271644D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1200</w:t>
            </w:r>
          </w:p>
        </w:tc>
        <w:tc>
          <w:tcPr>
            <w:tcW w:w="2519" w:type="dxa"/>
            <w:noWrap/>
            <w:vAlign w:val="center"/>
          </w:tcPr>
          <w:p w14:paraId="1D6157B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抚购2026J000212637</w:t>
            </w:r>
          </w:p>
        </w:tc>
      </w:tr>
      <w:tr w14:paraId="594BD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AA92FC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5</w:t>
            </w:r>
          </w:p>
        </w:tc>
        <w:tc>
          <w:tcPr>
            <w:tcW w:w="2149" w:type="dxa"/>
            <w:noWrap/>
            <w:vAlign w:val="center"/>
          </w:tcPr>
          <w:p w14:paraId="7661698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1</w:t>
            </w:r>
          </w:p>
        </w:tc>
        <w:tc>
          <w:tcPr>
            <w:tcW w:w="1100" w:type="dxa"/>
            <w:noWrap/>
            <w:vAlign w:val="center"/>
          </w:tcPr>
          <w:p w14:paraId="3673C21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15把</w:t>
            </w:r>
          </w:p>
        </w:tc>
        <w:tc>
          <w:tcPr>
            <w:tcW w:w="1550" w:type="dxa"/>
            <w:noWrap/>
            <w:vAlign w:val="center"/>
          </w:tcPr>
          <w:p w14:paraId="3E5A333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240</w:t>
            </w:r>
          </w:p>
        </w:tc>
        <w:tc>
          <w:tcPr>
            <w:tcW w:w="2519" w:type="dxa"/>
            <w:noWrap/>
            <w:vAlign w:val="center"/>
          </w:tcPr>
          <w:p w14:paraId="26B15CF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抚购2026J000212638</w:t>
            </w:r>
          </w:p>
        </w:tc>
      </w:tr>
      <w:tr w14:paraId="71628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E722B9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6</w:t>
            </w:r>
          </w:p>
        </w:tc>
        <w:tc>
          <w:tcPr>
            <w:tcW w:w="2149" w:type="dxa"/>
            <w:noWrap/>
            <w:vAlign w:val="center"/>
          </w:tcPr>
          <w:p w14:paraId="6691BCC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会议桌</w:t>
            </w:r>
          </w:p>
        </w:tc>
        <w:tc>
          <w:tcPr>
            <w:tcW w:w="1100" w:type="dxa"/>
            <w:noWrap/>
            <w:vAlign w:val="center"/>
          </w:tcPr>
          <w:p w14:paraId="5B7C477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4张</w:t>
            </w:r>
          </w:p>
        </w:tc>
        <w:tc>
          <w:tcPr>
            <w:tcW w:w="1550" w:type="dxa"/>
            <w:noWrap/>
            <w:vAlign w:val="center"/>
          </w:tcPr>
          <w:p w14:paraId="0B953F2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5985</w:t>
            </w:r>
          </w:p>
        </w:tc>
        <w:tc>
          <w:tcPr>
            <w:tcW w:w="2519" w:type="dxa"/>
            <w:noWrap/>
            <w:vAlign w:val="center"/>
          </w:tcPr>
          <w:p w14:paraId="1D0C7A0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抚购2026J000212639</w:t>
            </w:r>
          </w:p>
        </w:tc>
      </w:tr>
      <w:tr w14:paraId="721A0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EFED90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7</w:t>
            </w:r>
          </w:p>
        </w:tc>
        <w:tc>
          <w:tcPr>
            <w:tcW w:w="2149" w:type="dxa"/>
            <w:noWrap/>
            <w:vAlign w:val="center"/>
          </w:tcPr>
          <w:p w14:paraId="1DBDD1D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会议椅</w:t>
            </w:r>
          </w:p>
        </w:tc>
        <w:tc>
          <w:tcPr>
            <w:tcW w:w="1100" w:type="dxa"/>
            <w:noWrap/>
            <w:vAlign w:val="center"/>
          </w:tcPr>
          <w:p w14:paraId="1E5200E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124把</w:t>
            </w:r>
          </w:p>
        </w:tc>
        <w:tc>
          <w:tcPr>
            <w:tcW w:w="1550" w:type="dxa"/>
            <w:noWrap/>
            <w:vAlign w:val="center"/>
          </w:tcPr>
          <w:p w14:paraId="4217AA7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240</w:t>
            </w:r>
          </w:p>
        </w:tc>
        <w:tc>
          <w:tcPr>
            <w:tcW w:w="2519" w:type="dxa"/>
            <w:noWrap/>
            <w:vAlign w:val="center"/>
          </w:tcPr>
          <w:p w14:paraId="61D5285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抚购2026J000212640</w:t>
            </w:r>
          </w:p>
        </w:tc>
      </w:tr>
      <w:tr w14:paraId="42F6C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E4ACCD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8</w:t>
            </w:r>
          </w:p>
        </w:tc>
        <w:tc>
          <w:tcPr>
            <w:tcW w:w="2149" w:type="dxa"/>
            <w:noWrap/>
            <w:vAlign w:val="center"/>
          </w:tcPr>
          <w:p w14:paraId="1568454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办公卡位</w:t>
            </w:r>
          </w:p>
        </w:tc>
        <w:tc>
          <w:tcPr>
            <w:tcW w:w="1100" w:type="dxa"/>
            <w:noWrap/>
            <w:vAlign w:val="center"/>
          </w:tcPr>
          <w:p w14:paraId="44CA3A9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82套</w:t>
            </w:r>
          </w:p>
        </w:tc>
        <w:tc>
          <w:tcPr>
            <w:tcW w:w="1550" w:type="dxa"/>
            <w:noWrap/>
            <w:vAlign w:val="center"/>
          </w:tcPr>
          <w:p w14:paraId="5F09A71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1300</w:t>
            </w:r>
          </w:p>
        </w:tc>
        <w:tc>
          <w:tcPr>
            <w:tcW w:w="2519" w:type="dxa"/>
            <w:noWrap/>
            <w:vAlign w:val="center"/>
          </w:tcPr>
          <w:p w14:paraId="1BF6748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抚购2026J000212641</w:t>
            </w:r>
          </w:p>
        </w:tc>
      </w:tr>
      <w:tr w14:paraId="7FEF4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E9BEE8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9</w:t>
            </w:r>
          </w:p>
        </w:tc>
        <w:tc>
          <w:tcPr>
            <w:tcW w:w="2149" w:type="dxa"/>
            <w:noWrap/>
            <w:vAlign w:val="center"/>
          </w:tcPr>
          <w:p w14:paraId="7D54B37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2</w:t>
            </w:r>
          </w:p>
        </w:tc>
        <w:tc>
          <w:tcPr>
            <w:tcW w:w="1100" w:type="dxa"/>
            <w:noWrap/>
            <w:vAlign w:val="center"/>
          </w:tcPr>
          <w:p w14:paraId="4F62C03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11套</w:t>
            </w:r>
          </w:p>
        </w:tc>
        <w:tc>
          <w:tcPr>
            <w:tcW w:w="1550" w:type="dxa"/>
            <w:noWrap/>
            <w:vAlign w:val="center"/>
          </w:tcPr>
          <w:p w14:paraId="27E6AD0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1800</w:t>
            </w:r>
          </w:p>
        </w:tc>
        <w:tc>
          <w:tcPr>
            <w:tcW w:w="2519" w:type="dxa"/>
            <w:noWrap/>
            <w:vAlign w:val="center"/>
          </w:tcPr>
          <w:p w14:paraId="1D225D7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抚购2026J000212642</w:t>
            </w:r>
          </w:p>
        </w:tc>
      </w:tr>
      <w:tr w14:paraId="47510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9C15B2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10</w:t>
            </w:r>
          </w:p>
        </w:tc>
        <w:tc>
          <w:tcPr>
            <w:tcW w:w="2149" w:type="dxa"/>
            <w:noWrap/>
            <w:vAlign w:val="center"/>
          </w:tcPr>
          <w:p w14:paraId="39F9C96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茶几</w:t>
            </w:r>
          </w:p>
        </w:tc>
        <w:tc>
          <w:tcPr>
            <w:tcW w:w="1100" w:type="dxa"/>
            <w:noWrap/>
            <w:vAlign w:val="center"/>
          </w:tcPr>
          <w:p w14:paraId="1642090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11张</w:t>
            </w:r>
          </w:p>
        </w:tc>
        <w:tc>
          <w:tcPr>
            <w:tcW w:w="1550" w:type="dxa"/>
            <w:noWrap/>
            <w:vAlign w:val="center"/>
          </w:tcPr>
          <w:p w14:paraId="23B1BCA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500</w:t>
            </w:r>
          </w:p>
        </w:tc>
        <w:tc>
          <w:tcPr>
            <w:tcW w:w="2519" w:type="dxa"/>
            <w:noWrap/>
            <w:vAlign w:val="center"/>
          </w:tcPr>
          <w:p w14:paraId="7B31C53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抚购2026J000212643</w:t>
            </w:r>
          </w:p>
        </w:tc>
      </w:tr>
      <w:tr w14:paraId="60EEA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38773B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11</w:t>
            </w:r>
          </w:p>
        </w:tc>
        <w:tc>
          <w:tcPr>
            <w:tcW w:w="2149" w:type="dxa"/>
            <w:noWrap/>
            <w:vAlign w:val="center"/>
          </w:tcPr>
          <w:p w14:paraId="29A267D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2</w:t>
            </w:r>
          </w:p>
        </w:tc>
        <w:tc>
          <w:tcPr>
            <w:tcW w:w="1100" w:type="dxa"/>
            <w:noWrap/>
            <w:vAlign w:val="center"/>
          </w:tcPr>
          <w:p w14:paraId="6FB29A9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11把</w:t>
            </w:r>
          </w:p>
        </w:tc>
        <w:tc>
          <w:tcPr>
            <w:tcW w:w="1550" w:type="dxa"/>
            <w:noWrap/>
            <w:vAlign w:val="center"/>
          </w:tcPr>
          <w:p w14:paraId="543FC00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400</w:t>
            </w:r>
          </w:p>
        </w:tc>
        <w:tc>
          <w:tcPr>
            <w:tcW w:w="2519" w:type="dxa"/>
            <w:noWrap/>
            <w:vAlign w:val="center"/>
          </w:tcPr>
          <w:p w14:paraId="4C40497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抚购2026J000212644</w:t>
            </w:r>
          </w:p>
        </w:tc>
      </w:tr>
      <w:tr w14:paraId="08B06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84E8DE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12</w:t>
            </w:r>
          </w:p>
        </w:tc>
        <w:tc>
          <w:tcPr>
            <w:tcW w:w="2149" w:type="dxa"/>
            <w:noWrap/>
            <w:vAlign w:val="center"/>
          </w:tcPr>
          <w:p w14:paraId="37E216F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书柜</w:t>
            </w:r>
          </w:p>
        </w:tc>
        <w:tc>
          <w:tcPr>
            <w:tcW w:w="1100" w:type="dxa"/>
            <w:noWrap/>
            <w:vAlign w:val="center"/>
          </w:tcPr>
          <w:p w14:paraId="324B1AA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11套</w:t>
            </w:r>
          </w:p>
        </w:tc>
        <w:tc>
          <w:tcPr>
            <w:tcW w:w="1550" w:type="dxa"/>
            <w:noWrap/>
            <w:vAlign w:val="center"/>
          </w:tcPr>
          <w:p w14:paraId="13D5C56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1000</w:t>
            </w:r>
          </w:p>
        </w:tc>
        <w:tc>
          <w:tcPr>
            <w:tcW w:w="2519" w:type="dxa"/>
            <w:noWrap/>
            <w:vAlign w:val="center"/>
          </w:tcPr>
          <w:p w14:paraId="5613140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抚购2026J000212645</w:t>
            </w:r>
          </w:p>
        </w:tc>
      </w:tr>
      <w:tr w14:paraId="16006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7884BA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13</w:t>
            </w:r>
          </w:p>
        </w:tc>
        <w:tc>
          <w:tcPr>
            <w:tcW w:w="2149" w:type="dxa"/>
            <w:noWrap/>
            <w:vAlign w:val="center"/>
          </w:tcPr>
          <w:p w14:paraId="6B7A1FC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三人沙发</w:t>
            </w:r>
          </w:p>
        </w:tc>
        <w:tc>
          <w:tcPr>
            <w:tcW w:w="1100" w:type="dxa"/>
            <w:noWrap/>
            <w:vAlign w:val="center"/>
          </w:tcPr>
          <w:p w14:paraId="1C5339A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11张</w:t>
            </w:r>
          </w:p>
        </w:tc>
        <w:tc>
          <w:tcPr>
            <w:tcW w:w="1550" w:type="dxa"/>
            <w:noWrap/>
            <w:vAlign w:val="center"/>
          </w:tcPr>
          <w:p w14:paraId="660462A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1300</w:t>
            </w:r>
          </w:p>
        </w:tc>
        <w:tc>
          <w:tcPr>
            <w:tcW w:w="2519" w:type="dxa"/>
            <w:noWrap/>
            <w:vAlign w:val="center"/>
          </w:tcPr>
          <w:p w14:paraId="331639E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抚购2026J000212646</w:t>
            </w:r>
          </w:p>
        </w:tc>
      </w:tr>
      <w:tr w14:paraId="2B04F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0C0E00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14</w:t>
            </w:r>
          </w:p>
        </w:tc>
        <w:tc>
          <w:tcPr>
            <w:tcW w:w="2149" w:type="dxa"/>
            <w:noWrap/>
            <w:vAlign w:val="center"/>
          </w:tcPr>
          <w:p w14:paraId="03F49D0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3</w:t>
            </w:r>
          </w:p>
        </w:tc>
        <w:tc>
          <w:tcPr>
            <w:tcW w:w="1100" w:type="dxa"/>
            <w:noWrap/>
            <w:vAlign w:val="center"/>
          </w:tcPr>
          <w:p w14:paraId="39FB361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11把</w:t>
            </w:r>
          </w:p>
        </w:tc>
        <w:tc>
          <w:tcPr>
            <w:tcW w:w="1550" w:type="dxa"/>
            <w:noWrap/>
            <w:vAlign w:val="center"/>
          </w:tcPr>
          <w:p w14:paraId="7232F02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800</w:t>
            </w:r>
          </w:p>
        </w:tc>
        <w:tc>
          <w:tcPr>
            <w:tcW w:w="2519" w:type="dxa"/>
            <w:noWrap/>
            <w:vAlign w:val="center"/>
          </w:tcPr>
          <w:p w14:paraId="629DF61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抚购2026J000212647</w:t>
            </w:r>
          </w:p>
        </w:tc>
      </w:tr>
      <w:tr w14:paraId="199F6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E21A35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15</w:t>
            </w:r>
          </w:p>
        </w:tc>
        <w:tc>
          <w:tcPr>
            <w:tcW w:w="2149" w:type="dxa"/>
            <w:noWrap/>
            <w:vAlign w:val="center"/>
          </w:tcPr>
          <w:p w14:paraId="5380ACF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其他椅凳类（旋转升降圆凳）</w:t>
            </w:r>
          </w:p>
        </w:tc>
        <w:tc>
          <w:tcPr>
            <w:tcW w:w="1100" w:type="dxa"/>
            <w:noWrap/>
            <w:vAlign w:val="center"/>
          </w:tcPr>
          <w:p w14:paraId="41C16E4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12张</w:t>
            </w:r>
          </w:p>
        </w:tc>
        <w:tc>
          <w:tcPr>
            <w:tcW w:w="1550" w:type="dxa"/>
            <w:noWrap/>
            <w:vAlign w:val="center"/>
          </w:tcPr>
          <w:p w14:paraId="3F5C049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100 </w:t>
            </w:r>
          </w:p>
        </w:tc>
        <w:tc>
          <w:tcPr>
            <w:tcW w:w="2519" w:type="dxa"/>
            <w:noWrap/>
            <w:vAlign w:val="center"/>
          </w:tcPr>
          <w:p w14:paraId="4DC7690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抚购2026J000212648</w:t>
            </w:r>
          </w:p>
        </w:tc>
      </w:tr>
      <w:tr w14:paraId="3D2AA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B8356D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16</w:t>
            </w:r>
          </w:p>
        </w:tc>
        <w:tc>
          <w:tcPr>
            <w:tcW w:w="2149" w:type="dxa"/>
            <w:noWrap/>
            <w:vAlign w:val="center"/>
          </w:tcPr>
          <w:p w14:paraId="1E49EFC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其他椅凳类（四人连排椅）</w:t>
            </w:r>
          </w:p>
        </w:tc>
        <w:tc>
          <w:tcPr>
            <w:tcW w:w="1100" w:type="dxa"/>
            <w:noWrap/>
            <w:vAlign w:val="center"/>
          </w:tcPr>
          <w:p w14:paraId="295AD07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4张</w:t>
            </w:r>
          </w:p>
        </w:tc>
        <w:tc>
          <w:tcPr>
            <w:tcW w:w="1550" w:type="dxa"/>
            <w:noWrap/>
            <w:vAlign w:val="center"/>
          </w:tcPr>
          <w:p w14:paraId="248430C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 </w:t>
            </w:r>
          </w:p>
        </w:tc>
        <w:tc>
          <w:tcPr>
            <w:tcW w:w="2519" w:type="dxa"/>
            <w:noWrap/>
            <w:vAlign w:val="center"/>
          </w:tcPr>
          <w:p w14:paraId="470D623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抚购2026J000212649</w:t>
            </w:r>
          </w:p>
        </w:tc>
      </w:tr>
      <w:tr w14:paraId="5E847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shd w:val="clear" w:color="auto" w:fill="auto"/>
            <w:noWrap/>
            <w:vAlign w:val="center"/>
          </w:tcPr>
          <w:p w14:paraId="27B6FAD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17</w:t>
            </w:r>
          </w:p>
        </w:tc>
        <w:tc>
          <w:tcPr>
            <w:tcW w:w="2149" w:type="dxa"/>
            <w:shd w:val="clear" w:color="auto" w:fill="auto"/>
            <w:noWrap/>
            <w:vAlign w:val="center"/>
          </w:tcPr>
          <w:p w14:paraId="047E328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napToGrid w:val="0"/>
                <w:color w:val="000000"/>
                <w:sz w:val="24"/>
                <w:szCs w:val="24"/>
                <w:highlight w:val="none"/>
                <w:lang w:val="en-US" w:eastAsia="en-US" w:bidi="ar-SA"/>
              </w:rPr>
            </w:pPr>
            <w:r>
              <w:rPr>
                <w:rFonts w:hint="eastAsia" w:ascii="宋体" w:hAnsi="宋体" w:eastAsia="宋体" w:cs="宋体"/>
                <w:color w:val="000000"/>
                <w:kern w:val="0"/>
                <w:sz w:val="24"/>
                <w:szCs w:val="24"/>
                <w:highlight w:val="none"/>
              </w:rPr>
              <w:t>文件柜</w:t>
            </w:r>
          </w:p>
        </w:tc>
        <w:tc>
          <w:tcPr>
            <w:tcW w:w="1100" w:type="dxa"/>
            <w:shd w:val="clear" w:color="auto" w:fill="auto"/>
            <w:noWrap/>
            <w:vAlign w:val="center"/>
          </w:tcPr>
          <w:p w14:paraId="4854B13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en-US"/>
              </w:rPr>
            </w:pPr>
            <w:r>
              <w:rPr>
                <w:rFonts w:hint="eastAsia" w:ascii="宋体" w:hAnsi="宋体" w:eastAsia="宋体" w:cs="宋体"/>
                <w:color w:val="000000"/>
                <w:kern w:val="0"/>
                <w:sz w:val="24"/>
                <w:szCs w:val="24"/>
                <w:highlight w:val="none"/>
              </w:rPr>
              <w:t>50套</w:t>
            </w:r>
          </w:p>
        </w:tc>
        <w:tc>
          <w:tcPr>
            <w:tcW w:w="1550" w:type="dxa"/>
            <w:shd w:val="clear" w:color="auto" w:fill="auto"/>
            <w:noWrap/>
            <w:vAlign w:val="center"/>
          </w:tcPr>
          <w:p w14:paraId="179A25A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en-US"/>
              </w:rPr>
            </w:pPr>
            <w:r>
              <w:rPr>
                <w:rFonts w:hint="eastAsia" w:ascii="宋体" w:hAnsi="宋体" w:eastAsia="宋体" w:cs="宋体"/>
                <w:color w:val="000000"/>
                <w:kern w:val="0"/>
                <w:sz w:val="24"/>
                <w:szCs w:val="24"/>
                <w:highlight w:val="none"/>
              </w:rPr>
              <w:t xml:space="preserve">800 </w:t>
            </w:r>
          </w:p>
        </w:tc>
        <w:tc>
          <w:tcPr>
            <w:tcW w:w="2519" w:type="dxa"/>
            <w:shd w:val="clear" w:color="auto" w:fill="auto"/>
            <w:noWrap/>
            <w:vAlign w:val="center"/>
          </w:tcPr>
          <w:p w14:paraId="6EBB101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抚购2026J000212653</w:t>
            </w:r>
          </w:p>
        </w:tc>
      </w:tr>
    </w:tbl>
    <w:p w14:paraId="0F5AA459">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合同履行期限：</w:t>
      </w:r>
      <w:r>
        <w:rPr>
          <w:rFonts w:hint="eastAsia" w:ascii="宋体" w:hAnsi="宋体" w:eastAsia="宋体" w:cs="宋体"/>
          <w:color w:val="auto"/>
          <w:spacing w:val="0"/>
          <w:position w:val="0"/>
          <w:sz w:val="24"/>
          <w:szCs w:val="24"/>
          <w:highlight w:val="none"/>
          <w:lang w:eastAsia="zh-CN"/>
        </w:rPr>
        <w:t>合同签订后</w:t>
      </w:r>
      <w:r>
        <w:rPr>
          <w:rFonts w:hint="eastAsia" w:ascii="宋体" w:hAnsi="宋体" w:eastAsia="宋体" w:cs="宋体"/>
          <w:color w:val="auto"/>
          <w:spacing w:val="0"/>
          <w:position w:val="0"/>
          <w:sz w:val="24"/>
          <w:szCs w:val="24"/>
          <w:highlight w:val="none"/>
          <w:lang w:val="en-US" w:eastAsia="zh-CN"/>
        </w:rPr>
        <w:t>30</w:t>
      </w:r>
      <w:r>
        <w:rPr>
          <w:rFonts w:hint="eastAsia" w:ascii="宋体" w:hAnsi="宋体" w:eastAsia="宋体" w:cs="宋体"/>
          <w:color w:val="auto"/>
          <w:spacing w:val="0"/>
          <w:position w:val="0"/>
          <w:sz w:val="24"/>
          <w:szCs w:val="24"/>
          <w:highlight w:val="none"/>
          <w:lang w:eastAsia="zh-CN"/>
        </w:rPr>
        <w:t>日内。供应商应保证在要求时间内完成全部货物的供货、安装、调试和培训工作,符合国家标准、行业规范和合同等相关文件的要求。</w:t>
      </w:r>
      <w:r>
        <w:rPr>
          <w:rFonts w:hint="eastAsia" w:ascii="宋体" w:hAnsi="宋体" w:eastAsia="宋体" w:cs="宋体"/>
          <w:color w:val="auto"/>
          <w:spacing w:val="0"/>
          <w:position w:val="0"/>
          <w:sz w:val="24"/>
          <w:szCs w:val="24"/>
          <w:highlight w:val="none"/>
          <w:lang w:val="en-US" w:eastAsia="zh-CN"/>
        </w:rPr>
        <w:t xml:space="preserve">   </w:t>
      </w:r>
    </w:p>
    <w:p w14:paraId="776AC5A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本项目</w:t>
      </w:r>
      <w:r>
        <w:rPr>
          <w:rFonts w:hint="eastAsia" w:ascii="宋体" w:hAnsi="宋体" w:eastAsia="宋体" w:cs="宋体"/>
          <w:color w:val="auto"/>
          <w:spacing w:val="0"/>
          <w:w w:val="100"/>
          <w:position w:val="0"/>
          <w:sz w:val="24"/>
          <w:szCs w:val="24"/>
          <w:highlight w:val="none"/>
          <w:lang w:val="en-US" w:eastAsia="zh-CN"/>
        </w:rPr>
        <w:t>是否</w:t>
      </w:r>
      <w:r>
        <w:rPr>
          <w:rFonts w:hint="eastAsia" w:ascii="宋体" w:hAnsi="宋体" w:eastAsia="宋体" w:cs="宋体"/>
          <w:color w:val="auto"/>
          <w:spacing w:val="0"/>
          <w:w w:val="100"/>
          <w:position w:val="0"/>
          <w:sz w:val="24"/>
          <w:szCs w:val="24"/>
          <w:highlight w:val="none"/>
          <w:lang w:eastAsia="zh-CN"/>
        </w:rPr>
        <w:t>接受联合体投标：</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否</w:t>
      </w:r>
    </w:p>
    <w:p w14:paraId="0C62948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3" w:name="_Toc267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投标人</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的资格要求</w:t>
      </w:r>
      <w:bookmarkEnd w:id="3"/>
    </w:p>
    <w:p w14:paraId="2C1E882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textAlignment w:val="baseline"/>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eastAsia="zh-CN"/>
        </w:rPr>
        <w:t>1.满足《中华人民共和国政府采购法》第二十二条规定：</w:t>
      </w:r>
    </w:p>
    <w:p w14:paraId="0A73759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1.1 </w:t>
      </w:r>
      <w:r>
        <w:rPr>
          <w:rFonts w:hint="eastAsia" w:ascii="宋体" w:hAnsi="宋体" w:eastAsia="宋体" w:cs="宋体"/>
          <w:color w:val="auto"/>
          <w:spacing w:val="0"/>
          <w:w w:val="100"/>
          <w:position w:val="0"/>
          <w:sz w:val="24"/>
          <w:szCs w:val="24"/>
          <w:highlight w:val="none"/>
          <w:lang w:eastAsia="zh-CN"/>
        </w:rPr>
        <w:t>具有独立承担民事责任的能力；</w:t>
      </w:r>
    </w:p>
    <w:p w14:paraId="078A480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1.2 </w:t>
      </w:r>
      <w:r>
        <w:rPr>
          <w:rFonts w:hint="eastAsia" w:ascii="宋体" w:hAnsi="宋体" w:eastAsia="宋体" w:cs="宋体"/>
          <w:color w:val="auto"/>
          <w:spacing w:val="0"/>
          <w:w w:val="100"/>
          <w:position w:val="0"/>
          <w:sz w:val="24"/>
          <w:szCs w:val="24"/>
          <w:highlight w:val="none"/>
          <w:lang w:eastAsia="zh-CN"/>
        </w:rPr>
        <w:t>具有良好的商业信誉和健全的财务会计制度；</w:t>
      </w:r>
    </w:p>
    <w:p w14:paraId="00336133">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1.3 </w:t>
      </w:r>
      <w:r>
        <w:rPr>
          <w:rFonts w:hint="eastAsia" w:ascii="宋体" w:hAnsi="宋体" w:eastAsia="宋体" w:cs="宋体"/>
          <w:color w:val="auto"/>
          <w:spacing w:val="0"/>
          <w:w w:val="100"/>
          <w:position w:val="0"/>
          <w:sz w:val="24"/>
          <w:szCs w:val="24"/>
          <w:highlight w:val="none"/>
          <w:lang w:eastAsia="zh-CN"/>
        </w:rPr>
        <w:t>具有履行合同所必需的设备和专业技术能力；</w:t>
      </w:r>
    </w:p>
    <w:p w14:paraId="34140DD1">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1.4 </w:t>
      </w:r>
      <w:r>
        <w:rPr>
          <w:rFonts w:hint="eastAsia" w:ascii="宋体" w:hAnsi="宋体" w:eastAsia="宋体" w:cs="宋体"/>
          <w:color w:val="auto"/>
          <w:spacing w:val="0"/>
          <w:w w:val="100"/>
          <w:position w:val="0"/>
          <w:sz w:val="24"/>
          <w:szCs w:val="24"/>
          <w:highlight w:val="none"/>
          <w:lang w:eastAsia="zh-CN"/>
        </w:rPr>
        <w:t>有依法缴纳税收和社会保障资金的良好记录；</w:t>
      </w:r>
    </w:p>
    <w:p w14:paraId="1D76124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1.5 </w:t>
      </w:r>
      <w:r>
        <w:rPr>
          <w:rFonts w:hint="eastAsia" w:ascii="宋体" w:hAnsi="宋体" w:eastAsia="宋体" w:cs="宋体"/>
          <w:color w:val="auto"/>
          <w:spacing w:val="0"/>
          <w:w w:val="100"/>
          <w:position w:val="0"/>
          <w:sz w:val="24"/>
          <w:szCs w:val="24"/>
          <w:highlight w:val="none"/>
          <w:lang w:eastAsia="zh-CN"/>
        </w:rPr>
        <w:t>参加政府采购活动前三年内,在经营活动中没有重大违法记录；</w:t>
      </w:r>
    </w:p>
    <w:p w14:paraId="305FAAE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1.6 </w:t>
      </w:r>
      <w:r>
        <w:rPr>
          <w:rFonts w:hint="eastAsia" w:ascii="宋体" w:hAnsi="宋体" w:eastAsia="宋体" w:cs="宋体"/>
          <w:color w:val="auto"/>
          <w:spacing w:val="0"/>
          <w:w w:val="100"/>
          <w:position w:val="0"/>
          <w:sz w:val="24"/>
          <w:szCs w:val="24"/>
          <w:highlight w:val="none"/>
          <w:lang w:eastAsia="zh-CN"/>
        </w:rPr>
        <w:t>法律、行政法规规定的其他条件。</w:t>
      </w:r>
    </w:p>
    <w:p w14:paraId="1D01D619">
      <w:pPr>
        <w:pStyle w:val="25"/>
        <w:keepNext w:val="0"/>
        <w:keepLines w:val="0"/>
        <w:pageBreakBefore w:val="0"/>
        <w:widowControl w:val="0"/>
        <w:kinsoku w:val="0"/>
        <w:wordWrap/>
        <w:overflowPunct/>
        <w:topLinePunct w:val="0"/>
        <w:autoSpaceDE w:val="0"/>
        <w:autoSpaceDN w:val="0"/>
        <w:bidi w:val="0"/>
        <w:adjustRightInd w:val="0"/>
        <w:snapToGrid w:val="0"/>
        <w:spacing w:line="360" w:lineRule="auto"/>
        <w:ind w:left="240" w:leftChars="0" w:hanging="240" w:hangingChars="1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单位负责人为同一人或者存在直接控股、管理关系的不同投标人，不得参加同一合同项下的采购活动。为本采购项目提供整体设计、规范编制或者项目管理、监理、检测等服务的，不得参加本项目的政府采购活动。</w:t>
      </w:r>
    </w:p>
    <w:p w14:paraId="3DADAE07">
      <w:pPr>
        <w:keepNext w:val="0"/>
        <w:keepLines w:val="0"/>
        <w:pageBreakBefore w:val="0"/>
        <w:widowControl w:val="0"/>
        <w:kinsoku w:val="0"/>
        <w:wordWrap/>
        <w:overflowPunct/>
        <w:topLinePunct w:val="0"/>
        <w:autoSpaceDE w:val="0"/>
        <w:autoSpaceDN w:val="0"/>
        <w:bidi w:val="0"/>
        <w:adjustRightInd w:val="0"/>
        <w:snapToGrid w:val="0"/>
        <w:spacing w:line="360" w:lineRule="auto"/>
        <w:ind w:left="220" w:leftChars="0" w:right="61" w:hanging="198"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3.投标人被“信用中国”网站列入失信被执行人</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spacing w:val="-3"/>
          <w:sz w:val="24"/>
          <w:szCs w:val="24"/>
          <w:highlight w:val="none"/>
          <w:lang w:eastAsia="zh-CN"/>
        </w:rPr>
        <w:t>重大税收违法失信主体名单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或</w:t>
      </w:r>
      <w:r>
        <w:rPr>
          <w:rFonts w:hint="eastAsia" w:ascii="宋体" w:hAnsi="宋体" w:eastAsia="宋体" w:cs="宋体"/>
          <w:color w:val="auto"/>
          <w:spacing w:val="0"/>
          <w:w w:val="100"/>
          <w:position w:val="0"/>
          <w:sz w:val="24"/>
          <w:szCs w:val="24"/>
          <w:highlight w:val="none"/>
          <w:lang w:eastAsia="zh-CN"/>
        </w:rPr>
        <w:t>被“中国政府采购网”网站列入政府采购严重违法失信行为记录名单（处罚期限尚未届满的）</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，不得参加本项目的政府采购活动。</w:t>
      </w:r>
    </w:p>
    <w:p w14:paraId="7E4E74DA">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落实政</w:t>
      </w:r>
      <w:r>
        <w:rPr>
          <w:rFonts w:hint="eastAsia" w:ascii="宋体" w:hAnsi="宋体" w:eastAsia="宋体" w:cs="宋体"/>
          <w:b w:val="0"/>
          <w:bCs w:val="0"/>
          <w:color w:val="auto"/>
          <w:spacing w:val="0"/>
          <w:w w:val="100"/>
          <w:position w:val="0"/>
          <w:sz w:val="24"/>
          <w:szCs w:val="24"/>
          <w:highlight w:val="none"/>
          <w:lang w:eastAsia="zh-CN"/>
        </w:rPr>
        <w:t>府采购政策需满足的资格要求：</w:t>
      </w:r>
    </w:p>
    <w:p w14:paraId="0B7EE10A">
      <w:pPr>
        <w:pStyle w:val="7"/>
        <w:keepNext w:val="0"/>
        <w:keepLines w:val="0"/>
        <w:pageBreakBefore w:val="0"/>
        <w:widowControl w:val="0"/>
        <w:numPr>
          <w:ilvl w:val="0"/>
          <w:numId w:val="0"/>
        </w:numPr>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4.1 中小企业政策：</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sz w:val="24"/>
          <w:szCs w:val="24"/>
          <w:highlight w:val="none"/>
          <w:lang w:val="en-US" w:eastAsia="zh-CN"/>
        </w:rPr>
        <w:t>本项目不专门面向中小企业</w:t>
      </w:r>
      <w:r>
        <w:rPr>
          <w:rFonts w:hint="eastAsia" w:ascii="宋体" w:hAnsi="宋体" w:eastAsia="宋体" w:cs="宋体"/>
          <w:sz w:val="24"/>
          <w:szCs w:val="24"/>
          <w:highlight w:val="none"/>
          <w:lang w:eastAsia="zh-CN"/>
        </w:rPr>
        <w:t>采购</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eastAsia="zh-CN"/>
        </w:rPr>
        <w:t>按照《中小企业划型标准规定》划分，本项目属于：</w:t>
      </w:r>
      <w:r>
        <w:rPr>
          <w:rFonts w:hint="eastAsia" w:ascii="宋体" w:hAnsi="宋体" w:eastAsia="宋体" w:cs="宋体"/>
          <w:b/>
          <w:bCs/>
          <w:color w:val="auto"/>
          <w:spacing w:val="0"/>
          <w:w w:val="100"/>
          <w:position w:val="0"/>
          <w:sz w:val="24"/>
          <w:szCs w:val="24"/>
          <w:highlight w:val="none"/>
          <w:u w:val="single"/>
          <w:lang w:val="en-US" w:eastAsia="zh-CN"/>
        </w:rPr>
        <w:t>工业</w:t>
      </w:r>
      <w:r>
        <w:rPr>
          <w:rFonts w:hint="eastAsia" w:ascii="宋体" w:hAnsi="宋体" w:eastAsia="宋体" w:cs="宋体"/>
          <w:b/>
          <w:bCs/>
          <w:color w:val="auto"/>
          <w:spacing w:val="0"/>
          <w:w w:val="100"/>
          <w:position w:val="0"/>
          <w:sz w:val="24"/>
          <w:szCs w:val="24"/>
          <w:highlight w:val="none"/>
          <w:u w:val="single"/>
          <w:lang w:eastAsia="zh-CN"/>
        </w:rPr>
        <w:t>。</w:t>
      </w:r>
    </w:p>
    <w:p w14:paraId="203B5988">
      <w:pPr>
        <w:keepNext w:val="0"/>
        <w:keepLines w:val="0"/>
        <w:pageBreakBefore w:val="0"/>
        <w:widowControl w:val="0"/>
        <w:wordWrap/>
        <w:overflowPunct/>
        <w:topLinePunct w:val="0"/>
        <w:autoSpaceDE w:val="0"/>
        <w:autoSpaceDN w:val="0"/>
        <w:bidi w:val="0"/>
        <w:adjustRightInd w:val="0"/>
        <w:snapToGrid w:val="0"/>
        <w:spacing w:line="360" w:lineRule="auto"/>
        <w:ind w:left="288" w:hanging="288" w:hangingChars="120"/>
        <w:textAlignment w:val="baseline"/>
        <w:rPr>
          <w:rFonts w:hint="eastAsia" w:ascii="宋体" w:hAnsi="宋体" w:eastAsia="宋体" w:cs="宋体"/>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 xml:space="preserve">4.2 </w:t>
      </w:r>
      <w:r>
        <w:rPr>
          <w:rFonts w:hint="eastAsia" w:ascii="宋体" w:hAnsi="宋体" w:eastAsia="宋体" w:cs="宋体"/>
          <w:color w:val="auto"/>
          <w:spacing w:val="0"/>
          <w:w w:val="100"/>
          <w:position w:val="0"/>
          <w:sz w:val="24"/>
          <w:szCs w:val="24"/>
          <w:highlight w:val="none"/>
          <w:lang w:eastAsia="zh-CN"/>
        </w:rPr>
        <w:t>如本项目采购的产品属于政府强制采购节能产品的，投标文件中必须提供《参与实施政府采购节能产品认证机构名录》中的对应产品认证机构出具的节能产品认证证书；</w:t>
      </w:r>
    </w:p>
    <w:p w14:paraId="4B7BCB2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本项目的特定资格要求：</w:t>
      </w: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p>
    <w:p w14:paraId="48524FAA">
      <w:pPr>
        <w:keepNext w:val="0"/>
        <w:keepLines w:val="0"/>
        <w:pageBreakBefore w:val="0"/>
        <w:widowControl w:val="0"/>
        <w:kinsoku w:val="0"/>
        <w:wordWrap/>
        <w:overflowPunct/>
        <w:topLinePunct w:val="0"/>
        <w:autoSpaceDE w:val="0"/>
        <w:autoSpaceDN w:val="0"/>
        <w:bidi w:val="0"/>
        <w:adjustRightInd w:val="0"/>
        <w:snapToGrid w:val="0"/>
        <w:spacing w:line="360" w:lineRule="auto"/>
        <w:ind w:left="1"/>
        <w:textAlignment w:val="baseline"/>
        <w:outlineLvl w:val="0"/>
        <w:rPr>
          <w:rFonts w:hint="eastAsia" w:ascii="宋体" w:hAnsi="宋体" w:eastAsia="宋体" w:cs="宋体"/>
          <w:color w:val="auto"/>
          <w:spacing w:val="0"/>
          <w:w w:val="100"/>
          <w:position w:val="0"/>
          <w:sz w:val="24"/>
          <w:szCs w:val="24"/>
          <w:highlight w:val="none"/>
          <w:lang w:eastAsia="zh-CN"/>
        </w:rPr>
      </w:pPr>
      <w:bookmarkStart w:id="4" w:name="_Toc323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三、获取招标文件</w:t>
      </w:r>
      <w:bookmarkEnd w:id="4"/>
    </w:p>
    <w:p w14:paraId="22C26642">
      <w:pPr>
        <w:keepNext w:val="0"/>
        <w:keepLines w:val="0"/>
        <w:pageBreakBefore w:val="0"/>
        <w:widowControl w:val="0"/>
        <w:kinsoku w:val="0"/>
        <w:wordWrap/>
        <w:overflowPunct/>
        <w:topLinePunct w:val="0"/>
        <w:autoSpaceDE w:val="0"/>
        <w:autoSpaceDN w:val="0"/>
        <w:bidi w:val="0"/>
        <w:adjustRightInd w:val="0"/>
        <w:snapToGrid w:val="0"/>
        <w:spacing w:line="360" w:lineRule="auto"/>
        <w:ind w:left="1" w:leftChars="0" w:firstLine="540" w:firstLineChars="22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时间：</w:t>
      </w: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8</w:t>
      </w:r>
      <w:r>
        <w:rPr>
          <w:rFonts w:hint="eastAsia" w:ascii="宋体" w:hAnsi="宋体" w:eastAsia="宋体" w:cs="宋体"/>
          <w:color w:val="auto"/>
          <w:spacing w:val="0"/>
          <w:w w:val="100"/>
          <w:position w:val="0"/>
          <w:sz w:val="24"/>
          <w:szCs w:val="24"/>
          <w:highlight w:val="none"/>
          <w:lang w:eastAsia="zh-CN"/>
        </w:rPr>
        <w:t>日至</w:t>
      </w: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15</w:t>
      </w:r>
      <w:r>
        <w:rPr>
          <w:rFonts w:hint="eastAsia" w:ascii="宋体" w:hAnsi="宋体" w:eastAsia="宋体" w:cs="宋体"/>
          <w:color w:val="auto"/>
          <w:spacing w:val="0"/>
          <w:w w:val="100"/>
          <w:position w:val="0"/>
          <w:sz w:val="24"/>
          <w:szCs w:val="24"/>
          <w:highlight w:val="none"/>
          <w:lang w:eastAsia="zh-CN"/>
        </w:rPr>
        <w:t>日（北京时间，法定节假日除外）</w:t>
      </w:r>
    </w:p>
    <w:p w14:paraId="29685CD5">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地点：江西省公共资源交易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rPr>
        <w:t>（网址：</w:t>
      </w:r>
      <w:r>
        <w:rPr>
          <w:rFonts w:hint="eastAsia" w:ascii="宋体" w:hAnsi="宋体" w:eastAsia="宋体" w:cs="宋体"/>
          <w:color w:val="auto"/>
          <w:spacing w:val="0"/>
          <w:w w:val="100"/>
          <w:position w:val="0"/>
          <w:sz w:val="24"/>
          <w:szCs w:val="24"/>
          <w:highlight w:val="none"/>
          <w:u w:val="single"/>
          <w:lang w:val="en-US" w:eastAsia="zh-CN"/>
        </w:rPr>
        <w:t>https://www.jxsggzy.cn</w:t>
      </w:r>
      <w:r>
        <w:rPr>
          <w:rFonts w:hint="eastAsia" w:ascii="宋体" w:hAnsi="宋体" w:eastAsia="宋体" w:cs="宋体"/>
          <w:color w:val="auto"/>
          <w:spacing w:val="0"/>
          <w:w w:val="100"/>
          <w:position w:val="0"/>
          <w:sz w:val="24"/>
          <w:szCs w:val="24"/>
          <w:highlight w:val="none"/>
        </w:rPr>
        <w:t>）</w:t>
      </w:r>
    </w:p>
    <w:p w14:paraId="02C6C014">
      <w:pPr>
        <w:keepNext w:val="0"/>
        <w:keepLines w:val="0"/>
        <w:pageBreakBefore w:val="0"/>
        <w:widowControl w:val="0"/>
        <w:wordWrap/>
        <w:overflowPunct/>
        <w:topLinePunct w:val="0"/>
        <w:autoSpaceDE w:val="0"/>
        <w:autoSpaceDN w:val="0"/>
        <w:bidi w:val="0"/>
        <w:adjustRightInd w:val="0"/>
        <w:snapToGrid w:val="0"/>
        <w:spacing w:line="360" w:lineRule="auto"/>
        <w:ind w:left="541"/>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方式：网上确认和下载招标文件。（详见其他补充事宜）</w:t>
      </w:r>
    </w:p>
    <w:p w14:paraId="57C22C61">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5" w:name="_Toc175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四、提交投标文件截止时间、开标时间和地点</w:t>
      </w:r>
      <w:bookmarkEnd w:id="5"/>
    </w:p>
    <w:p w14:paraId="34A95A0F">
      <w:pPr>
        <w:keepNext w:val="0"/>
        <w:keepLines w:val="0"/>
        <w:pageBreakBefore w:val="0"/>
        <w:widowControl w:val="0"/>
        <w:kinsoku w:val="0"/>
        <w:wordWrap/>
        <w:overflowPunct/>
        <w:topLinePunct w:val="0"/>
        <w:autoSpaceDE w:val="0"/>
        <w:autoSpaceDN w:val="0"/>
        <w:bidi w:val="0"/>
        <w:adjustRightInd w:val="0"/>
        <w:snapToGrid w:val="0"/>
        <w:spacing w:line="360" w:lineRule="auto"/>
        <w:ind w:left="51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u w:val="single"/>
          <w:lang w:val="en-US" w:eastAsia="zh-CN"/>
        </w:rPr>
        <w:t>2026</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i w:val="0"/>
          <w:iCs w:val="0"/>
          <w:color w:val="auto"/>
          <w:spacing w:val="0"/>
          <w:w w:val="100"/>
          <w:position w:val="0"/>
          <w:sz w:val="24"/>
          <w:szCs w:val="24"/>
          <w:highlight w:val="none"/>
          <w:u w:val="single"/>
          <w:lang w:val="en-US" w:eastAsia="zh-CN"/>
        </w:rPr>
        <w:t>6</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30</w:t>
      </w:r>
      <w:r>
        <w:rPr>
          <w:rFonts w:hint="eastAsia" w:ascii="宋体" w:hAnsi="宋体" w:eastAsia="宋体" w:cs="宋体"/>
          <w:color w:val="auto"/>
          <w:spacing w:val="0"/>
          <w:w w:val="100"/>
          <w:position w:val="0"/>
          <w:sz w:val="24"/>
          <w:szCs w:val="24"/>
          <w:highlight w:val="none"/>
          <w:lang w:eastAsia="zh-CN"/>
        </w:rPr>
        <w:t>日</w:t>
      </w:r>
      <w:r>
        <w:rPr>
          <w:rFonts w:hint="eastAsia" w:ascii="宋体" w:hAnsi="宋体" w:eastAsia="宋体" w:cs="宋体"/>
          <w:color w:val="auto"/>
          <w:spacing w:val="0"/>
          <w:w w:val="100"/>
          <w:position w:val="0"/>
          <w:sz w:val="24"/>
          <w:szCs w:val="24"/>
          <w:highlight w:val="none"/>
          <w:u w:val="single"/>
          <w:lang w:val="en-US" w:eastAsia="zh-CN"/>
        </w:rPr>
        <w:t>09</w:t>
      </w:r>
      <w:r>
        <w:rPr>
          <w:rFonts w:hint="eastAsia" w:ascii="宋体" w:hAnsi="宋体" w:eastAsia="宋体" w:cs="宋体"/>
          <w:color w:val="auto"/>
          <w:spacing w:val="0"/>
          <w:w w:val="100"/>
          <w:position w:val="0"/>
          <w:sz w:val="24"/>
          <w:szCs w:val="24"/>
          <w:highlight w:val="none"/>
          <w:lang w:eastAsia="zh-CN"/>
        </w:rPr>
        <w:t>点</w:t>
      </w:r>
      <w:r>
        <w:rPr>
          <w:rFonts w:hint="eastAsia" w:ascii="宋体" w:hAnsi="宋体" w:eastAsia="宋体" w:cs="宋体"/>
          <w:color w:val="auto"/>
          <w:spacing w:val="0"/>
          <w:w w:val="100"/>
          <w:position w:val="0"/>
          <w:sz w:val="24"/>
          <w:szCs w:val="24"/>
          <w:highlight w:val="none"/>
          <w:u w:val="single"/>
          <w:lang w:val="en-US" w:eastAsia="zh-CN"/>
        </w:rPr>
        <w:t>30</w:t>
      </w:r>
      <w:r>
        <w:rPr>
          <w:rFonts w:hint="eastAsia" w:ascii="宋体" w:hAnsi="宋体" w:eastAsia="宋体" w:cs="宋体"/>
          <w:color w:val="auto"/>
          <w:spacing w:val="0"/>
          <w:w w:val="100"/>
          <w:position w:val="0"/>
          <w:sz w:val="24"/>
          <w:szCs w:val="24"/>
          <w:highlight w:val="none"/>
          <w:lang w:eastAsia="zh-CN"/>
        </w:rPr>
        <w:t>分（北京时间）</w:t>
      </w:r>
    </w:p>
    <w:p w14:paraId="0F525573">
      <w:pPr>
        <w:keepNext w:val="0"/>
        <w:keepLines w:val="0"/>
        <w:pageBreakBefore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bCs/>
          <w:sz w:val="24"/>
          <w:szCs w:val="24"/>
          <w:highlight w:val="none"/>
        </w:rPr>
      </w:pPr>
      <w:r>
        <w:rPr>
          <w:rFonts w:hint="eastAsia" w:ascii="宋体" w:hAnsi="宋体" w:eastAsia="宋体" w:cs="宋体"/>
          <w:color w:val="auto"/>
          <w:spacing w:val="0"/>
          <w:w w:val="100"/>
          <w:position w:val="0"/>
          <w:sz w:val="24"/>
          <w:szCs w:val="24"/>
          <w:highlight w:val="none"/>
          <w:lang w:eastAsia="zh-CN"/>
        </w:rPr>
        <w:t>地点：</w:t>
      </w:r>
      <w:r>
        <w:rPr>
          <w:rFonts w:hint="eastAsia" w:ascii="宋体" w:hAnsi="宋体" w:eastAsia="宋体" w:cs="宋体"/>
          <w:bCs/>
          <w:sz w:val="24"/>
          <w:szCs w:val="24"/>
          <w:highlight w:val="none"/>
        </w:rPr>
        <w:t>抚州市公共资源交易中心</w:t>
      </w:r>
      <w:r>
        <w:rPr>
          <w:rFonts w:hint="eastAsia" w:ascii="宋体" w:hAnsi="宋体" w:eastAsia="宋体" w:cs="宋体"/>
          <w:b/>
          <w:bCs/>
          <w:sz w:val="24"/>
          <w:szCs w:val="24"/>
          <w:highlight w:val="none"/>
        </w:rPr>
        <w:t>（本项目采用“不见面开标”系统开标，投标人不需要到现场参加开标会）</w:t>
      </w:r>
    </w:p>
    <w:p w14:paraId="682365A5">
      <w:pPr>
        <w:keepNext w:val="0"/>
        <w:keepLines w:val="0"/>
        <w:pageBreakBefore w:val="0"/>
        <w:widowControl w:val="0"/>
        <w:numPr>
          <w:ilvl w:val="0"/>
          <w:numId w:val="2"/>
        </w:numPr>
        <w:wordWrap/>
        <w:overflowPunct/>
        <w:topLinePunct w:val="0"/>
        <w:autoSpaceDE w:val="0"/>
        <w:autoSpaceDN w:val="0"/>
        <w:bidi w:val="0"/>
        <w:adjustRightInd w:val="0"/>
        <w:snapToGrid w:val="0"/>
        <w:spacing w:line="360" w:lineRule="auto"/>
        <w:ind w:left="4"/>
        <w:textAlignment w:val="baseline"/>
        <w:outlineLvl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6" w:name="_Toc21474"/>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公告期限</w:t>
      </w:r>
      <w:bookmarkEnd w:id="6"/>
    </w:p>
    <w:p w14:paraId="7DF88306">
      <w:pPr>
        <w:keepNext w:val="0"/>
        <w:keepLines w:val="0"/>
        <w:pageBreakBefore w:val="0"/>
        <w:widowControl w:val="0"/>
        <w:kinsoku w:val="0"/>
        <w:wordWrap/>
        <w:overflowPunct/>
        <w:topLinePunct w:val="0"/>
        <w:autoSpaceDE w:val="0"/>
        <w:autoSpaceDN w:val="0"/>
        <w:bidi w:val="0"/>
        <w:adjustRightInd w:val="0"/>
        <w:snapToGrid w:val="0"/>
        <w:spacing w:line="360" w:lineRule="auto"/>
        <w:ind w:left="52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自本公告发布之日起5个工作日。</w:t>
      </w:r>
    </w:p>
    <w:p w14:paraId="75AD88B7">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7" w:name="_Toc2732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六、其他补充事宜</w:t>
      </w:r>
      <w:bookmarkEnd w:id="7"/>
    </w:p>
    <w:p w14:paraId="03DBB66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1.潜在投标人必须在江西省公共资源交易平台（网址：https://www.jxsggzy.cn） 注册并办理江西省 CA 数字证书和电子签章。具体要求详见“江西省公共资源交易平台-服务指南-投标单位”（网址：https://www.jxsggzy.cn）。潜在投标人未使用本单位 CA 数字证书在江西省公共资源交易平台下载招标文件的，视为未获取招标文件，不得参加本项目的投标活动。</w:t>
      </w:r>
    </w:p>
    <w:p w14:paraId="11CF41C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一）本项目采用“不见面开标”系统开标，投标人不需要到现场参加开标会，现场环节（包括但不限于现场签到、递交原件、现场解锁、纸质保函等）全部转为不见面开标系统线上操作，现场签到环节改为网上签到，投标人必须在开标截止时间前进入江西省公共资源交易不见面开标系统进行线上签到，否则无法进入后续的开标环节，未按时网上签到视为自动放弃投标。投标人应仔细阅读“抚州市公共资源交易不见面开标系统建设项目-投标人操作手册（政府采购）”，如有疑问请联系新点工作人员，联系电话：400-998-0000。（二）各投标人的法定代表人或经正式授权的代理人必须符合招标文件要求，并且应当熟练的操作新点系统，因业务不熟悉而导致的一切后果由投标人自行承担。法定代表人或授权委托人在项目开、评标期间必须保持在线状态，随时通过“不见面开标”系统接收评标委员会的询标等信息。（三）投标文件解密时间：各投标人的法定代表人或经正式授权的代理人在主持人设置的投标人解密时长（设置为20 分钟）内完成在线解密，未在规定时间内解密的，作废标处理。</w:t>
      </w:r>
    </w:p>
    <w:p w14:paraId="6CC42AE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3.本项目采购国内产品，不允许提供进口产品参与采购活动；</w:t>
      </w:r>
    </w:p>
    <w:p w14:paraId="4FAE60C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20AA7E93">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5.本项目允许投标人及其代表之外的其他人员观摩开标活动。</w:t>
      </w:r>
    </w:p>
    <w:p w14:paraId="4A960944">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1）观摩人数：为保证政府采购交易现场秩序，本项目允许观摩人数为5人；</w:t>
      </w:r>
    </w:p>
    <w:p w14:paraId="6921A647">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 预约方式：对有观摩意愿的人员在开标前一个工作日，将身份信息、联系方式发送至电子邮箱: jzzc@jxbidding.com，进行预约登记；</w:t>
      </w:r>
    </w:p>
    <w:p w14:paraId="7C0CD028">
      <w:pPr>
        <w:keepNext w:val="0"/>
        <w:keepLines w:val="0"/>
        <w:pageBreakBefore w:val="0"/>
        <w:widowControl w:val="0"/>
        <w:kinsoku w:val="0"/>
        <w:wordWrap/>
        <w:overflowPunct/>
        <w:topLinePunct w:val="0"/>
        <w:autoSpaceDE w:val="0"/>
        <w:autoSpaceDN w:val="0"/>
        <w:bidi w:val="0"/>
        <w:adjustRightInd w:val="0"/>
        <w:snapToGrid w:val="0"/>
        <w:spacing w:line="360" w:lineRule="auto"/>
        <w:ind w:right="2"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3）人员确定：采购代理机构按收到电子邮件先后顺序确定观摩人员，并通过电子邮件发送《观摩通知书》；</w:t>
      </w:r>
    </w:p>
    <w:p w14:paraId="7691C330">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观摩纪律：观摩人员在开标前10分钟到达开标现场，持本人身份证原件与预约信息核验后进入观摩席。要求观摩人员在开标期间保持安静，遵守开标纪律，不得提出质疑或进行评论，违反抚州市公共资源交易中心场所管理制度的观摩人员，将被要求离开公共资源交易中心，并列入现场观摩开标黑名单，不再允许观摩抚州市范围内的政府采购项目开标；情节严重的将按照相关规定进行处理。</w:t>
      </w:r>
    </w:p>
    <w:p w14:paraId="2490F90D">
      <w:pPr>
        <w:keepNext w:val="0"/>
        <w:keepLines w:val="0"/>
        <w:pageBreakBefore w:val="0"/>
        <w:widowControl w:val="0"/>
        <w:kinsoku/>
        <w:wordWrap/>
        <w:overflowPunct/>
        <w:topLinePunct w:val="0"/>
        <w:autoSpaceDE w:val="0"/>
        <w:autoSpaceDN w:val="0"/>
        <w:bidi w:val="0"/>
        <w:adjustRightInd w:val="0"/>
        <w:snapToGrid w:val="0"/>
        <w:spacing w:line="360" w:lineRule="auto"/>
        <w:ind w:left="0" w:leftChars="0" w:firstLine="476" w:firstLine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1"/>
          <w:sz w:val="24"/>
          <w:szCs w:val="24"/>
          <w:highlight w:val="none"/>
          <w:lang w:val="en-US" w:eastAsia="zh-CN"/>
        </w:rPr>
        <w:t>6.本项目是否采用远程异地评标：</w:t>
      </w:r>
      <w:r>
        <w:rPr>
          <w:rFonts w:hint="eastAsia" w:ascii="宋体" w:hAnsi="宋体" w:eastAsia="宋体" w:cs="宋体"/>
          <w:color w:val="auto"/>
          <w:spacing w:val="-1"/>
          <w:sz w:val="24"/>
          <w:szCs w:val="24"/>
          <w:highlight w:val="none"/>
          <w:lang w:val="en-US" w:eastAsia="zh-CN"/>
        </w:rPr>
        <w:sym w:font="Wingdings 2" w:char="0052"/>
      </w:r>
      <w:r>
        <w:rPr>
          <w:rFonts w:hint="eastAsia" w:ascii="宋体" w:hAnsi="宋体" w:eastAsia="宋体" w:cs="宋体"/>
          <w:color w:val="auto"/>
          <w:spacing w:val="-1"/>
          <w:sz w:val="24"/>
          <w:szCs w:val="24"/>
          <w:highlight w:val="none"/>
          <w:lang w:val="en-US" w:eastAsia="zh-CN"/>
        </w:rPr>
        <w:t xml:space="preserve"> 否</w:t>
      </w:r>
    </w:p>
    <w:p w14:paraId="6DAD846D">
      <w:pPr>
        <w:keepNext w:val="0"/>
        <w:keepLines w:val="0"/>
        <w:pageBreakBefore w:val="0"/>
        <w:widowControl w:val="0"/>
        <w:wordWrap/>
        <w:overflowPunct/>
        <w:topLinePunct w:val="0"/>
        <w:autoSpaceDE w:val="0"/>
        <w:autoSpaceDN w:val="0"/>
        <w:bidi w:val="0"/>
        <w:adjustRightInd w:val="0"/>
        <w:snapToGrid w:val="0"/>
        <w:spacing w:line="360" w:lineRule="auto"/>
        <w:textAlignment w:val="baseline"/>
        <w:outlineLvl w:val="0"/>
        <w:rPr>
          <w:rFonts w:hint="eastAsia" w:ascii="宋体" w:hAnsi="宋体" w:eastAsia="宋体" w:cs="宋体"/>
          <w:color w:val="auto"/>
          <w:spacing w:val="0"/>
          <w:w w:val="100"/>
          <w:position w:val="0"/>
          <w:sz w:val="24"/>
          <w:szCs w:val="24"/>
          <w:highlight w:val="none"/>
          <w:lang w:eastAsia="zh-CN"/>
        </w:rPr>
      </w:pPr>
      <w:bookmarkStart w:id="8" w:name="_Toc2179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七、对本次招标提出询问，请按以下方式联系</w:t>
      </w:r>
      <w:bookmarkEnd w:id="8"/>
    </w:p>
    <w:p w14:paraId="554A88D7">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bookmarkStart w:id="9" w:name="_Toc19933"/>
      <w:bookmarkStart w:id="10" w:name="_Toc1762"/>
      <w:bookmarkStart w:id="11" w:name="_Toc15344"/>
      <w:bookmarkStart w:id="12" w:name="_Toc26367"/>
      <w:bookmarkStart w:id="13" w:name="OLE_LINK27"/>
      <w:r>
        <w:rPr>
          <w:rFonts w:hint="eastAsia" w:ascii="宋体" w:hAnsi="宋体" w:eastAsia="宋体" w:cs="宋体"/>
          <w:color w:val="auto"/>
          <w:spacing w:val="0"/>
          <w:position w:val="0"/>
          <w:sz w:val="24"/>
          <w:szCs w:val="24"/>
          <w:highlight w:val="none"/>
          <w:lang w:eastAsia="zh-CN"/>
        </w:rPr>
        <w:t>1.采购人信息</w:t>
      </w:r>
      <w:bookmarkEnd w:id="9"/>
      <w:bookmarkEnd w:id="10"/>
      <w:bookmarkEnd w:id="11"/>
      <w:bookmarkEnd w:id="12"/>
      <w:r>
        <w:rPr>
          <w:rFonts w:hint="eastAsia" w:ascii="宋体" w:hAnsi="宋体" w:eastAsia="宋体" w:cs="宋体"/>
          <w:color w:val="auto"/>
          <w:spacing w:val="0"/>
          <w:position w:val="0"/>
          <w:sz w:val="24"/>
          <w:szCs w:val="24"/>
          <w:highlight w:val="none"/>
          <w:lang w:val="en-US" w:eastAsia="zh-CN"/>
        </w:rPr>
        <w:t xml:space="preserve">                          </w:t>
      </w:r>
    </w:p>
    <w:p w14:paraId="21BDF46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称：抚州市教育体育局</w:t>
      </w:r>
    </w:p>
    <w:p w14:paraId="51D5D08B">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地 址：抚州市赣东大道1343号</w:t>
      </w:r>
    </w:p>
    <w:p w14:paraId="3CBC2E83">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联系方式：</w:t>
      </w:r>
      <w:r>
        <w:rPr>
          <w:rFonts w:hint="eastAsia" w:asciiTheme="minorEastAsia" w:hAnsiTheme="minorEastAsia" w:eastAsiaTheme="minorEastAsia" w:cstheme="minorEastAsia"/>
          <w:sz w:val="24"/>
          <w:szCs w:val="24"/>
          <w:highlight w:val="none"/>
          <w:lang w:val="en-US" w:eastAsia="zh-CN"/>
        </w:rPr>
        <w:t>0794-8235203</w:t>
      </w:r>
    </w:p>
    <w:p w14:paraId="55701B2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bookmarkStart w:id="14" w:name="_Toc11707"/>
      <w:bookmarkStart w:id="15" w:name="_Toc2972"/>
      <w:bookmarkStart w:id="16" w:name="_Toc24111"/>
      <w:bookmarkStart w:id="17" w:name="_Toc26909"/>
      <w:r>
        <w:rPr>
          <w:rFonts w:hint="eastAsia" w:ascii="宋体" w:hAnsi="宋体" w:eastAsia="宋体" w:cs="宋体"/>
          <w:color w:val="auto"/>
          <w:spacing w:val="0"/>
          <w:position w:val="0"/>
          <w:sz w:val="24"/>
          <w:szCs w:val="24"/>
          <w:highlight w:val="none"/>
          <w:lang w:eastAsia="zh-CN"/>
        </w:rPr>
        <w:t>2.采购代理机构信息</w:t>
      </w:r>
      <w:bookmarkEnd w:id="14"/>
      <w:bookmarkEnd w:id="15"/>
      <w:bookmarkEnd w:id="16"/>
      <w:bookmarkEnd w:id="17"/>
    </w:p>
    <w:p w14:paraId="2781FDAE">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名 称：</w:t>
      </w:r>
      <w:r>
        <w:rPr>
          <w:rFonts w:hint="eastAsia" w:ascii="宋体" w:hAnsi="宋体" w:eastAsia="宋体" w:cs="宋体"/>
          <w:color w:val="auto"/>
          <w:spacing w:val="0"/>
          <w:position w:val="0"/>
          <w:sz w:val="24"/>
          <w:szCs w:val="24"/>
          <w:highlight w:val="none"/>
          <w:lang w:val="en-US" w:eastAsia="zh-CN"/>
        </w:rPr>
        <w:t xml:space="preserve">江西省机电设备招标有限公司 </w:t>
      </w:r>
    </w:p>
    <w:p w14:paraId="55D62606">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地 址：</w:t>
      </w:r>
      <w:r>
        <w:rPr>
          <w:rFonts w:hint="eastAsia" w:ascii="宋体" w:hAnsi="宋体" w:eastAsia="宋体" w:cs="宋体"/>
          <w:color w:val="auto"/>
          <w:spacing w:val="0"/>
          <w:position w:val="0"/>
          <w:sz w:val="24"/>
          <w:szCs w:val="24"/>
          <w:highlight w:val="none"/>
          <w:lang w:val="en-US" w:eastAsia="zh-CN"/>
        </w:rPr>
        <w:t>江西省南昌市东湖区省政府大院北二路92号（咨询大厦）</w:t>
      </w:r>
    </w:p>
    <w:p w14:paraId="1175D6B2">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项目联系人：杨坤、朱宏源</w:t>
      </w:r>
    </w:p>
    <w:p w14:paraId="022DD679">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电  话： </w:t>
      </w:r>
      <w:bookmarkStart w:id="18" w:name="OLE_LINK8"/>
      <w:r>
        <w:rPr>
          <w:rFonts w:hint="eastAsia" w:ascii="宋体" w:hAnsi="宋体" w:eastAsia="宋体" w:cs="宋体"/>
          <w:color w:val="auto"/>
          <w:spacing w:val="0"/>
          <w:position w:val="0"/>
          <w:sz w:val="24"/>
          <w:szCs w:val="24"/>
          <w:highlight w:val="none"/>
          <w:lang w:val="en-US" w:eastAsia="zh-CN"/>
        </w:rPr>
        <w:t>0791-862</w:t>
      </w:r>
      <w:bookmarkEnd w:id="18"/>
      <w:r>
        <w:rPr>
          <w:rFonts w:hint="eastAsia" w:ascii="宋体" w:hAnsi="宋体" w:eastAsia="宋体" w:cs="宋体"/>
          <w:color w:val="auto"/>
          <w:spacing w:val="0"/>
          <w:position w:val="0"/>
          <w:sz w:val="24"/>
          <w:szCs w:val="24"/>
          <w:highlight w:val="none"/>
          <w:lang w:val="en-US" w:eastAsia="zh-CN"/>
        </w:rPr>
        <w:t xml:space="preserve">12719        </w:t>
      </w:r>
    </w:p>
    <w:p w14:paraId="64BEAB8C">
      <w:pPr>
        <w:keepNext w:val="0"/>
        <w:keepLines w:val="0"/>
        <w:pageBreakBefore w:val="0"/>
        <w:widowControl w:val="0"/>
        <w:kinsoku w:val="0"/>
        <w:wordWrap/>
        <w:overflowPunct/>
        <w:topLinePunct w:val="0"/>
        <w:autoSpaceDE w:val="0"/>
        <w:autoSpaceDN w:val="0"/>
        <w:bidi w:val="0"/>
        <w:adjustRightInd w:val="0"/>
        <w:snapToGrid w:val="0"/>
        <w:spacing w:line="360" w:lineRule="auto"/>
        <w:ind w:left="736" w:leftChars="200" w:hanging="316" w:hangingChars="132"/>
        <w:jc w:val="both"/>
        <w:textAlignment w:val="baseline"/>
        <w:outlineLvl w:val="1"/>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电子函件：</w:t>
      </w:r>
      <w:r>
        <w:rPr>
          <w:rFonts w:hint="eastAsia" w:ascii="宋体" w:hAnsi="宋体" w:eastAsia="宋体" w:cs="宋体"/>
          <w:color w:val="auto"/>
          <w:spacing w:val="0"/>
          <w:position w:val="0"/>
          <w:sz w:val="24"/>
          <w:szCs w:val="24"/>
          <w:highlight w:val="none"/>
          <w:lang w:val="en-US" w:eastAsia="zh-CN"/>
        </w:rPr>
        <w:fldChar w:fldCharType="begin"/>
      </w:r>
      <w:r>
        <w:rPr>
          <w:rFonts w:hint="eastAsia" w:ascii="宋体" w:hAnsi="宋体" w:eastAsia="宋体" w:cs="宋体"/>
          <w:color w:val="auto"/>
          <w:spacing w:val="0"/>
          <w:position w:val="0"/>
          <w:sz w:val="24"/>
          <w:szCs w:val="24"/>
          <w:highlight w:val="none"/>
          <w:lang w:val="en-US" w:eastAsia="zh-CN"/>
        </w:rPr>
        <w:instrText xml:space="preserve"> HYPERLINK "mailto:jzzc@jxzxtz.com" </w:instrText>
      </w:r>
      <w:r>
        <w:rPr>
          <w:rFonts w:hint="eastAsia" w:ascii="宋体" w:hAnsi="宋体" w:eastAsia="宋体" w:cs="宋体"/>
          <w:color w:val="auto"/>
          <w:spacing w:val="0"/>
          <w:position w:val="0"/>
          <w:sz w:val="24"/>
          <w:szCs w:val="24"/>
          <w:highlight w:val="none"/>
          <w:lang w:val="en-US" w:eastAsia="zh-CN"/>
        </w:rPr>
        <w:fldChar w:fldCharType="separate"/>
      </w:r>
      <w:r>
        <w:rPr>
          <w:rFonts w:hint="eastAsia" w:ascii="宋体" w:hAnsi="宋体" w:eastAsia="宋体" w:cs="宋体"/>
          <w:color w:val="auto"/>
          <w:spacing w:val="0"/>
          <w:position w:val="0"/>
          <w:sz w:val="24"/>
          <w:szCs w:val="24"/>
          <w:highlight w:val="none"/>
          <w:lang w:val="en-US" w:eastAsia="zh-CN"/>
        </w:rPr>
        <w:t>jzzc@jxbidding.com</w:t>
      </w:r>
      <w:r>
        <w:rPr>
          <w:rFonts w:hint="eastAsia" w:ascii="宋体" w:hAnsi="宋体" w:eastAsia="宋体" w:cs="宋体"/>
          <w:color w:val="auto"/>
          <w:spacing w:val="0"/>
          <w:position w:val="0"/>
          <w:sz w:val="24"/>
          <w:szCs w:val="24"/>
          <w:highlight w:val="none"/>
          <w:lang w:val="en-US" w:eastAsia="zh-CN"/>
        </w:rPr>
        <w:fldChar w:fldCharType="end"/>
      </w:r>
      <w:bookmarkEnd w:id="13"/>
    </w:p>
    <w:p w14:paraId="6DB9E218">
      <w:pP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br w:type="page"/>
      </w:r>
    </w:p>
    <w:p w14:paraId="7F02A228">
      <w:pPr>
        <w:pageBreakBefore w:val="0"/>
        <w:widowControl w:val="0"/>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highlight w:val="none"/>
          <w:lang w:eastAsia="zh-CN"/>
        </w:rPr>
      </w:pPr>
      <w:bookmarkStart w:id="19" w:name="_Toc6675"/>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第二章</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投标人须知</w:t>
      </w:r>
      <w:bookmarkEnd w:id="19"/>
    </w:p>
    <w:p w14:paraId="1764C2CC">
      <w:pPr>
        <w:keepNext w:val="0"/>
        <w:keepLines w:val="0"/>
        <w:pageBreakBefore w:val="0"/>
        <w:widowControl w:val="0"/>
        <w:kinsoku w:val="0"/>
        <w:wordWrap/>
        <w:overflowPunct/>
        <w:topLinePunct w:val="0"/>
        <w:autoSpaceDE w:val="0"/>
        <w:autoSpaceDN w:val="0"/>
        <w:bidi w:val="0"/>
        <w:adjustRightInd w:val="0"/>
        <w:snapToGrid w:val="0"/>
        <w:spacing w:before="207" w:after="0" w:afterLines="150" w:afterAutospacing="0" w:line="219" w:lineRule="auto"/>
        <w:ind w:left="4017" w:leftChars="0" w:hanging="4017" w:hangingChars="1674"/>
        <w:jc w:val="center"/>
        <w:textAlignment w:val="baseline"/>
        <w:outlineLvl w:val="1"/>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bookmarkStart w:id="20" w:name="_Toc12965"/>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一、投标人须知前附表</w:t>
      </w:r>
      <w:bookmarkEnd w:id="20"/>
    </w:p>
    <w:p w14:paraId="7C5EAE77">
      <w:pPr>
        <w:pStyle w:val="7"/>
        <w:keepNext w:val="0"/>
        <w:keepLines w:val="0"/>
        <w:pageBreakBefore w:val="0"/>
        <w:widowControl w:val="0"/>
        <w:kinsoku w:val="0"/>
        <w:wordWrap/>
        <w:overflowPunct/>
        <w:topLinePunct w:val="0"/>
        <w:autoSpaceDE w:val="0"/>
        <w:autoSpaceDN w:val="0"/>
        <w:bidi w:val="0"/>
        <w:adjustRightInd w:val="0"/>
        <w:snapToGrid w:val="0"/>
        <w:spacing w:beforeAutospacing="0"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本表是对投标人须知的具体补充和修改，如有矛盾，均以本表为准。</w:t>
      </w:r>
    </w:p>
    <w:p w14:paraId="38EE2998">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0" w:leftChars="0" w:firstLine="0" w:firstLineChars="0"/>
        <w:jc w:val="left"/>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标记</w:t>
      </w:r>
      <w:r>
        <w:rPr>
          <w:rFonts w:hint="eastAsia" w:ascii="宋体" w:hAnsi="宋体" w:eastAsia="宋体" w:cs="宋体"/>
          <w:snapToGrid w:val="0"/>
          <w:color w:val="auto"/>
          <w:spacing w:val="0"/>
          <w:w w:val="100"/>
          <w:kern w:val="0"/>
          <w:position w:val="0"/>
          <w:sz w:val="24"/>
          <w:szCs w:val="24"/>
          <w:highlight w:val="none"/>
          <w:lang w:val="en-US" w:eastAsia="zh-CN" w:bidi="ar-SA"/>
        </w:rPr>
        <w:sym w:font="Wingdings 2" w:char="0052"/>
      </w:r>
      <w:r>
        <w:rPr>
          <w:rFonts w:hint="eastAsia" w:ascii="宋体" w:hAnsi="宋体" w:eastAsia="宋体" w:cs="宋体"/>
          <w:snapToGrid w:val="0"/>
          <w:color w:val="auto"/>
          <w:spacing w:val="0"/>
          <w:w w:val="100"/>
          <w:kern w:val="0"/>
          <w:position w:val="0"/>
          <w:sz w:val="24"/>
          <w:szCs w:val="24"/>
          <w:highlight w:val="none"/>
          <w:lang w:val="en-US" w:eastAsia="zh-CN" w:bidi="ar-SA"/>
        </w:rPr>
        <w:t>的选项意为适用于本项目，标记</w:t>
      </w:r>
      <w:r>
        <w:rPr>
          <w:rFonts w:hint="eastAsia" w:ascii="宋体" w:hAnsi="宋体" w:eastAsia="宋体" w:cs="宋体"/>
          <w:snapToGrid w:val="0"/>
          <w:color w:val="auto"/>
          <w:spacing w:val="0"/>
          <w:w w:val="100"/>
          <w:kern w:val="0"/>
          <w:position w:val="0"/>
          <w:sz w:val="24"/>
          <w:szCs w:val="24"/>
          <w:highlight w:val="none"/>
          <w:lang w:val="en-US" w:eastAsia="zh-CN" w:bidi="ar-SA"/>
        </w:rPr>
        <w:sym w:font="Wingdings 2" w:char="00A3"/>
      </w:r>
      <w:r>
        <w:rPr>
          <w:rFonts w:hint="eastAsia" w:ascii="宋体" w:hAnsi="宋体" w:eastAsia="宋体" w:cs="宋体"/>
          <w:snapToGrid w:val="0"/>
          <w:color w:val="auto"/>
          <w:spacing w:val="0"/>
          <w:w w:val="100"/>
          <w:kern w:val="0"/>
          <w:position w:val="0"/>
          <w:sz w:val="24"/>
          <w:szCs w:val="24"/>
          <w:highlight w:val="none"/>
          <w:lang w:val="en-US" w:eastAsia="zh-CN" w:bidi="ar-SA"/>
        </w:rPr>
        <w:t>的选项意为不适用于本项目。</w:t>
      </w:r>
    </w:p>
    <w:p w14:paraId="70FC2923">
      <w:pPr>
        <w:pageBreakBefore w:val="0"/>
        <w:widowControl w:val="0"/>
        <w:wordWrap/>
        <w:overflowPunct/>
        <w:topLinePunct w:val="0"/>
        <w:bidi w:val="0"/>
        <w:spacing w:line="69" w:lineRule="exact"/>
        <w:rPr>
          <w:rFonts w:hint="eastAsia" w:ascii="宋体" w:hAnsi="宋体" w:eastAsia="宋体" w:cs="宋体"/>
          <w:color w:val="auto"/>
          <w:spacing w:val="0"/>
          <w:w w:val="100"/>
          <w:position w:val="0"/>
          <w:highlight w:val="none"/>
        </w:rPr>
      </w:pPr>
    </w:p>
    <w:tbl>
      <w:tblPr>
        <w:tblStyle w:val="26"/>
        <w:tblW w:w="950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44"/>
        <w:gridCol w:w="16"/>
        <w:gridCol w:w="1393"/>
        <w:gridCol w:w="14"/>
        <w:gridCol w:w="7107"/>
        <w:gridCol w:w="31"/>
      </w:tblGrid>
      <w:tr w14:paraId="360244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jc w:val="center"/>
        </w:trPr>
        <w:tc>
          <w:tcPr>
            <w:tcW w:w="960" w:type="dxa"/>
            <w:gridSpan w:val="2"/>
            <w:vAlign w:val="center"/>
          </w:tcPr>
          <w:p w14:paraId="6810CA77">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条款号</w:t>
            </w:r>
          </w:p>
        </w:tc>
        <w:tc>
          <w:tcPr>
            <w:tcW w:w="1407" w:type="dxa"/>
            <w:gridSpan w:val="2"/>
            <w:vAlign w:val="center"/>
          </w:tcPr>
          <w:p w14:paraId="26AA888E">
            <w:pPr>
              <w:keepNext w:val="0"/>
              <w:keepLines w:val="0"/>
              <w:pageBreakBefore w:val="0"/>
              <w:widowControl w:val="0"/>
              <w:kinsoku w:val="0"/>
              <w:wordWrap/>
              <w:overflowPunct/>
              <w:topLinePunct w:val="0"/>
              <w:autoSpaceDE w:val="0"/>
              <w:autoSpaceDN w:val="0"/>
              <w:bidi w:val="0"/>
              <w:adjustRightInd w:val="0"/>
              <w:snapToGrid w:val="0"/>
              <w:spacing w:line="360" w:lineRule="auto"/>
              <w:ind w:left="116"/>
              <w:jc w:val="center"/>
              <w:textAlignment w:val="baseline"/>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条目</w:t>
            </w:r>
          </w:p>
        </w:tc>
        <w:tc>
          <w:tcPr>
            <w:tcW w:w="7138" w:type="dxa"/>
            <w:gridSpan w:val="2"/>
            <w:vAlign w:val="center"/>
          </w:tcPr>
          <w:p w14:paraId="17D77886">
            <w:pPr>
              <w:keepNext w:val="0"/>
              <w:keepLines w:val="0"/>
              <w:pageBreakBefore w:val="0"/>
              <w:widowControl w:val="0"/>
              <w:kinsoku w:val="0"/>
              <w:wordWrap/>
              <w:overflowPunct/>
              <w:topLinePunct w:val="0"/>
              <w:autoSpaceDE w:val="0"/>
              <w:autoSpaceDN w:val="0"/>
              <w:bidi w:val="0"/>
              <w:adjustRightInd w:val="0"/>
              <w:snapToGrid w:val="0"/>
              <w:spacing w:line="360" w:lineRule="auto"/>
              <w:ind w:left="4492" w:leftChars="0" w:hanging="4492" w:hangingChars="1872"/>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内</w:t>
            </w:r>
            <w:r>
              <w:rPr>
                <w:rFonts w:hint="eastAsia" w:ascii="宋体" w:hAnsi="宋体" w:eastAsia="宋体" w:cs="宋体"/>
                <w:color w:val="auto"/>
                <w:spacing w:val="0"/>
                <w:w w:val="100"/>
                <w:position w:val="0"/>
                <w:sz w:val="24"/>
                <w:szCs w:val="24"/>
                <w:highlight w:val="none"/>
              </w:rPr>
              <w:t xml:space="preserve">    </w:t>
            </w: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容</w:t>
            </w:r>
          </w:p>
        </w:tc>
      </w:tr>
      <w:tr w14:paraId="46B4C3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7" w:hRule="atLeast"/>
          <w:jc w:val="center"/>
        </w:trPr>
        <w:tc>
          <w:tcPr>
            <w:tcW w:w="960" w:type="dxa"/>
            <w:gridSpan w:val="2"/>
            <w:vAlign w:val="center"/>
          </w:tcPr>
          <w:p w14:paraId="211F0BDF">
            <w:pPr>
              <w:keepNext w:val="0"/>
              <w:keepLines w:val="0"/>
              <w:pageBreakBefore w:val="0"/>
              <w:widowControl w:val="0"/>
              <w:kinsoku w:val="0"/>
              <w:wordWrap/>
              <w:overflowPunct/>
              <w:topLinePunct w:val="0"/>
              <w:autoSpaceDE w:val="0"/>
              <w:autoSpaceDN w:val="0"/>
              <w:bidi w:val="0"/>
              <w:adjustRightInd w:val="0"/>
              <w:snapToGrid w:val="0"/>
              <w:spacing w:line="360" w:lineRule="auto"/>
              <w:ind w:left="31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1.1</w:t>
            </w:r>
          </w:p>
        </w:tc>
        <w:tc>
          <w:tcPr>
            <w:tcW w:w="1407" w:type="dxa"/>
            <w:gridSpan w:val="2"/>
            <w:vAlign w:val="center"/>
          </w:tcPr>
          <w:p w14:paraId="1357488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项目名称及项目编号</w:t>
            </w:r>
          </w:p>
        </w:tc>
        <w:tc>
          <w:tcPr>
            <w:tcW w:w="7138" w:type="dxa"/>
            <w:gridSpan w:val="2"/>
            <w:vAlign w:val="center"/>
          </w:tcPr>
          <w:p w14:paraId="6C9321B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详见“第一章 投标邀请 ”</w:t>
            </w:r>
          </w:p>
        </w:tc>
      </w:tr>
      <w:tr w14:paraId="12F0E8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jc w:val="center"/>
        </w:trPr>
        <w:tc>
          <w:tcPr>
            <w:tcW w:w="960" w:type="dxa"/>
            <w:gridSpan w:val="2"/>
            <w:vAlign w:val="center"/>
          </w:tcPr>
          <w:p w14:paraId="092FD944">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2.1</w:t>
            </w:r>
          </w:p>
        </w:tc>
        <w:tc>
          <w:tcPr>
            <w:tcW w:w="1407" w:type="dxa"/>
            <w:gridSpan w:val="2"/>
            <w:vAlign w:val="center"/>
          </w:tcPr>
          <w:p w14:paraId="04DA6F9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采购人</w:t>
            </w:r>
          </w:p>
        </w:tc>
        <w:tc>
          <w:tcPr>
            <w:tcW w:w="7138" w:type="dxa"/>
            <w:gridSpan w:val="2"/>
            <w:vAlign w:val="center"/>
          </w:tcPr>
          <w:p w14:paraId="260517E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详见“第一章 投标邀请 ”</w:t>
            </w:r>
          </w:p>
        </w:tc>
      </w:tr>
      <w:tr w14:paraId="46116B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jc w:val="center"/>
        </w:trPr>
        <w:tc>
          <w:tcPr>
            <w:tcW w:w="960" w:type="dxa"/>
            <w:gridSpan w:val="2"/>
            <w:vAlign w:val="center"/>
          </w:tcPr>
          <w:p w14:paraId="1AEB2A0D">
            <w:pPr>
              <w:keepNext w:val="0"/>
              <w:keepLines w:val="0"/>
              <w:pageBreakBefore w:val="0"/>
              <w:widowControl w:val="0"/>
              <w:kinsoku w:val="0"/>
              <w:wordWrap/>
              <w:overflowPunct/>
              <w:topLinePunct w:val="0"/>
              <w:autoSpaceDE w:val="0"/>
              <w:autoSpaceDN w:val="0"/>
              <w:bidi w:val="0"/>
              <w:adjustRightInd w:val="0"/>
              <w:snapToGrid w:val="0"/>
              <w:spacing w:line="360" w:lineRule="auto"/>
              <w:ind w:left="3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2.2</w:t>
            </w:r>
          </w:p>
        </w:tc>
        <w:tc>
          <w:tcPr>
            <w:tcW w:w="1407" w:type="dxa"/>
            <w:gridSpan w:val="2"/>
            <w:vAlign w:val="center"/>
          </w:tcPr>
          <w:p w14:paraId="5ECE85B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采购代理</w:t>
            </w:r>
          </w:p>
          <w:p w14:paraId="507817D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机构</w:t>
            </w:r>
          </w:p>
        </w:tc>
        <w:tc>
          <w:tcPr>
            <w:tcW w:w="7138" w:type="dxa"/>
            <w:gridSpan w:val="2"/>
            <w:vAlign w:val="center"/>
          </w:tcPr>
          <w:p w14:paraId="6137275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详见“第一章 投标邀请 ”</w:t>
            </w:r>
          </w:p>
        </w:tc>
      </w:tr>
      <w:tr w14:paraId="0E2D83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16D77A44">
            <w:pPr>
              <w:keepNext w:val="0"/>
              <w:keepLines w:val="0"/>
              <w:pageBreakBefore w:val="0"/>
              <w:widowControl w:val="0"/>
              <w:kinsoku w:val="0"/>
              <w:wordWrap/>
              <w:overflowPunct/>
              <w:topLinePunct w:val="0"/>
              <w:autoSpaceDE w:val="0"/>
              <w:autoSpaceDN w:val="0"/>
              <w:bidi w:val="0"/>
              <w:adjustRightInd w:val="0"/>
              <w:snapToGrid w:val="0"/>
              <w:spacing w:line="360" w:lineRule="auto"/>
              <w:ind w:left="182"/>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3.2.1</w:t>
            </w:r>
          </w:p>
        </w:tc>
        <w:tc>
          <w:tcPr>
            <w:tcW w:w="1407" w:type="dxa"/>
            <w:gridSpan w:val="2"/>
            <w:vAlign w:val="center"/>
          </w:tcPr>
          <w:p w14:paraId="389FCC3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联合体投标</w:t>
            </w:r>
          </w:p>
        </w:tc>
        <w:tc>
          <w:tcPr>
            <w:tcW w:w="7138" w:type="dxa"/>
            <w:gridSpan w:val="2"/>
            <w:vAlign w:val="center"/>
          </w:tcPr>
          <w:p w14:paraId="39F309F8">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本项目是否接受联合体投标：详见“第一章 投标邀请 ”</w:t>
            </w:r>
          </w:p>
          <w:p w14:paraId="356D7F2D">
            <w:pPr>
              <w:keepNext w:val="0"/>
              <w:keepLines w:val="0"/>
              <w:pageBreakBefore w:val="0"/>
              <w:widowControl w:val="0"/>
              <w:kinsoku w:val="0"/>
              <w:wordWrap/>
              <w:overflowPunct/>
              <w:topLinePunct w:val="0"/>
              <w:autoSpaceDE w:val="0"/>
              <w:autoSpaceDN w:val="0"/>
              <w:bidi w:val="0"/>
              <w:adjustRightInd w:val="0"/>
              <w:snapToGrid w:val="0"/>
              <w:spacing w:line="360" w:lineRule="auto"/>
              <w:ind w:left="115" w:right="106" w:firstLine="41"/>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(接受联合体投标的，除联合体协议和招标文件特殊要求外，招标文件中要求盖章或签字处仅需联合体牵头单位盖章或签字。）</w:t>
            </w:r>
          </w:p>
        </w:tc>
      </w:tr>
      <w:tr w14:paraId="0C3538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960" w:type="dxa"/>
            <w:gridSpan w:val="2"/>
            <w:vAlign w:val="center"/>
          </w:tcPr>
          <w:p w14:paraId="7B3FEF22">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7</w:t>
            </w:r>
          </w:p>
        </w:tc>
        <w:tc>
          <w:tcPr>
            <w:tcW w:w="1407" w:type="dxa"/>
            <w:gridSpan w:val="2"/>
            <w:vAlign w:val="center"/>
          </w:tcPr>
          <w:p w14:paraId="1409B53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资格、资信证明文件</w:t>
            </w:r>
          </w:p>
          <w:p w14:paraId="067E84B5">
            <w:pPr>
              <w:keepNext w:val="0"/>
              <w:keepLines w:val="0"/>
              <w:pageBreakBefore w:val="0"/>
              <w:widowControl w:val="0"/>
              <w:kinsoku w:val="0"/>
              <w:wordWrap/>
              <w:overflowPunct/>
              <w:topLinePunct w:val="0"/>
              <w:autoSpaceDE w:val="0"/>
              <w:autoSpaceDN w:val="0"/>
              <w:bidi w:val="0"/>
              <w:adjustRightInd w:val="0"/>
              <w:snapToGrid w:val="0"/>
              <w:spacing w:line="360" w:lineRule="auto"/>
              <w:ind w:left="423"/>
              <w:jc w:val="center"/>
              <w:textAlignment w:val="baseline"/>
              <w:rPr>
                <w:rFonts w:hint="eastAsia" w:ascii="宋体" w:hAnsi="宋体" w:eastAsia="宋体" w:cs="宋体"/>
                <w:color w:val="auto"/>
                <w:spacing w:val="0"/>
                <w:w w:val="100"/>
                <w:position w:val="0"/>
                <w:sz w:val="24"/>
                <w:szCs w:val="24"/>
                <w:highlight w:val="none"/>
              </w:rPr>
            </w:pPr>
          </w:p>
        </w:tc>
        <w:tc>
          <w:tcPr>
            <w:tcW w:w="7138" w:type="dxa"/>
            <w:gridSpan w:val="2"/>
            <w:vAlign w:val="center"/>
          </w:tcPr>
          <w:p w14:paraId="1ADC9BEE">
            <w:pPr>
              <w:keepNext w:val="0"/>
              <w:keepLines w:val="0"/>
              <w:pageBreakBefore w:val="0"/>
              <w:widowControl w:val="0"/>
              <w:kinsoku w:val="0"/>
              <w:wordWrap/>
              <w:overflowPunct/>
              <w:topLinePunct w:val="0"/>
              <w:autoSpaceDE w:val="0"/>
              <w:autoSpaceDN w:val="0"/>
              <w:bidi w:val="0"/>
              <w:adjustRightInd w:val="0"/>
              <w:snapToGrid w:val="0"/>
              <w:spacing w:line="360" w:lineRule="auto"/>
              <w:ind w:left="115" w:leftChars="55" w:firstLine="101" w:firstLineChars="42"/>
              <w:jc w:val="both"/>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投标人应当提交的资格、资信证明文件</w:t>
            </w:r>
          </w:p>
          <w:p w14:paraId="34BE5D70">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（1）合格的投标人资格证明文件：详见第四章 投标文件格式“资格证明文</w:t>
            </w:r>
            <w:r>
              <w:rPr>
                <w:rFonts w:hint="eastAsia" w:ascii="宋体" w:hAnsi="宋体" w:eastAsia="宋体" w:cs="宋体"/>
                <w:bCs/>
                <w:color w:val="auto"/>
                <w:sz w:val="24"/>
                <w:szCs w:val="24"/>
                <w:highlight w:val="none"/>
                <w:lang w:val="en-US" w:eastAsia="zh-CN"/>
              </w:rPr>
              <w:t>件</w:t>
            </w:r>
            <w:r>
              <w:rPr>
                <w:rFonts w:hint="eastAsia" w:ascii="宋体" w:hAnsi="宋体" w:eastAsia="宋体" w:cs="宋体"/>
                <w:bCs/>
                <w:color w:val="auto"/>
                <w:sz w:val="24"/>
                <w:szCs w:val="24"/>
                <w:highlight w:val="none"/>
              </w:rPr>
              <w:t>”。</w:t>
            </w:r>
          </w:p>
          <w:p w14:paraId="29F82762">
            <w:pPr>
              <w:keepNext w:val="0"/>
              <w:keepLines w:val="0"/>
              <w:pageBreakBefore w:val="0"/>
              <w:widowControl w:val="0"/>
              <w:kinsoku w:val="0"/>
              <w:wordWrap/>
              <w:overflowPunct/>
              <w:topLinePunct w:val="0"/>
              <w:autoSpaceDE w:val="0"/>
              <w:autoSpaceDN w:val="0"/>
              <w:bidi w:val="0"/>
              <w:adjustRightInd w:val="0"/>
              <w:snapToGrid w:val="0"/>
              <w:spacing w:line="360" w:lineRule="auto"/>
              <w:ind w:left="240" w:hanging="240" w:hangingChars="100"/>
              <w:jc w:val="both"/>
              <w:textAlignment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bCs/>
                <w:color w:val="auto"/>
                <w:sz w:val="24"/>
                <w:szCs w:val="24"/>
                <w:highlight w:val="none"/>
                <w:lang w:val="en-US" w:eastAsia="zh-CN"/>
              </w:rPr>
              <w:t>信用查询：采购人或者采购代理机构在资格审查结束前，对投标人进行信用查询。</w:t>
            </w:r>
          </w:p>
          <w:p w14:paraId="5747F874">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①查询渠道：通过“信用中国”网站（www.creditchina.gov.cn）、中国政府采购网（www.ccgp.gov.cn）进行查询；</w:t>
            </w:r>
          </w:p>
          <w:p w14:paraId="1F59032C">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②查询截止时点：资格审查结束前；</w:t>
            </w:r>
          </w:p>
          <w:p w14:paraId="1ACD0440">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bCs/>
                <w:color w:val="auto"/>
                <w:sz w:val="24"/>
                <w:szCs w:val="24"/>
                <w:highlight w:val="none"/>
                <w:lang w:val="en-US" w:eastAsia="zh-CN"/>
              </w:rPr>
            </w:pPr>
            <w:r>
              <w:rPr>
                <w:rFonts w:hint="eastAsia" w:ascii="宋体" w:hAnsi="宋体" w:eastAsia="宋体" w:cs="宋体"/>
                <w:bCs/>
                <w:color w:val="auto"/>
                <w:sz w:val="24"/>
                <w:szCs w:val="24"/>
                <w:highlight w:val="none"/>
                <w:lang w:val="en-US" w:eastAsia="zh-CN"/>
              </w:rPr>
              <w:t>③查询记录和证据留存方式：在查询网站中直接打印查询记录，截图另存为电子文档作为评审资料保存；</w:t>
            </w:r>
          </w:p>
          <w:p w14:paraId="60421A37">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bCs/>
                <w:color w:val="auto"/>
                <w:sz w:val="24"/>
                <w:szCs w:val="24"/>
                <w:highlight w:val="none"/>
                <w:lang w:val="en-US" w:eastAsia="zh-CN"/>
              </w:rPr>
              <w:t>④信用信息的使用规则：对被列入失信被执行人、重大税收违法失信主体、政府采购严重违法失信行为记录名单及其他不符合《中华人民共和国政府采购法》第二十二条规定条件的投标人，拒绝其参与政府采购活动。两个以上的自然人、法人或者其他组织组成一</w:t>
            </w:r>
            <w:r>
              <w:rPr>
                <w:rFonts w:hint="eastAsia" w:ascii="宋体" w:hAnsi="宋体" w:eastAsia="宋体" w:cs="宋体"/>
                <w:color w:val="auto"/>
                <w:spacing w:val="0"/>
                <w:w w:val="100"/>
                <w:kern w:val="2"/>
                <w:position w:val="0"/>
                <w:sz w:val="24"/>
                <w:szCs w:val="24"/>
                <w:highlight w:val="none"/>
                <w:lang w:val="en-US" w:eastAsia="zh-CN" w:bidi="ar-SA"/>
              </w:rPr>
              <w:t>个联合体，以一个投标人的身份共同参加政府采购活动的，应当对所有联合体成员进行信用记录查询，联合体成员存在不良信用记录（被列入失信被执行人、重大税收违法失信主体、政府采购严重违法失信行为记录名单及其他不符合《中华人民共和国政府采购法》第二十二条规定条件的投标人）的，视同联合体存在不良信用记录。（如在上述网站查询结果均显示没有相关记录，视为不存在上述不良信用记录）</w:t>
            </w:r>
          </w:p>
        </w:tc>
      </w:tr>
      <w:tr w14:paraId="3F0AC0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940EB0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4</w:t>
            </w:r>
          </w:p>
        </w:tc>
        <w:tc>
          <w:tcPr>
            <w:tcW w:w="1407" w:type="dxa"/>
            <w:gridSpan w:val="2"/>
            <w:vAlign w:val="center"/>
          </w:tcPr>
          <w:p w14:paraId="15A2575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落实中小企业政策</w:t>
            </w:r>
          </w:p>
        </w:tc>
        <w:tc>
          <w:tcPr>
            <w:tcW w:w="7138" w:type="dxa"/>
            <w:gridSpan w:val="2"/>
            <w:vAlign w:val="center"/>
          </w:tcPr>
          <w:p w14:paraId="74318CF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1.本项目专门面向中小企业采购。</w:t>
            </w:r>
            <w:r>
              <w:rPr>
                <w:rFonts w:hint="eastAsia" w:ascii="宋体" w:hAnsi="宋体" w:eastAsia="宋体" w:cs="宋体"/>
                <w:color w:val="auto"/>
                <w:spacing w:val="0"/>
                <w:w w:val="100"/>
                <w:position w:val="0"/>
                <w:sz w:val="24"/>
                <w:szCs w:val="24"/>
                <w:highlight w:val="none"/>
                <w:lang w:eastAsia="zh-CN"/>
              </w:rPr>
              <w:t>本项目采购</w:t>
            </w:r>
            <w:r>
              <w:rPr>
                <w:rFonts w:hint="eastAsia" w:ascii="宋体" w:hAnsi="宋体" w:eastAsia="宋体" w:cs="宋体"/>
                <w:color w:val="auto"/>
                <w:spacing w:val="0"/>
                <w:w w:val="100"/>
                <w:position w:val="0"/>
                <w:sz w:val="24"/>
                <w:szCs w:val="24"/>
                <w:highlight w:val="none"/>
                <w:lang w:val="en-US" w:eastAsia="zh-CN"/>
              </w:rPr>
              <w:t>的</w:t>
            </w:r>
            <w:r>
              <w:rPr>
                <w:rFonts w:hint="eastAsia" w:ascii="宋体" w:hAnsi="宋体" w:eastAsia="宋体" w:cs="宋体"/>
                <w:color w:val="auto"/>
                <w:spacing w:val="0"/>
                <w:w w:val="100"/>
                <w:position w:val="0"/>
                <w:sz w:val="24"/>
                <w:szCs w:val="24"/>
                <w:highlight w:val="none"/>
                <w:lang w:eastAsia="zh-CN"/>
              </w:rPr>
              <w:t>标的</w:t>
            </w:r>
            <w:r>
              <w:rPr>
                <w:rFonts w:hint="eastAsia" w:ascii="宋体" w:hAnsi="宋体" w:eastAsia="宋体" w:cs="宋体"/>
                <w:color w:val="auto"/>
                <w:spacing w:val="0"/>
                <w:w w:val="100"/>
                <w:position w:val="0"/>
                <w:sz w:val="24"/>
                <w:szCs w:val="24"/>
                <w:highlight w:val="none"/>
                <w:lang w:val="en-US" w:eastAsia="zh-CN"/>
              </w:rPr>
              <w:t>物</w:t>
            </w:r>
            <w:r>
              <w:rPr>
                <w:rFonts w:hint="eastAsia" w:ascii="宋体" w:hAnsi="宋体" w:eastAsia="宋体" w:cs="宋体"/>
                <w:color w:val="auto"/>
                <w:spacing w:val="0"/>
                <w:w w:val="100"/>
                <w:position w:val="0"/>
                <w:sz w:val="24"/>
                <w:szCs w:val="24"/>
                <w:highlight w:val="none"/>
                <w:lang w:eastAsia="zh-CN"/>
              </w:rPr>
              <w:t>对应的</w:t>
            </w:r>
            <w:r>
              <w:rPr>
                <w:rFonts w:hint="eastAsia" w:ascii="宋体" w:hAnsi="宋体" w:eastAsia="宋体" w:cs="宋体"/>
                <w:color w:val="auto"/>
                <w:spacing w:val="0"/>
                <w:w w:val="100"/>
                <w:position w:val="0"/>
                <w:sz w:val="24"/>
                <w:szCs w:val="24"/>
                <w:highlight w:val="none"/>
                <w:lang w:val="en-US" w:eastAsia="zh-CN"/>
              </w:rPr>
              <w:t>制造商是中小企业的，</w:t>
            </w:r>
            <w:r>
              <w:rPr>
                <w:rFonts w:hint="eastAsia" w:ascii="宋体" w:hAnsi="宋体" w:eastAsia="宋体" w:cs="宋体"/>
                <w:color w:val="auto"/>
                <w:spacing w:val="0"/>
                <w:w w:val="100"/>
                <w:position w:val="0"/>
                <w:sz w:val="24"/>
                <w:szCs w:val="24"/>
                <w:highlight w:val="none"/>
                <w:lang w:eastAsia="zh-CN"/>
              </w:rPr>
              <w:t>中小企业划分标准所属行业为：</w:t>
            </w:r>
            <w:r>
              <w:rPr>
                <w:rFonts w:hint="eastAsia" w:ascii="宋体" w:hAnsi="宋体" w:eastAsia="宋体" w:cs="宋体"/>
                <w:color w:val="auto"/>
                <w:spacing w:val="0"/>
                <w:w w:val="100"/>
                <w:position w:val="0"/>
                <w:sz w:val="24"/>
                <w:szCs w:val="24"/>
                <w:highlight w:val="none"/>
                <w:u w:val="single"/>
                <w:lang w:val="en-US" w:eastAsia="zh-CN"/>
              </w:rPr>
              <w:t xml:space="preserve">  工业 </w:t>
            </w:r>
            <w:r>
              <w:rPr>
                <w:rFonts w:hint="eastAsia" w:ascii="宋体" w:hAnsi="宋体" w:eastAsia="宋体" w:cs="宋体"/>
                <w:color w:val="auto"/>
                <w:spacing w:val="0"/>
                <w:w w:val="100"/>
                <w:position w:val="0"/>
                <w:sz w:val="24"/>
                <w:szCs w:val="24"/>
                <w:highlight w:val="none"/>
                <w:u w:val="none"/>
                <w:lang w:val="en-US" w:eastAsia="zh-CN"/>
              </w:rPr>
              <w:t>；</w:t>
            </w:r>
          </w:p>
          <w:p w14:paraId="472B3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如果一个采购项目或采购包含有多个采购标的的，则每个采购标的均应按照中小企业划分标准所属行业，执行中小企业扶持政策时，针对每个采购标的物所属行业为“××”（根据项目属性规定）的采购项目进行声明；</w:t>
            </w:r>
          </w:p>
          <w:p w14:paraId="69210726">
            <w:pPr>
              <w:keepNext w:val="0"/>
              <w:keepLines w:val="0"/>
              <w:pageBreakBefore w:val="0"/>
              <w:widowControl w:val="0"/>
              <w:kinsoku w:val="0"/>
              <w:wordWrap/>
              <w:overflowPunct/>
              <w:topLinePunct w:val="0"/>
              <w:autoSpaceDE w:val="0"/>
              <w:autoSpaceDN w:val="0"/>
              <w:bidi w:val="0"/>
              <w:adjustRightInd w:val="0"/>
              <w:snapToGrid w:val="0"/>
              <w:spacing w:line="360" w:lineRule="auto"/>
              <w:ind w:left="230" w:leftChars="104" w:right="109" w:hanging="12" w:hangingChars="5"/>
              <w:jc w:val="left"/>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3.在货物采购项目中，不对其中涉及的服务的承接商作出要求。4.对小、微型企业和监狱企业、残疾人福利性单位的报价给予</w:t>
            </w:r>
            <w:r>
              <w:rPr>
                <w:rFonts w:hint="eastAsia" w:ascii="宋体" w:hAnsi="宋体" w:eastAsia="宋体" w:cs="宋体"/>
                <w:color w:val="auto"/>
                <w:spacing w:val="0"/>
                <w:w w:val="100"/>
                <w:position w:val="0"/>
                <w:sz w:val="24"/>
                <w:szCs w:val="24"/>
                <w:highlight w:val="none"/>
                <w:u w:val="single"/>
                <w:lang w:val="en-US" w:eastAsia="zh-CN"/>
              </w:rPr>
              <w:t>10%</w:t>
            </w:r>
            <w:r>
              <w:rPr>
                <w:rFonts w:hint="eastAsia" w:ascii="宋体" w:hAnsi="宋体" w:eastAsia="宋体" w:cs="宋体"/>
                <w:color w:val="auto"/>
                <w:spacing w:val="0"/>
                <w:w w:val="100"/>
                <w:position w:val="0"/>
                <w:sz w:val="24"/>
                <w:szCs w:val="24"/>
                <w:highlight w:val="none"/>
                <w:u w:val="none"/>
                <w:lang w:val="en-US" w:eastAsia="zh-CN"/>
              </w:rPr>
              <w:t>%</w:t>
            </w:r>
            <w:r>
              <w:rPr>
                <w:rFonts w:hint="eastAsia" w:ascii="宋体" w:hAnsi="宋体" w:eastAsia="宋体" w:cs="宋体"/>
                <w:color w:val="auto"/>
                <w:spacing w:val="0"/>
                <w:w w:val="100"/>
                <w:position w:val="0"/>
                <w:sz w:val="24"/>
                <w:szCs w:val="24"/>
                <w:highlight w:val="none"/>
                <w:lang w:val="en-US" w:eastAsia="zh-CN"/>
              </w:rPr>
              <w:t>比例的扣除，用扣除后的价格参与评审。</w:t>
            </w:r>
            <w:r>
              <w:rPr>
                <w:rFonts w:hint="eastAsia" w:ascii="宋体" w:hAnsi="宋体" w:eastAsia="宋体" w:cs="宋体"/>
                <w:b/>
                <w:bCs/>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未预留份额专门面向中小企业采购</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b/>
                <w:bCs/>
                <w:color w:val="auto"/>
                <w:spacing w:val="0"/>
                <w:position w:val="0"/>
                <w:sz w:val="24"/>
                <w:szCs w:val="24"/>
                <w:highlight w:val="none"/>
                <w:lang w:eastAsia="zh-CN"/>
              </w:rPr>
              <w:t>）</w:t>
            </w:r>
          </w:p>
          <w:p w14:paraId="39715C5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Chars="114"/>
              <w:jc w:val="left"/>
              <w:textAlignment w:val="baseline"/>
              <w:rPr>
                <w:rFonts w:hint="eastAsia" w:ascii="宋体" w:hAnsi="宋体" w:eastAsia="宋体" w:cs="宋体"/>
                <w:sz w:val="24"/>
                <w:szCs w:val="24"/>
                <w:highlight w:val="none"/>
                <w:lang w:val="en-US" w:eastAsia="zh-CN"/>
              </w:rPr>
            </w:pPr>
            <w:r>
              <w:rPr>
                <w:rFonts w:hint="eastAsia" w:ascii="宋体" w:hAnsi="宋体" w:eastAsia="宋体" w:cs="宋体"/>
                <w:snapToGrid w:val="0"/>
                <w:color w:val="auto"/>
                <w:spacing w:val="0"/>
                <w:w w:val="100"/>
                <w:position w:val="0"/>
                <w:sz w:val="24"/>
                <w:szCs w:val="24"/>
                <w:highlight w:val="none"/>
                <w:lang w:val="en-US" w:eastAsia="zh-CN" w:bidi="ar-SA"/>
              </w:rPr>
              <w:t>5.接受大中型企业与小微企业组成联合体或者允许大中型企业向一家或多家小微企业分包，对于联合协议或者分包意向协议约定小微型企业的合同份额占到合同总金额30%以上的，可给予</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 </w:t>
            </w:r>
            <w:r>
              <w:rPr>
                <w:rFonts w:hint="eastAsia" w:ascii="宋体" w:hAnsi="宋体" w:eastAsia="宋体" w:cs="宋体"/>
                <w:snapToGrid w:val="0"/>
                <w:color w:val="auto"/>
                <w:spacing w:val="0"/>
                <w:w w:val="100"/>
                <w:position w:val="0"/>
                <w:sz w:val="24"/>
                <w:szCs w:val="24"/>
                <w:highlight w:val="none"/>
                <w:u w:val="none"/>
                <w:lang w:val="en-US" w:eastAsia="zh-CN" w:bidi="ar-SA"/>
              </w:rPr>
              <w:t>%</w:t>
            </w:r>
            <w:r>
              <w:rPr>
                <w:rFonts w:hint="eastAsia" w:ascii="宋体" w:hAnsi="宋体" w:eastAsia="宋体" w:cs="宋体"/>
                <w:snapToGrid w:val="0"/>
                <w:color w:val="auto"/>
                <w:spacing w:val="0"/>
                <w:w w:val="100"/>
                <w:position w:val="0"/>
                <w:sz w:val="24"/>
                <w:szCs w:val="24"/>
                <w:highlight w:val="none"/>
                <w:lang w:val="en-US" w:eastAsia="zh-CN" w:bidi="ar-SA"/>
              </w:rPr>
              <w:t>比例的扣除优惠，用扣除后的价格参加评审。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非专门面向或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未预留份额专门面向中小企业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采购包</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专门面向或</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预留份额专门面向中小企业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tc>
      </w:tr>
      <w:tr w14:paraId="12D6FB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17" w:hRule="atLeast"/>
          <w:jc w:val="center"/>
        </w:trPr>
        <w:tc>
          <w:tcPr>
            <w:tcW w:w="960" w:type="dxa"/>
            <w:gridSpan w:val="2"/>
            <w:vAlign w:val="center"/>
          </w:tcPr>
          <w:p w14:paraId="5C7A2A9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8.6</w:t>
            </w:r>
          </w:p>
        </w:tc>
        <w:tc>
          <w:tcPr>
            <w:tcW w:w="1407" w:type="dxa"/>
            <w:gridSpan w:val="2"/>
            <w:vAlign w:val="center"/>
          </w:tcPr>
          <w:p w14:paraId="1A8256E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本国产品政策</w:t>
            </w:r>
          </w:p>
        </w:tc>
        <w:tc>
          <w:tcPr>
            <w:tcW w:w="7138" w:type="dxa"/>
            <w:gridSpan w:val="2"/>
            <w:vAlign w:val="center"/>
          </w:tcPr>
          <w:p w14:paraId="7315A0E0">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204BD249">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43F47803">
            <w:pPr>
              <w:keepNext w:val="0"/>
              <w:keepLines w:val="0"/>
              <w:pageBreakBefore w:val="0"/>
              <w:widowControl w:val="0"/>
              <w:suppressLineNumbers w:val="0"/>
              <w:pBdr>
                <w:top w:val="none" w:color="auto" w:sz="0" w:space="0"/>
                <w:left w:val="none" w:color="auto" w:sz="0" w:space="0"/>
                <w:right w:val="none" w:color="auto" w:sz="0" w:space="0"/>
              </w:pBdr>
              <w:shd w:val="clear" w:fill="FFFFFF"/>
              <w:kinsoku w:val="0"/>
              <w:wordWrap/>
              <w:overflowPunct/>
              <w:topLinePunct w:val="0"/>
              <w:autoSpaceDE w:val="0"/>
              <w:autoSpaceDN w:val="0"/>
              <w:bidi w:val="0"/>
              <w:adjustRightInd w:val="0"/>
              <w:snapToGrid w:val="0"/>
              <w:spacing w:beforeAutospacing="0" w:afterAutospacing="0" w:line="360" w:lineRule="auto"/>
              <w:ind w:left="213" w:leftChars="0" w:right="187" w:rightChars="89" w:firstLine="7" w:firstLineChars="0"/>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单一产品采购包。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既有本国产品又有非本国产品参与竞争的，依法对本国产品给予价格评审优惠，对本国产品的报价给予20%的价格扣除，用扣除后的价格参与评审。（</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01DF57E">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eastAsia="zh-CN"/>
              </w:rPr>
              <w:t>多产品采购包。</w:t>
            </w:r>
            <w:r>
              <w:rPr>
                <w:rFonts w:hint="eastAsia" w:ascii="宋体" w:hAnsi="宋体" w:eastAsia="宋体" w:cs="宋体"/>
                <w:i w:val="0"/>
                <w:iCs w:val="0"/>
                <w:caps w:val="0"/>
                <w:color w:val="auto"/>
                <w:spacing w:val="0"/>
                <w:sz w:val="24"/>
                <w:szCs w:val="24"/>
                <w:highlight w:val="none"/>
                <w:shd w:val="clear" w:fill="FFFFFF"/>
                <w:vertAlign w:val="baseline"/>
                <w:lang w:eastAsia="zh-CN"/>
              </w:rPr>
              <w:t>投标人为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w:t>
            </w:r>
            <w:r>
              <w:rPr>
                <w:rFonts w:hint="eastAsia" w:ascii="宋体" w:hAnsi="宋体" w:eastAsia="宋体" w:cs="宋体"/>
                <w:i w:val="0"/>
                <w:iCs w:val="0"/>
                <w:caps w:val="0"/>
                <w:color w:val="auto"/>
                <w:spacing w:val="0"/>
                <w:sz w:val="24"/>
                <w:szCs w:val="24"/>
                <w:highlight w:val="none"/>
                <w:shd w:val="clear" w:fill="FFFFFF"/>
                <w:vertAlign w:val="baseline"/>
                <w:lang w:eastAsia="zh-CN"/>
              </w:rPr>
              <w:t>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未达到80%的，不享受价格评审优惠。（</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证明材料提供《关于符合本国产品标准的声明函》或财政部会同有关部门规定的有关证明文件（如有）、《关于符合本国产品标准的成本占比承诺函》，格式详见第四章</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E308BEA">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18B4B77F">
            <w:pPr>
              <w:keepNext w:val="0"/>
              <w:keepLines w:val="0"/>
              <w:pageBreakBefore w:val="0"/>
              <w:widowControl w:val="0"/>
              <w:kinsoku w:val="0"/>
              <w:wordWrap/>
              <w:overflowPunct/>
              <w:topLinePunct w:val="0"/>
              <w:autoSpaceDE w:val="0"/>
              <w:autoSpaceDN w:val="0"/>
              <w:bidi w:val="0"/>
              <w:adjustRightInd w:val="0"/>
              <w:snapToGrid w:val="0"/>
              <w:spacing w:line="360" w:lineRule="auto"/>
              <w:ind w:left="216" w:leftChars="103" w:right="187" w:rightChars="89" w:firstLine="0" w:firstLineChars="0"/>
              <w:jc w:val="both"/>
              <w:textAlignment w:val="baseline"/>
              <w:rPr>
                <w:rFonts w:hint="eastAsia" w:ascii="宋体" w:hAnsi="宋体" w:eastAsia="宋体" w:cs="宋体"/>
                <w:b/>
                <w:bCs/>
                <w:color w:val="auto"/>
                <w:spacing w:val="0"/>
                <w:position w:val="0"/>
                <w:sz w:val="24"/>
                <w:szCs w:val="24"/>
                <w:highlight w:val="none"/>
                <w:lang w:eastAsia="zh-CN"/>
              </w:rPr>
            </w:pPr>
            <w:r>
              <w:rPr>
                <w:rFonts w:hint="eastAsia" w:ascii="宋体" w:hAnsi="宋体" w:eastAsia="宋体" w:cs="宋体"/>
                <w:b/>
                <w:bCs/>
                <w:i w:val="0"/>
                <w:iCs w:val="0"/>
                <w:caps w:val="0"/>
                <w:color w:val="auto"/>
                <w:spacing w:val="0"/>
                <w:sz w:val="24"/>
                <w:szCs w:val="24"/>
                <w:highlight w:val="none"/>
                <w:shd w:val="clear" w:fill="FFFFFF"/>
                <w:vertAlign w:val="baseline"/>
                <w:lang w:val="en-US" w:eastAsia="zh-CN"/>
              </w:rPr>
              <w:t>证明材料</w:t>
            </w:r>
            <w:r>
              <w:rPr>
                <w:rFonts w:hint="eastAsia" w:ascii="宋体" w:hAnsi="宋体" w:eastAsia="宋体" w:cs="宋体"/>
                <w:b/>
                <w:bCs/>
                <w:i w:val="0"/>
                <w:iCs w:val="0"/>
                <w:caps w:val="0"/>
                <w:color w:val="auto"/>
                <w:spacing w:val="0"/>
                <w:sz w:val="24"/>
                <w:szCs w:val="24"/>
                <w:highlight w:val="none"/>
                <w:shd w:val="clear" w:fill="FFFFFF"/>
                <w:vertAlign w:val="baseline"/>
                <w:lang w:eastAsia="zh-CN"/>
              </w:rPr>
              <w:t>未提供、提供不完整、不足以证明或不符合要求的，不享受相应政策。</w:t>
            </w:r>
          </w:p>
          <w:p w14:paraId="0CCA5C22">
            <w:pPr>
              <w:keepNext w:val="0"/>
              <w:keepLines w:val="0"/>
              <w:pageBreakBefore w:val="0"/>
              <w:kinsoku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不适用</w:t>
            </w:r>
          </w:p>
        </w:tc>
      </w:tr>
      <w:tr w14:paraId="2C8D14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01" w:hRule="atLeast"/>
          <w:jc w:val="center"/>
        </w:trPr>
        <w:tc>
          <w:tcPr>
            <w:tcW w:w="960" w:type="dxa"/>
            <w:gridSpan w:val="2"/>
            <w:vAlign w:val="center"/>
          </w:tcPr>
          <w:p w14:paraId="60233B4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13</w:t>
            </w:r>
          </w:p>
        </w:tc>
        <w:tc>
          <w:tcPr>
            <w:tcW w:w="1407" w:type="dxa"/>
            <w:gridSpan w:val="2"/>
            <w:vAlign w:val="center"/>
          </w:tcPr>
          <w:p w14:paraId="0807C449">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中标人推荐资格的认定</w:t>
            </w:r>
          </w:p>
        </w:tc>
        <w:tc>
          <w:tcPr>
            <w:tcW w:w="7138" w:type="dxa"/>
            <w:gridSpan w:val="2"/>
            <w:vAlign w:val="center"/>
          </w:tcPr>
          <w:p w14:paraId="26EED0A9">
            <w:pPr>
              <w:pStyle w:val="27"/>
              <w:keepNext w:val="0"/>
              <w:keepLines w:val="0"/>
              <w:pageBreakBefore w:val="0"/>
              <w:widowControl w:val="0"/>
              <w:kinsoku w:val="0"/>
              <w:wordWrap/>
              <w:overflowPunct/>
              <w:topLinePunct w:val="0"/>
              <w:autoSpaceDE w:val="0"/>
              <w:autoSpaceDN w:val="0"/>
              <w:bidi w:val="0"/>
              <w:adjustRightInd w:val="0"/>
              <w:snapToGrid w:val="0"/>
              <w:spacing w:line="460" w:lineRule="exact"/>
              <w:ind w:left="258" w:leftChars="114" w:hanging="19" w:hangingChars="8"/>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sym w:font="Wingdings 2" w:char="0052"/>
            </w:r>
            <w:r>
              <w:rPr>
                <w:rFonts w:hint="eastAsia" w:ascii="宋体" w:hAnsi="宋体" w:eastAsia="宋体" w:cs="宋体"/>
                <w:snapToGrid w:val="0"/>
                <w:color w:val="auto"/>
                <w:spacing w:val="0"/>
                <w:w w:val="100"/>
                <w:position w:val="0"/>
                <w:sz w:val="24"/>
                <w:szCs w:val="24"/>
                <w:highlight w:val="none"/>
                <w:lang w:val="en-US" w:eastAsia="zh-CN" w:bidi="ar-SA"/>
              </w:rPr>
              <w:t>采用最低评标价法的项目，提供核心产品品牌相同的不同投标人参加同一合同项下投标的，报价相同的按第</w:t>
            </w:r>
            <w:r>
              <w:rPr>
                <w:rFonts w:hint="eastAsia" w:ascii="宋体" w:hAnsi="宋体" w:eastAsia="宋体" w:cs="宋体"/>
                <w:snapToGrid w:val="0"/>
                <w:color w:val="auto"/>
                <w:spacing w:val="0"/>
                <w:w w:val="100"/>
                <w:position w:val="0"/>
                <w:sz w:val="24"/>
                <w:szCs w:val="24"/>
                <w:highlight w:val="none"/>
                <w:u w:val="single"/>
                <w:lang w:val="en-US" w:eastAsia="zh-CN" w:bidi="ar-SA"/>
              </w:rPr>
              <w:t>（2）</w:t>
            </w:r>
            <w:r>
              <w:rPr>
                <w:rFonts w:hint="eastAsia" w:ascii="宋体" w:hAnsi="宋体" w:eastAsia="宋体" w:cs="宋体"/>
                <w:snapToGrid w:val="0"/>
                <w:color w:val="auto"/>
                <w:spacing w:val="0"/>
                <w:w w:val="100"/>
                <w:position w:val="0"/>
                <w:sz w:val="24"/>
                <w:szCs w:val="24"/>
                <w:highlight w:val="none"/>
                <w:lang w:val="en-US" w:eastAsia="zh-CN" w:bidi="ar-SA"/>
              </w:rPr>
              <w:t>种办法确定参加评标的投标人：</w:t>
            </w:r>
          </w:p>
          <w:p w14:paraId="1C378A71">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（1）由采购人确定:</w:t>
            </w:r>
            <w:r>
              <w:rPr>
                <w:rFonts w:hint="eastAsia" w:ascii="宋体" w:hAnsi="宋体" w:eastAsia="宋体" w:cs="宋体"/>
                <w:snapToGrid w:val="0"/>
                <w:color w:val="auto"/>
                <w:spacing w:val="0"/>
                <w:w w:val="100"/>
                <w:position w:val="0"/>
                <w:sz w:val="24"/>
                <w:szCs w:val="24"/>
                <w:highlight w:val="none"/>
                <w:u w:val="single"/>
                <w:lang w:val="en-US" w:eastAsia="zh-CN" w:bidi="ar-SA"/>
              </w:rPr>
              <w:t xml:space="preserve">             </w:t>
            </w:r>
            <w:r>
              <w:rPr>
                <w:rFonts w:hint="eastAsia" w:ascii="宋体" w:hAnsi="宋体" w:eastAsia="宋体" w:cs="宋体"/>
                <w:snapToGrid w:val="0"/>
                <w:color w:val="auto"/>
                <w:spacing w:val="0"/>
                <w:w w:val="100"/>
                <w:position w:val="0"/>
                <w:sz w:val="24"/>
                <w:szCs w:val="24"/>
                <w:highlight w:val="none"/>
                <w:lang w:val="en-US" w:eastAsia="zh-CN" w:bidi="ar-SA"/>
              </w:rPr>
              <w:t xml:space="preserve">          </w:t>
            </w:r>
          </w:p>
          <w:p w14:paraId="25204861">
            <w:pPr>
              <w:keepNext w:val="0"/>
              <w:keepLines w:val="0"/>
              <w:pageBreakBefore w:val="0"/>
              <w:widowControl w:val="0"/>
              <w:kinsoku w:val="0"/>
              <w:wordWrap/>
              <w:overflowPunct/>
              <w:topLinePunct w:val="0"/>
              <w:autoSpaceDE w:val="0"/>
              <w:autoSpaceDN w:val="0"/>
              <w:bidi w:val="0"/>
              <w:adjustRightInd w:val="0"/>
              <w:snapToGrid w:val="0"/>
              <w:spacing w:line="460" w:lineRule="exact"/>
              <w:ind w:left="125"/>
              <w:jc w:val="both"/>
              <w:textAlignment w:val="baseline"/>
              <w:rPr>
                <w:rFonts w:hint="eastAsia" w:ascii="宋体" w:hAnsi="宋体" w:eastAsia="宋体" w:cs="宋体"/>
                <w:snapToGrid w:val="0"/>
                <w:color w:val="auto"/>
                <w:spacing w:val="0"/>
                <w:w w:val="100"/>
                <w:position w:val="0"/>
                <w:sz w:val="24"/>
                <w:szCs w:val="24"/>
                <w:highlight w:val="none"/>
                <w:lang w:val="en-US" w:eastAsia="zh-CN" w:bidi="ar-SA"/>
              </w:rPr>
            </w:pPr>
            <w:r>
              <w:rPr>
                <w:rFonts w:hint="eastAsia" w:ascii="宋体" w:hAnsi="宋体" w:eastAsia="宋体" w:cs="宋体"/>
                <w:snapToGrid w:val="0"/>
                <w:color w:val="auto"/>
                <w:spacing w:val="0"/>
                <w:w w:val="100"/>
                <w:position w:val="0"/>
                <w:sz w:val="24"/>
                <w:szCs w:val="24"/>
                <w:highlight w:val="none"/>
                <w:lang w:val="en-US" w:eastAsia="zh-CN" w:bidi="ar-SA"/>
              </w:rPr>
              <w:t>（2）由评标委员会采用随机抽取的方式确定。</w:t>
            </w:r>
          </w:p>
        </w:tc>
      </w:tr>
      <w:tr w14:paraId="09F59F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4" w:hRule="atLeast"/>
          <w:jc w:val="center"/>
        </w:trPr>
        <w:tc>
          <w:tcPr>
            <w:tcW w:w="960" w:type="dxa"/>
            <w:gridSpan w:val="2"/>
            <w:vAlign w:val="center"/>
          </w:tcPr>
          <w:p w14:paraId="22FAA89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13.3</w:t>
            </w:r>
          </w:p>
        </w:tc>
        <w:tc>
          <w:tcPr>
            <w:tcW w:w="1407" w:type="dxa"/>
            <w:gridSpan w:val="2"/>
            <w:vAlign w:val="center"/>
          </w:tcPr>
          <w:p w14:paraId="4152FCC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核心产品</w:t>
            </w:r>
          </w:p>
        </w:tc>
        <w:tc>
          <w:tcPr>
            <w:tcW w:w="7138" w:type="dxa"/>
            <w:gridSpan w:val="2"/>
            <w:vAlign w:val="center"/>
          </w:tcPr>
          <w:p w14:paraId="176C0E69">
            <w:pPr>
              <w:keepNext w:val="0"/>
              <w:keepLines w:val="0"/>
              <w:pageBreakBefore w:val="0"/>
              <w:widowControl w:val="0"/>
              <w:kinsoku w:val="0"/>
              <w:wordWrap/>
              <w:overflowPunct/>
              <w:topLinePunct w:val="0"/>
              <w:autoSpaceDE w:val="0"/>
              <w:autoSpaceDN w:val="0"/>
              <w:bidi w:val="0"/>
              <w:adjustRightInd w:val="0"/>
              <w:snapToGrid w:val="0"/>
              <w:spacing w:line="360" w:lineRule="auto"/>
              <w:ind w:left="118"/>
              <w:jc w:val="both"/>
              <w:textAlignment w:val="baseline"/>
              <w:rPr>
                <w:rFonts w:hint="default"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非单一产品采购项目，核心产品为：</w:t>
            </w:r>
            <w:r>
              <w:rPr>
                <w:rFonts w:hint="eastAsia" w:ascii="宋体" w:hAnsi="宋体" w:eastAsia="宋体" w:cs="宋体"/>
                <w:b/>
                <w:bCs/>
                <w:color w:val="0000FF"/>
                <w:spacing w:val="0"/>
                <w:w w:val="100"/>
                <w:position w:val="0"/>
                <w:sz w:val="24"/>
                <w:szCs w:val="24"/>
                <w:highlight w:val="none"/>
                <w:lang w:eastAsia="zh-CN"/>
              </w:rPr>
              <w:t>便携式计算机</w:t>
            </w:r>
          </w:p>
        </w:tc>
      </w:tr>
      <w:tr w14:paraId="6E47A70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399" w:hRule="atLeast"/>
          <w:jc w:val="center"/>
        </w:trPr>
        <w:tc>
          <w:tcPr>
            <w:tcW w:w="944" w:type="dxa"/>
            <w:vAlign w:val="center"/>
          </w:tcPr>
          <w:p w14:paraId="24EDBB6D">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16</w:t>
            </w:r>
          </w:p>
        </w:tc>
        <w:tc>
          <w:tcPr>
            <w:tcW w:w="1409" w:type="dxa"/>
            <w:gridSpan w:val="2"/>
            <w:vAlign w:val="center"/>
          </w:tcPr>
          <w:p w14:paraId="3C9ED4D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投标保证金</w:t>
            </w:r>
          </w:p>
        </w:tc>
        <w:tc>
          <w:tcPr>
            <w:tcW w:w="7121" w:type="dxa"/>
            <w:gridSpan w:val="2"/>
            <w:vAlign w:val="bottom"/>
          </w:tcPr>
          <w:p w14:paraId="5B551F75">
            <w:pPr>
              <w:keepNext w:val="0"/>
              <w:keepLines w:val="0"/>
              <w:pageBreakBefore w:val="0"/>
              <w:widowControl w:val="0"/>
              <w:kinsoku w:val="0"/>
              <w:wordWrap/>
              <w:overflowPunct/>
              <w:topLinePunct w:val="0"/>
              <w:autoSpaceDE w:val="0"/>
              <w:autoSpaceDN w:val="0"/>
              <w:bidi w:val="0"/>
              <w:adjustRightInd w:val="0"/>
              <w:snapToGrid w:val="0"/>
              <w:spacing w:line="360" w:lineRule="auto"/>
              <w:ind w:left="239" w:leftChars="114" w:firstLine="0" w:firstLineChars="0"/>
              <w:jc w:val="both"/>
              <w:textAlignment w:val="baseline"/>
              <w:rPr>
                <w:rFonts w:hint="eastAsia" w:ascii="宋体" w:hAnsi="宋体" w:eastAsia="宋体" w:cs="宋体"/>
                <w:color w:val="auto"/>
                <w:sz w:val="24"/>
                <w:szCs w:val="24"/>
                <w:highlight w:val="none"/>
                <w:u w:val="none"/>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不</w:t>
            </w:r>
            <w:r>
              <w:rPr>
                <w:rFonts w:hint="eastAsia" w:ascii="宋体" w:hAnsi="宋体" w:eastAsia="宋体" w:cs="宋体"/>
                <w:color w:val="auto"/>
                <w:sz w:val="24"/>
                <w:szCs w:val="24"/>
                <w:highlight w:val="none"/>
                <w:u w:val="none"/>
              </w:rPr>
              <w:t>适用</w:t>
            </w:r>
          </w:p>
          <w:p w14:paraId="66B9DCD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sz w:val="24"/>
                <w:szCs w:val="24"/>
                <w:highlight w:val="none"/>
              </w:rPr>
            </w:pPr>
            <w:r>
              <w:rPr>
                <w:rFonts w:hint="eastAsia" w:ascii="宋体" w:hAnsi="宋体" w:eastAsia="宋体" w:cs="宋体"/>
                <w:b/>
                <w:bCs/>
                <w:sz w:val="24"/>
                <w:szCs w:val="24"/>
                <w:highlight w:val="none"/>
                <w:lang w:val="en-US" w:eastAsia="zh-CN"/>
              </w:rPr>
              <w:t>1、</w:t>
            </w:r>
            <w:r>
              <w:rPr>
                <w:rFonts w:hint="eastAsia" w:ascii="宋体" w:hAnsi="宋体" w:eastAsia="宋体" w:cs="宋体"/>
                <w:b/>
                <w:bCs/>
                <w:sz w:val="24"/>
                <w:szCs w:val="24"/>
                <w:highlight w:val="none"/>
              </w:rPr>
              <w:t>投标保证金：</w:t>
            </w:r>
            <w:r>
              <w:rPr>
                <w:rFonts w:hint="eastAsia" w:ascii="宋体" w:hAnsi="宋体" w:eastAsia="宋体" w:cs="宋体"/>
                <w:b/>
                <w:sz w:val="24"/>
                <w:szCs w:val="24"/>
                <w:highlight w:val="none"/>
              </w:rPr>
              <w:t>参照《抚财购〔2022〕12号》的规定，本项目不收取投标保证金</w:t>
            </w:r>
          </w:p>
          <w:p w14:paraId="3F419AF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1" w:firstLineChars="100"/>
              <w:jc w:val="both"/>
              <w:textAlignment w:val="baseline"/>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lang w:val="en-US" w:eastAsia="zh-CN"/>
              </w:rPr>
              <w:t>2</w:t>
            </w: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rPr>
              <w:t>指定接收</w:t>
            </w:r>
            <w:r>
              <w:rPr>
                <w:rFonts w:hint="eastAsia" w:ascii="宋体" w:hAnsi="宋体" w:eastAsia="宋体" w:cs="宋体"/>
                <w:b/>
                <w:bCs/>
                <w:color w:val="auto"/>
                <w:spacing w:val="0"/>
                <w:w w:val="100"/>
                <w:position w:val="0"/>
                <w:sz w:val="24"/>
                <w:szCs w:val="24"/>
                <w:highlight w:val="none"/>
                <w:lang w:val="en-US" w:eastAsia="zh-CN"/>
              </w:rPr>
              <w:t>服务费</w:t>
            </w:r>
            <w:r>
              <w:rPr>
                <w:rFonts w:hint="eastAsia" w:ascii="宋体" w:hAnsi="宋体" w:eastAsia="宋体" w:cs="宋体"/>
                <w:b/>
                <w:bCs/>
                <w:color w:val="auto"/>
                <w:spacing w:val="0"/>
                <w:w w:val="100"/>
                <w:position w:val="0"/>
                <w:sz w:val="24"/>
                <w:szCs w:val="24"/>
                <w:highlight w:val="none"/>
              </w:rPr>
              <w:t>账户：</w:t>
            </w:r>
          </w:p>
          <w:p w14:paraId="68C7E1B6">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开户银行：江西银行南昌红谷滩支行</w:t>
            </w:r>
          </w:p>
          <w:p w14:paraId="0588CE94">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开户名称：江西省机电设备招标有限公司</w:t>
            </w:r>
          </w:p>
          <w:p w14:paraId="0CFAC77B">
            <w:pPr>
              <w:pStyle w:val="10"/>
              <w:keepNext w:val="0"/>
              <w:keepLines w:val="0"/>
              <w:pageBreakBefore w:val="0"/>
              <w:wordWrap/>
              <w:overflowPunct/>
              <w:topLinePunct w:val="0"/>
              <w:bidi w:val="0"/>
              <w:spacing w:line="360" w:lineRule="auto"/>
              <w:ind w:firstLine="241" w:firstLineChars="100"/>
              <w:rPr>
                <w:rFonts w:hint="eastAsia" w:ascii="宋体" w:hAnsi="宋体" w:eastAsia="宋体" w:cs="宋体"/>
                <w:sz w:val="24"/>
                <w:szCs w:val="24"/>
                <w:highlight w:val="none"/>
                <w:lang w:val="en-US" w:eastAsia="zh-CN"/>
              </w:rPr>
            </w:pPr>
            <w:r>
              <w:rPr>
                <w:rFonts w:hint="eastAsia" w:ascii="宋体" w:hAnsi="宋体" w:eastAsia="宋体" w:cs="宋体"/>
                <w:b/>
                <w:bCs/>
                <w:color w:val="auto"/>
                <w:spacing w:val="0"/>
                <w:w w:val="100"/>
                <w:position w:val="0"/>
                <w:sz w:val="24"/>
                <w:szCs w:val="24"/>
                <w:highlight w:val="none"/>
              </w:rPr>
              <w:t>开户账户：</w:t>
            </w:r>
            <w:r>
              <w:rPr>
                <w:rFonts w:hint="eastAsia" w:ascii="宋体" w:hAnsi="宋体" w:eastAsia="宋体" w:cs="宋体"/>
                <w:b/>
                <w:bCs/>
                <w:color w:val="auto"/>
                <w:spacing w:val="0"/>
                <w:position w:val="0"/>
                <w:sz w:val="24"/>
                <w:szCs w:val="24"/>
                <w:highlight w:val="none"/>
              </w:rPr>
              <w:t>79190720190600314382</w:t>
            </w:r>
          </w:p>
        </w:tc>
      </w:tr>
      <w:tr w14:paraId="4475DD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719" w:hRule="atLeast"/>
          <w:jc w:val="center"/>
        </w:trPr>
        <w:tc>
          <w:tcPr>
            <w:tcW w:w="944" w:type="dxa"/>
            <w:vAlign w:val="center"/>
          </w:tcPr>
          <w:p w14:paraId="4B9E37CB">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17</w:t>
            </w:r>
          </w:p>
        </w:tc>
        <w:tc>
          <w:tcPr>
            <w:tcW w:w="1409" w:type="dxa"/>
            <w:gridSpan w:val="2"/>
            <w:vAlign w:val="center"/>
          </w:tcPr>
          <w:p w14:paraId="33840046">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投标有效期</w:t>
            </w:r>
          </w:p>
        </w:tc>
        <w:tc>
          <w:tcPr>
            <w:tcW w:w="7121" w:type="dxa"/>
            <w:gridSpan w:val="2"/>
            <w:vAlign w:val="center"/>
          </w:tcPr>
          <w:p w14:paraId="037D25A3">
            <w:pPr>
              <w:keepNext w:val="0"/>
              <w:keepLines w:val="0"/>
              <w:pageBreakBefore w:val="0"/>
              <w:widowControl w:val="0"/>
              <w:wordWrap/>
              <w:overflowPunct/>
              <w:topLinePunct w:val="0"/>
              <w:bidi w:val="0"/>
              <w:spacing w:line="360" w:lineRule="auto"/>
              <w:ind w:left="117"/>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从提交投标文件的截止之日起 </w:t>
            </w:r>
            <w:r>
              <w:rPr>
                <w:rFonts w:hint="eastAsia" w:ascii="宋体" w:hAnsi="宋体" w:eastAsia="宋体" w:cs="宋体"/>
                <w:color w:val="auto"/>
                <w:spacing w:val="0"/>
                <w:w w:val="100"/>
                <w:position w:val="0"/>
                <w:sz w:val="24"/>
                <w:szCs w:val="24"/>
                <w:highlight w:val="none"/>
                <w:u w:val="single"/>
                <w:lang w:eastAsia="zh-CN"/>
              </w:rPr>
              <w:t xml:space="preserve">90 </w:t>
            </w:r>
            <w:r>
              <w:rPr>
                <w:rFonts w:hint="eastAsia" w:ascii="宋体" w:hAnsi="宋体" w:eastAsia="宋体" w:cs="宋体"/>
                <w:color w:val="auto"/>
                <w:spacing w:val="0"/>
                <w:w w:val="100"/>
                <w:position w:val="0"/>
                <w:sz w:val="24"/>
                <w:szCs w:val="24"/>
                <w:highlight w:val="none"/>
                <w:lang w:eastAsia="zh-CN"/>
              </w:rPr>
              <w:t>天</w:t>
            </w:r>
          </w:p>
        </w:tc>
      </w:tr>
      <w:tr w14:paraId="384A51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403" w:hRule="atLeast"/>
          <w:jc w:val="center"/>
        </w:trPr>
        <w:tc>
          <w:tcPr>
            <w:tcW w:w="944" w:type="dxa"/>
            <w:vAlign w:val="center"/>
          </w:tcPr>
          <w:p w14:paraId="42C8A4EA">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18</w:t>
            </w:r>
          </w:p>
        </w:tc>
        <w:tc>
          <w:tcPr>
            <w:tcW w:w="1409" w:type="dxa"/>
            <w:gridSpan w:val="2"/>
            <w:vAlign w:val="center"/>
          </w:tcPr>
          <w:p w14:paraId="10B6765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投标截止</w:t>
            </w:r>
          </w:p>
          <w:p w14:paraId="55470EF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时间</w:t>
            </w:r>
          </w:p>
        </w:tc>
        <w:tc>
          <w:tcPr>
            <w:tcW w:w="7121" w:type="dxa"/>
            <w:gridSpan w:val="2"/>
            <w:vAlign w:val="center"/>
          </w:tcPr>
          <w:p w14:paraId="51D67B95">
            <w:pPr>
              <w:keepNext w:val="0"/>
              <w:keepLines w:val="0"/>
              <w:pageBreakBefore w:val="0"/>
              <w:widowControl w:val="0"/>
              <w:kinsoku w:val="0"/>
              <w:wordWrap/>
              <w:overflowPunct/>
              <w:topLinePunct w:val="0"/>
              <w:autoSpaceDE w:val="0"/>
              <w:autoSpaceDN w:val="0"/>
              <w:bidi w:val="0"/>
              <w:adjustRightInd w:val="0"/>
              <w:snapToGrid w:val="0"/>
              <w:spacing w:line="360" w:lineRule="auto"/>
              <w:ind w:left="117"/>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投标截止时间：详见“第一章 投标邀请 ”</w:t>
            </w:r>
          </w:p>
          <w:p w14:paraId="753995EF">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加盖电子签章的电子版投标文件必须在投标截止时间前上传到江西省公共资源交</w:t>
            </w:r>
            <w:r>
              <w:rPr>
                <w:rFonts w:hint="eastAsia" w:ascii="宋体" w:hAnsi="宋体" w:eastAsia="宋体" w:cs="宋体"/>
                <w:color w:val="auto"/>
                <w:spacing w:val="0"/>
                <w:w w:val="100"/>
                <w:position w:val="0"/>
                <w:sz w:val="24"/>
                <w:szCs w:val="24"/>
                <w:highlight w:val="none"/>
                <w:lang w:val="en-US" w:eastAsia="zh-CN"/>
              </w:rPr>
              <w:t>易平台</w:t>
            </w:r>
            <w:r>
              <w:rPr>
                <w:rFonts w:hint="eastAsia" w:ascii="宋体" w:hAnsi="宋体" w:eastAsia="宋体" w:cs="宋体"/>
                <w:color w:val="auto"/>
                <w:spacing w:val="0"/>
                <w:w w:val="100"/>
                <w:position w:val="0"/>
                <w:sz w:val="24"/>
                <w:szCs w:val="24"/>
                <w:highlight w:val="none"/>
                <w:lang w:eastAsia="zh-CN"/>
              </w:rPr>
              <w:t>；投标人未</w:t>
            </w:r>
            <w:r>
              <w:rPr>
                <w:rFonts w:hint="eastAsia" w:ascii="宋体" w:hAnsi="宋体" w:eastAsia="宋体" w:cs="宋体"/>
                <w:color w:val="auto"/>
                <w:spacing w:val="0"/>
                <w:w w:val="100"/>
                <w:position w:val="0"/>
                <w:sz w:val="24"/>
                <w:szCs w:val="24"/>
                <w:highlight w:val="none"/>
                <w:lang w:val="en-US" w:eastAsia="zh-CN"/>
              </w:rPr>
              <w:t>在</w:t>
            </w:r>
            <w:r>
              <w:rPr>
                <w:rFonts w:hint="eastAsia" w:ascii="宋体" w:hAnsi="宋体" w:eastAsia="宋体" w:cs="宋体"/>
                <w:color w:val="auto"/>
                <w:spacing w:val="0"/>
                <w:w w:val="100"/>
                <w:position w:val="0"/>
                <w:sz w:val="24"/>
                <w:szCs w:val="24"/>
                <w:highlight w:val="none"/>
                <w:lang w:eastAsia="zh-CN"/>
              </w:rPr>
              <w:t>投标截止时间前进行网上签到的或未在规定时间内</w:t>
            </w:r>
            <w:r>
              <w:rPr>
                <w:rFonts w:hint="eastAsia" w:ascii="宋体" w:hAnsi="宋体" w:eastAsia="宋体" w:cs="宋体"/>
                <w:color w:val="auto"/>
                <w:spacing w:val="0"/>
                <w:w w:val="100"/>
                <w:position w:val="0"/>
                <w:sz w:val="24"/>
                <w:szCs w:val="24"/>
                <w:highlight w:val="none"/>
                <w:lang w:val="en-US" w:eastAsia="zh-CN"/>
              </w:rPr>
              <w:t>使用</w:t>
            </w:r>
            <w:r>
              <w:rPr>
                <w:rFonts w:hint="eastAsia" w:ascii="宋体" w:hAnsi="宋体" w:eastAsia="宋体" w:cs="宋体"/>
                <w:color w:val="auto"/>
                <w:spacing w:val="0"/>
                <w:w w:val="100"/>
                <w:position w:val="0"/>
                <w:sz w:val="24"/>
                <w:szCs w:val="24"/>
                <w:highlight w:val="none"/>
                <w:lang w:eastAsia="zh-CN"/>
              </w:rPr>
              <w:t xml:space="preserve"> CA 数字证书完成解密投标文件的</w:t>
            </w:r>
            <w:r>
              <w:rPr>
                <w:rFonts w:hint="eastAsia" w:ascii="宋体" w:hAnsi="宋体" w:eastAsia="宋体" w:cs="宋体"/>
                <w:b/>
                <w:bCs/>
                <w:color w:val="auto"/>
                <w:spacing w:val="0"/>
                <w:w w:val="100"/>
                <w:position w:val="0"/>
                <w:sz w:val="24"/>
                <w:szCs w:val="24"/>
                <w:highlight w:val="none"/>
                <w:lang w:eastAsia="zh-CN"/>
              </w:rPr>
              <w:t>，投标无效。</w:t>
            </w:r>
          </w:p>
        </w:tc>
      </w:tr>
      <w:tr w14:paraId="3D3321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756" w:hRule="atLeast"/>
          <w:jc w:val="center"/>
        </w:trPr>
        <w:tc>
          <w:tcPr>
            <w:tcW w:w="944" w:type="dxa"/>
            <w:vAlign w:val="center"/>
          </w:tcPr>
          <w:p w14:paraId="12A0F9C1">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18.4</w:t>
            </w:r>
          </w:p>
        </w:tc>
        <w:tc>
          <w:tcPr>
            <w:tcW w:w="1409" w:type="dxa"/>
            <w:gridSpan w:val="2"/>
            <w:vAlign w:val="center"/>
          </w:tcPr>
          <w:p w14:paraId="6F67284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原件及样品</w:t>
            </w:r>
          </w:p>
        </w:tc>
        <w:tc>
          <w:tcPr>
            <w:tcW w:w="7121" w:type="dxa"/>
            <w:gridSpan w:val="2"/>
            <w:vAlign w:val="bottom"/>
          </w:tcPr>
          <w:p w14:paraId="0452F926">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本项目是否要求提供原件：</w:t>
            </w: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是    </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否</w:t>
            </w:r>
          </w:p>
          <w:p w14:paraId="5A7B6B15">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val="en-US" w:eastAsia="zh-CN"/>
              </w:rPr>
              <w:t>原件提供要求：</w:t>
            </w:r>
            <w:r>
              <w:rPr>
                <w:rFonts w:hint="eastAsia" w:ascii="宋体" w:hAnsi="宋体" w:eastAsia="宋体" w:cs="宋体"/>
                <w:color w:val="auto"/>
                <w:spacing w:val="0"/>
                <w:w w:val="100"/>
                <w:position w:val="0"/>
                <w:sz w:val="24"/>
                <w:szCs w:val="24"/>
                <w:highlight w:val="none"/>
                <w:u w:val="single"/>
                <w:lang w:val="en-US" w:eastAsia="zh-CN"/>
              </w:rPr>
              <w:t xml:space="preserve">                     </w:t>
            </w:r>
          </w:p>
          <w:p w14:paraId="0EFB0A0E">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本项目是否要求提供样品：</w:t>
            </w: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是    </w:t>
            </w:r>
            <w:r>
              <w:rPr>
                <w:rFonts w:hint="eastAsia" w:ascii="宋体" w:hAnsi="宋体" w:eastAsia="宋体" w:cs="宋体"/>
                <w:color w:val="auto"/>
                <w:spacing w:val="0"/>
                <w:w w:val="100"/>
                <w:position w:val="0"/>
                <w:sz w:val="24"/>
                <w:szCs w:val="24"/>
                <w:highlight w:val="none"/>
                <w:lang w:val="en-US"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否</w:t>
            </w:r>
          </w:p>
          <w:p w14:paraId="426D2AF2">
            <w:pPr>
              <w:keepNext w:val="0"/>
              <w:keepLines w:val="0"/>
              <w:pageBreakBefore w:val="0"/>
              <w:widowControl w:val="0"/>
              <w:kinsoku w:val="0"/>
              <w:wordWrap/>
              <w:overflowPunct/>
              <w:topLinePunct w:val="0"/>
              <w:autoSpaceDE w:val="0"/>
              <w:autoSpaceDN w:val="0"/>
              <w:bidi w:val="0"/>
              <w:adjustRightInd w:val="0"/>
              <w:snapToGrid w:val="0"/>
              <w:spacing w:line="360" w:lineRule="auto"/>
              <w:ind w:left="118" w:right="106" w:hanging="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样品提供要求：</w:t>
            </w:r>
            <w:r>
              <w:rPr>
                <w:rFonts w:hint="eastAsia" w:ascii="宋体" w:hAnsi="宋体" w:eastAsia="宋体" w:cs="宋体"/>
                <w:color w:val="auto"/>
                <w:spacing w:val="0"/>
                <w:w w:val="100"/>
                <w:position w:val="0"/>
                <w:sz w:val="24"/>
                <w:szCs w:val="24"/>
                <w:highlight w:val="none"/>
                <w:u w:val="single"/>
                <w:lang w:val="en-US" w:eastAsia="zh-CN"/>
              </w:rPr>
              <w:t xml:space="preserve">                     </w:t>
            </w:r>
          </w:p>
        </w:tc>
      </w:tr>
      <w:tr w14:paraId="67C0AC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869" w:hRule="atLeast"/>
          <w:jc w:val="center"/>
        </w:trPr>
        <w:tc>
          <w:tcPr>
            <w:tcW w:w="944" w:type="dxa"/>
            <w:vAlign w:val="center"/>
          </w:tcPr>
          <w:p w14:paraId="0873240F">
            <w:pPr>
              <w:keepNext w:val="0"/>
              <w:keepLines w:val="0"/>
              <w:pageBreakBefore w:val="0"/>
              <w:widowControl w:val="0"/>
              <w:wordWrap/>
              <w:overflowPunct/>
              <w:topLinePunct w:val="0"/>
              <w:bidi w:val="0"/>
              <w:spacing w:line="360" w:lineRule="auto"/>
              <w:ind w:left="375"/>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19</w:t>
            </w:r>
          </w:p>
        </w:tc>
        <w:tc>
          <w:tcPr>
            <w:tcW w:w="1409" w:type="dxa"/>
            <w:gridSpan w:val="2"/>
            <w:vAlign w:val="center"/>
          </w:tcPr>
          <w:p w14:paraId="03DA6BEA">
            <w:pPr>
              <w:keepNext w:val="0"/>
              <w:keepLines w:val="0"/>
              <w:pageBreakBefore w:val="0"/>
              <w:widowControl w:val="0"/>
              <w:wordWrap/>
              <w:overflowPunct/>
              <w:topLinePunct w:val="0"/>
              <w:bidi w:val="0"/>
              <w:spacing w:line="360" w:lineRule="auto"/>
              <w:ind w:left="375"/>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分包</w:t>
            </w:r>
          </w:p>
        </w:tc>
        <w:tc>
          <w:tcPr>
            <w:tcW w:w="7121" w:type="dxa"/>
            <w:gridSpan w:val="2"/>
            <w:vAlign w:val="center"/>
          </w:tcPr>
          <w:p w14:paraId="33371740">
            <w:pPr>
              <w:keepNext w:val="0"/>
              <w:keepLines w:val="0"/>
              <w:pageBreakBefore w:val="0"/>
              <w:widowControl w:val="0"/>
              <w:kinsoku w:val="0"/>
              <w:wordWrap/>
              <w:overflowPunct/>
              <w:topLinePunct w:val="0"/>
              <w:autoSpaceDE w:val="0"/>
              <w:autoSpaceDN w:val="0"/>
              <w:bidi w:val="0"/>
              <w:adjustRightInd w:val="0"/>
              <w:snapToGrid w:val="0"/>
              <w:spacing w:line="360" w:lineRule="auto"/>
              <w:ind w:left="115"/>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本项目是否允许分包：</w:t>
            </w:r>
            <w:r>
              <w:rPr>
                <w:rFonts w:hint="eastAsia" w:ascii="宋体" w:hAnsi="宋体" w:eastAsia="宋体" w:cs="宋体"/>
                <w:color w:val="auto"/>
                <w:spacing w:val="0"/>
                <w:w w:val="100"/>
                <w:position w:val="0"/>
                <w:sz w:val="24"/>
                <w:szCs w:val="24"/>
                <w:highlight w:val="none"/>
                <w:lang w:eastAsia="zh-CN"/>
              </w:rPr>
              <w:t xml:space="preserve"> </w:t>
            </w:r>
          </w:p>
          <w:p w14:paraId="45C94B20">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不允许</w:t>
            </w:r>
          </w:p>
          <w:p w14:paraId="2D378B8A">
            <w:pPr>
              <w:keepNext w:val="0"/>
              <w:keepLines w:val="0"/>
              <w:pageBreakBefore w:val="0"/>
              <w:widowControl w:val="0"/>
              <w:kinsoku w:val="0"/>
              <w:wordWrap/>
              <w:overflowPunct/>
              <w:topLinePunct w:val="0"/>
              <w:autoSpaceDE w:val="0"/>
              <w:autoSpaceDN w:val="0"/>
              <w:bidi w:val="0"/>
              <w:adjustRightInd w:val="0"/>
              <w:snapToGrid w:val="0"/>
              <w:spacing w:line="360" w:lineRule="auto"/>
              <w:ind w:left="237" w:leftChars="113" w:firstLine="362" w:firstLineChars="151"/>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sym w:font="Wingdings 2" w:char="00A3"/>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允许</w:t>
            </w:r>
            <w:r>
              <w:rPr>
                <w:rFonts w:hint="eastAsia" w:ascii="宋体" w:hAnsi="宋体" w:eastAsia="宋体" w:cs="宋体"/>
                <w:color w:val="auto"/>
                <w:spacing w:val="0"/>
                <w:w w:val="100"/>
                <w:position w:val="0"/>
                <w:sz w:val="24"/>
                <w:szCs w:val="24"/>
                <w:highlight w:val="none"/>
                <w:lang w:val="en-US" w:eastAsia="zh-CN"/>
              </w:rPr>
              <w:t xml:space="preserve"> 具体要求：</w:t>
            </w:r>
          </w:p>
          <w:p w14:paraId="3AA4E111">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（1）可以分包履行的具体内容：</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highlight w:val="none"/>
                <w:lang w:val="en-US" w:eastAsia="zh-CN" w:bidi="ar-SA"/>
              </w:rPr>
              <w:t>；</w:t>
            </w:r>
          </w:p>
          <w:p w14:paraId="67392650">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rPr>
            </w:pPr>
            <w:r>
              <w:rPr>
                <w:rFonts w:hint="eastAsia" w:ascii="宋体" w:hAnsi="宋体" w:eastAsia="宋体" w:cs="宋体"/>
                <w:snapToGrid w:val="0"/>
                <w:color w:val="auto"/>
                <w:spacing w:val="0"/>
                <w:w w:val="100"/>
                <w:kern w:val="0"/>
                <w:position w:val="0"/>
                <w:sz w:val="24"/>
                <w:szCs w:val="24"/>
                <w:highlight w:val="none"/>
                <w:lang w:val="en-US" w:eastAsia="zh-CN" w:bidi="ar-SA"/>
              </w:rPr>
              <w:t>（2）允许分包的金额或者比例：</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highlight w:val="none"/>
                <w:lang w:val="en-US" w:eastAsia="zh-CN" w:bidi="ar-SA"/>
              </w:rPr>
              <w:t>；</w:t>
            </w:r>
          </w:p>
          <w:p w14:paraId="29B9768D">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snapToGrid w:val="0"/>
                <w:color w:val="auto"/>
                <w:spacing w:val="0"/>
                <w:w w:val="100"/>
                <w:kern w:val="0"/>
                <w:position w:val="0"/>
                <w:sz w:val="24"/>
                <w:szCs w:val="24"/>
                <w:highlight w:val="none"/>
                <w:lang w:val="en-US" w:eastAsia="zh-CN" w:bidi="ar-SA"/>
              </w:rPr>
              <w:t>（3）其他要求：</w:t>
            </w:r>
            <w:r>
              <w:rPr>
                <w:rFonts w:hint="eastAsia" w:ascii="宋体" w:hAnsi="宋体" w:eastAsia="宋体" w:cs="宋体"/>
                <w:snapToGrid w:val="0"/>
                <w:color w:val="auto"/>
                <w:spacing w:val="0"/>
                <w:w w:val="100"/>
                <w:kern w:val="0"/>
                <w:position w:val="0"/>
                <w:sz w:val="24"/>
                <w:szCs w:val="24"/>
                <w:highlight w:val="none"/>
                <w:u w:val="single"/>
                <w:lang w:val="en-US" w:eastAsia="zh-CN" w:bidi="ar-SA"/>
              </w:rPr>
              <w:t xml:space="preserve">         </w:t>
            </w:r>
            <w:r>
              <w:rPr>
                <w:rFonts w:hint="eastAsia" w:ascii="宋体" w:hAnsi="宋体" w:eastAsia="宋体" w:cs="宋体"/>
                <w:snapToGrid w:val="0"/>
                <w:color w:val="auto"/>
                <w:spacing w:val="0"/>
                <w:w w:val="100"/>
                <w:kern w:val="0"/>
                <w:position w:val="0"/>
                <w:sz w:val="24"/>
                <w:szCs w:val="24"/>
                <w:highlight w:val="none"/>
                <w:lang w:val="en-US" w:eastAsia="zh-CN" w:bidi="ar-SA"/>
              </w:rPr>
              <w:t>。</w:t>
            </w:r>
          </w:p>
        </w:tc>
      </w:tr>
      <w:tr w14:paraId="406D385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0" w:hRule="atLeast"/>
          <w:jc w:val="center"/>
        </w:trPr>
        <w:tc>
          <w:tcPr>
            <w:tcW w:w="944" w:type="dxa"/>
            <w:vAlign w:val="center"/>
          </w:tcPr>
          <w:p w14:paraId="14A8CEED">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21</w:t>
            </w:r>
          </w:p>
        </w:tc>
        <w:tc>
          <w:tcPr>
            <w:tcW w:w="1409" w:type="dxa"/>
            <w:gridSpan w:val="2"/>
            <w:vAlign w:val="center"/>
          </w:tcPr>
          <w:p w14:paraId="36BB3302">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开标时间</w:t>
            </w:r>
          </w:p>
          <w:p w14:paraId="124E056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及地点</w:t>
            </w:r>
          </w:p>
        </w:tc>
        <w:tc>
          <w:tcPr>
            <w:tcW w:w="7121" w:type="dxa"/>
            <w:gridSpan w:val="2"/>
            <w:vAlign w:val="center"/>
          </w:tcPr>
          <w:p w14:paraId="5BED900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开标时间：详见“第一章 投标邀请 ”</w:t>
            </w:r>
          </w:p>
          <w:p w14:paraId="292E2653">
            <w:pPr>
              <w:keepNext w:val="0"/>
              <w:keepLines w:val="0"/>
              <w:pageBreakBefore w:val="0"/>
              <w:widowControl w:val="0"/>
              <w:kinsoku w:val="0"/>
              <w:wordWrap/>
              <w:overflowPunct/>
              <w:topLinePunct w:val="0"/>
              <w:autoSpaceDE w:val="0"/>
              <w:autoSpaceDN w:val="0"/>
              <w:bidi w:val="0"/>
              <w:adjustRightInd w:val="0"/>
              <w:snapToGrid w:val="0"/>
              <w:spacing w:line="360" w:lineRule="auto"/>
              <w:ind w:right="109" w:firstLine="241" w:firstLineChars="100"/>
              <w:jc w:val="both"/>
              <w:textAlignment w:val="baseline"/>
              <w:rPr>
                <w:rFonts w:hint="eastAsia"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开标地点：详见“第一章 投标邀请 ”</w:t>
            </w:r>
          </w:p>
          <w:p w14:paraId="7A690D4F">
            <w:pPr>
              <w:keepNext w:val="0"/>
              <w:keepLines w:val="0"/>
              <w:pageBreakBefore w:val="0"/>
              <w:widowControl w:val="0"/>
              <w:wordWrap/>
              <w:overflowPunct/>
              <w:topLinePunct w:val="0"/>
              <w:bidi w:val="0"/>
              <w:spacing w:line="360" w:lineRule="auto"/>
              <w:ind w:left="239" w:leftChars="114" w:firstLine="0" w:firstLineChars="0"/>
              <w:jc w:val="both"/>
              <w:rPr>
                <w:rFonts w:hint="eastAsia" w:ascii="宋体" w:hAnsi="宋体" w:eastAsia="宋体" w:cs="宋体"/>
                <w:b/>
                <w:bCs/>
                <w:color w:val="auto"/>
                <w:spacing w:val="0"/>
                <w:w w:val="100"/>
                <w:position w:val="0"/>
                <w:sz w:val="24"/>
                <w:szCs w:val="24"/>
                <w:highlight w:val="none"/>
                <w:lang w:val="en-US" w:eastAsia="zh-CN"/>
              </w:rPr>
            </w:pPr>
            <w:r>
              <w:rPr>
                <w:rFonts w:hint="eastAsia" w:ascii="宋体" w:hAnsi="宋体" w:eastAsia="宋体" w:cs="宋体"/>
                <w:b/>
                <w:bCs/>
                <w:color w:val="auto"/>
                <w:spacing w:val="0"/>
                <w:w w:val="100"/>
                <w:position w:val="0"/>
                <w:sz w:val="24"/>
                <w:szCs w:val="24"/>
                <w:highlight w:val="none"/>
                <w:lang w:val="en-US" w:eastAsia="zh-CN"/>
              </w:rPr>
              <w:t>不见面开标特别事项说明</w:t>
            </w:r>
            <w:r>
              <w:rPr>
                <w:rFonts w:hint="eastAsia" w:ascii="宋体" w:hAnsi="宋体" w:eastAsia="宋体" w:cs="宋体"/>
                <w:b/>
                <w:bCs/>
                <w:color w:val="auto"/>
                <w:spacing w:val="0"/>
                <w:w w:val="100"/>
                <w:position w:val="0"/>
                <w:sz w:val="24"/>
                <w:szCs w:val="24"/>
                <w:highlight w:val="none"/>
                <w:lang w:val="en-US" w:eastAsia="zh-CN"/>
              </w:rPr>
              <w:t>（此处为采用不见面开标方式的说明，采用见面开标方式可将此段内容删除</w:t>
            </w: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w:t>
            </w:r>
          </w:p>
          <w:p w14:paraId="168C4ADA">
            <w:pPr>
              <w:keepNext w:val="0"/>
              <w:keepLines w:val="0"/>
              <w:pageBreakBefore w:val="0"/>
              <w:widowControl w:val="0"/>
              <w:wordWrap/>
              <w:overflowPunct/>
              <w:topLinePunct w:val="0"/>
              <w:bidi w:val="0"/>
              <w:spacing w:line="360" w:lineRule="auto"/>
              <w:ind w:left="434" w:leftChars="112" w:hanging="199" w:hangingChars="83"/>
              <w:jc w:val="both"/>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1、</w:t>
            </w:r>
            <w:r>
              <w:rPr>
                <w:rFonts w:hint="eastAsia" w:ascii="宋体" w:hAnsi="宋体" w:eastAsia="宋体" w:cs="宋体"/>
                <w:i w:val="0"/>
                <w:iCs w:val="0"/>
                <w:color w:val="auto"/>
                <w:spacing w:val="0"/>
                <w:w w:val="100"/>
                <w:position w:val="0"/>
                <w:sz w:val="24"/>
                <w:szCs w:val="24"/>
                <w:highlight w:val="none"/>
              </w:rPr>
              <w:t>本项目采用“不见面开标”系统开标，</w:t>
            </w:r>
            <w:r>
              <w:rPr>
                <w:rFonts w:hint="eastAsia" w:ascii="宋体" w:hAnsi="宋体" w:eastAsia="宋体" w:cs="宋体"/>
                <w:color w:val="auto"/>
                <w:spacing w:val="0"/>
                <w:w w:val="100"/>
                <w:position w:val="0"/>
                <w:sz w:val="24"/>
                <w:szCs w:val="24"/>
                <w:highlight w:val="none"/>
                <w:lang w:val="en-US" w:eastAsia="zh-CN"/>
              </w:rPr>
              <w:t>投标人无需到达开标现场，投标人应在</w:t>
            </w:r>
            <w:r>
              <w:rPr>
                <w:rFonts w:hint="eastAsia" w:ascii="宋体" w:hAnsi="宋体" w:eastAsia="宋体" w:cs="宋体"/>
                <w:strike w:val="0"/>
                <w:dstrike w:val="0"/>
                <w:color w:val="auto"/>
                <w:spacing w:val="0"/>
                <w:w w:val="100"/>
                <w:position w:val="0"/>
                <w:sz w:val="24"/>
                <w:szCs w:val="24"/>
                <w:highlight w:val="none"/>
                <w:u w:val="none"/>
                <w:lang w:val="en-US" w:eastAsia="zh-CN"/>
              </w:rPr>
              <w:t>投</w:t>
            </w:r>
            <w:r>
              <w:rPr>
                <w:rFonts w:hint="eastAsia" w:ascii="宋体" w:hAnsi="宋体" w:eastAsia="宋体" w:cs="宋体"/>
                <w:color w:val="auto"/>
                <w:spacing w:val="0"/>
                <w:w w:val="100"/>
                <w:position w:val="0"/>
                <w:sz w:val="24"/>
                <w:szCs w:val="24"/>
                <w:highlight w:val="none"/>
                <w:lang w:val="en-US" w:eastAsia="zh-CN"/>
              </w:rPr>
              <w:t>标截止时间前1小时内进入江西省公共资源交易平台-不见面开标大厅进行线上签到</w:t>
            </w:r>
            <w:r>
              <w:rPr>
                <w:rFonts w:hint="eastAsia" w:ascii="宋体" w:hAnsi="宋体" w:eastAsia="宋体" w:cs="宋体"/>
                <w:strike w:val="0"/>
                <w:dstrike w:val="0"/>
                <w:color w:val="auto"/>
                <w:spacing w:val="0"/>
                <w:w w:val="100"/>
                <w:position w:val="0"/>
                <w:sz w:val="24"/>
                <w:szCs w:val="24"/>
                <w:highlight w:val="none"/>
                <w:lang w:val="en-US" w:eastAsia="zh-CN"/>
              </w:rPr>
              <w:t>，</w:t>
            </w:r>
            <w:r>
              <w:rPr>
                <w:rFonts w:hint="eastAsia" w:ascii="宋体" w:hAnsi="宋体" w:eastAsia="宋体" w:cs="宋体"/>
                <w:b/>
                <w:bCs/>
                <w:i w:val="0"/>
                <w:iCs w:val="0"/>
                <w:color w:val="auto"/>
                <w:spacing w:val="0"/>
                <w:w w:val="100"/>
                <w:position w:val="0"/>
                <w:sz w:val="24"/>
                <w:szCs w:val="24"/>
                <w:highlight w:val="none"/>
              </w:rPr>
              <w:t>未按时签到视为自动放弃投标</w:t>
            </w:r>
            <w:r>
              <w:rPr>
                <w:rFonts w:hint="eastAsia" w:ascii="宋体" w:hAnsi="宋体" w:eastAsia="宋体" w:cs="宋体"/>
                <w:i w:val="0"/>
                <w:iCs w:val="0"/>
                <w:color w:val="auto"/>
                <w:spacing w:val="0"/>
                <w:w w:val="100"/>
                <w:position w:val="0"/>
                <w:sz w:val="24"/>
                <w:szCs w:val="24"/>
                <w:highlight w:val="none"/>
              </w:rPr>
              <w:t>，</w:t>
            </w:r>
            <w:r>
              <w:rPr>
                <w:rFonts w:hint="eastAsia" w:ascii="宋体" w:hAnsi="宋体" w:eastAsia="宋体" w:cs="宋体"/>
                <w:i w:val="0"/>
                <w:iCs w:val="0"/>
                <w:color w:val="auto"/>
                <w:spacing w:val="0"/>
                <w:w w:val="100"/>
                <w:position w:val="0"/>
                <w:sz w:val="24"/>
                <w:szCs w:val="24"/>
                <w:highlight w:val="none"/>
                <w:lang w:val="en-US" w:eastAsia="zh-CN"/>
              </w:rPr>
              <w:t>将退回其投标文件</w:t>
            </w:r>
            <w:r>
              <w:rPr>
                <w:rFonts w:hint="eastAsia" w:ascii="宋体" w:hAnsi="宋体" w:eastAsia="宋体" w:cs="宋体"/>
                <w:i w:val="0"/>
                <w:iCs w:val="0"/>
                <w:color w:val="auto"/>
                <w:spacing w:val="0"/>
                <w:w w:val="100"/>
                <w:position w:val="0"/>
                <w:sz w:val="24"/>
                <w:szCs w:val="24"/>
                <w:highlight w:val="none"/>
              </w:rPr>
              <w:t>。</w:t>
            </w:r>
          </w:p>
          <w:p w14:paraId="105987A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36" w:leftChars="113" w:hanging="199" w:hangingChars="83"/>
              <w:jc w:val="both"/>
              <w:textAlignment w:val="auto"/>
              <w:rPr>
                <w:rFonts w:hint="eastAsia" w:ascii="宋体" w:hAnsi="宋体" w:eastAsia="宋体" w:cs="宋体"/>
                <w:i w:val="0"/>
                <w:iCs w:val="0"/>
                <w:color w:val="auto"/>
                <w:spacing w:val="0"/>
                <w:w w:val="100"/>
                <w:position w:val="0"/>
                <w:sz w:val="24"/>
                <w:szCs w:val="24"/>
                <w:highlight w:val="none"/>
              </w:rPr>
            </w:pPr>
            <w:r>
              <w:rPr>
                <w:rFonts w:hint="eastAsia" w:ascii="宋体" w:hAnsi="宋体" w:eastAsia="宋体" w:cs="宋体"/>
                <w:i w:val="0"/>
                <w:iCs w:val="0"/>
                <w:color w:val="auto"/>
                <w:spacing w:val="0"/>
                <w:w w:val="100"/>
                <w:position w:val="0"/>
                <w:sz w:val="24"/>
                <w:szCs w:val="24"/>
                <w:highlight w:val="none"/>
                <w:lang w:val="en-US" w:eastAsia="zh-CN"/>
              </w:rPr>
              <w:t>2、投标截止时间后，采购代理机构将在系统内公布投标人名单，然后通过网上开标系统发出投标文件解密的指令；</w:t>
            </w:r>
            <w:r>
              <w:rPr>
                <w:rFonts w:hint="eastAsia" w:ascii="宋体" w:hAnsi="宋体" w:eastAsia="宋体" w:cs="宋体"/>
                <w:b/>
                <w:bCs/>
                <w:i w:val="0"/>
                <w:iCs w:val="0"/>
                <w:color w:val="auto"/>
                <w:spacing w:val="0"/>
                <w:w w:val="100"/>
                <w:position w:val="0"/>
                <w:sz w:val="24"/>
                <w:szCs w:val="24"/>
                <w:highlight w:val="none"/>
              </w:rPr>
              <w:t>在宣布开始解</w:t>
            </w:r>
            <w:r>
              <w:rPr>
                <w:rFonts w:hint="eastAsia" w:ascii="宋体" w:hAnsi="宋体" w:eastAsia="宋体" w:cs="宋体"/>
                <w:b/>
                <w:bCs/>
                <w:i w:val="0"/>
                <w:iCs w:val="0"/>
                <w:color w:val="auto"/>
                <w:spacing w:val="0"/>
                <w:w w:val="100"/>
                <w:position w:val="0"/>
                <w:sz w:val="24"/>
                <w:szCs w:val="24"/>
                <w:highlight w:val="none"/>
                <w:lang w:val="en-US" w:eastAsia="zh-CN"/>
              </w:rPr>
              <w:t>密</w:t>
            </w:r>
            <w:r>
              <w:rPr>
                <w:rFonts w:hint="eastAsia" w:ascii="宋体" w:hAnsi="宋体" w:eastAsia="宋体" w:cs="宋体"/>
                <w:b/>
                <w:bCs/>
                <w:i w:val="0"/>
                <w:iCs w:val="0"/>
                <w:color w:val="auto"/>
                <w:spacing w:val="0"/>
                <w:w w:val="100"/>
                <w:position w:val="0"/>
                <w:sz w:val="24"/>
                <w:szCs w:val="24"/>
                <w:highlight w:val="none"/>
              </w:rPr>
              <w:t>后</w:t>
            </w:r>
            <w:r>
              <w:rPr>
                <w:rFonts w:hint="eastAsia" w:ascii="宋体" w:hAnsi="宋体" w:eastAsia="宋体" w:cs="宋体"/>
                <w:b/>
                <w:bCs/>
                <w:i w:val="0"/>
                <w:iCs w:val="0"/>
                <w:color w:val="auto"/>
                <w:spacing w:val="0"/>
                <w:w w:val="100"/>
                <w:position w:val="0"/>
                <w:sz w:val="24"/>
                <w:szCs w:val="24"/>
                <w:highlight w:val="none"/>
                <w:u w:val="single"/>
                <w:lang w:val="en-US" w:eastAsia="zh-CN"/>
              </w:rPr>
              <w:t xml:space="preserve"> 20 </w:t>
            </w:r>
            <w:r>
              <w:rPr>
                <w:rFonts w:hint="eastAsia" w:ascii="宋体" w:hAnsi="宋体" w:eastAsia="宋体" w:cs="宋体"/>
                <w:b/>
                <w:bCs/>
                <w:i w:val="0"/>
                <w:iCs w:val="0"/>
                <w:color w:val="auto"/>
                <w:spacing w:val="0"/>
                <w:w w:val="100"/>
                <w:position w:val="0"/>
                <w:sz w:val="24"/>
                <w:szCs w:val="24"/>
                <w:highlight w:val="none"/>
              </w:rPr>
              <w:t>分钟内必须完成解</w:t>
            </w:r>
            <w:r>
              <w:rPr>
                <w:rFonts w:hint="eastAsia" w:ascii="宋体" w:hAnsi="宋体" w:eastAsia="宋体" w:cs="宋体"/>
                <w:b/>
                <w:bCs/>
                <w:i w:val="0"/>
                <w:iCs w:val="0"/>
                <w:color w:val="auto"/>
                <w:spacing w:val="0"/>
                <w:w w:val="100"/>
                <w:position w:val="0"/>
                <w:sz w:val="24"/>
                <w:szCs w:val="24"/>
                <w:highlight w:val="none"/>
                <w:lang w:val="en-US" w:eastAsia="zh-CN"/>
              </w:rPr>
              <w:t>密，投标人在各自地点按“网上开标系统”提示自行实施远程解密，参加网上在线开标活动</w:t>
            </w:r>
            <w:r>
              <w:rPr>
                <w:rFonts w:hint="eastAsia" w:ascii="宋体" w:hAnsi="宋体" w:eastAsia="宋体" w:cs="宋体"/>
                <w:i w:val="0"/>
                <w:iCs w:val="0"/>
                <w:color w:val="auto"/>
                <w:spacing w:val="0"/>
                <w:w w:val="100"/>
                <w:position w:val="0"/>
                <w:sz w:val="24"/>
                <w:szCs w:val="24"/>
                <w:highlight w:val="none"/>
                <w:lang w:val="en-US" w:eastAsia="zh-CN"/>
              </w:rPr>
              <w:t>。</w:t>
            </w:r>
          </w:p>
          <w:p w14:paraId="56FA59B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开评标全过程中，各投标人参与远程交互的授权委托人或法定代表人应始终保持为同一人，中途不得更换，在解密、澄清、提疑、传送文件等特殊情况下需要交互时，投标人一端参与交互的人员将均被视为是投标人的授权委托人或法定代表人，投标人不得以不承认交互人员的资格或身份等为借口抵赖推脱，投标人自行承担随意更换人员所导致的一切后果。授权委托人或法定代表人应当熟练的操作新点系统且在项目开评标期间保持在线状态，随时通过“不见面开标”系统接收评标委员会的询标等信息，并在对询标内容进行回复（自询标内容发出起</w:t>
            </w:r>
            <w:r>
              <w:rPr>
                <w:rFonts w:hint="eastAsia" w:ascii="宋体" w:hAnsi="宋体" w:eastAsia="宋体" w:cs="宋体"/>
                <w:color w:val="auto"/>
                <w:spacing w:val="0"/>
                <w:w w:val="100"/>
                <w:position w:val="0"/>
                <w:sz w:val="24"/>
                <w:szCs w:val="24"/>
                <w:highlight w:val="none"/>
                <w:u w:val="single"/>
                <w:lang w:val="en-US" w:eastAsia="zh-CN"/>
              </w:rPr>
              <w:t xml:space="preserve"> 20  </w:t>
            </w:r>
            <w:r>
              <w:rPr>
                <w:rFonts w:hint="eastAsia" w:ascii="宋体" w:hAnsi="宋体" w:eastAsia="宋体" w:cs="宋体"/>
                <w:color w:val="auto"/>
                <w:spacing w:val="0"/>
                <w:w w:val="100"/>
                <w:position w:val="0"/>
                <w:sz w:val="24"/>
                <w:szCs w:val="24"/>
                <w:highlight w:val="none"/>
                <w:lang w:val="en-US" w:eastAsia="zh-CN"/>
              </w:rPr>
              <w:t>分钟内完成回复），否则视为</w:t>
            </w:r>
            <w:r>
              <w:rPr>
                <w:rFonts w:hint="eastAsia" w:ascii="宋体" w:hAnsi="宋体" w:eastAsia="宋体" w:cs="宋体"/>
                <w:i w:val="0"/>
                <w:iCs w:val="0"/>
                <w:color w:val="auto"/>
                <w:spacing w:val="0"/>
                <w:w w:val="100"/>
                <w:position w:val="0"/>
                <w:sz w:val="24"/>
                <w:szCs w:val="24"/>
                <w:highlight w:val="none"/>
                <w:lang w:val="en-US" w:eastAsia="zh-CN"/>
              </w:rPr>
              <w:t>放弃解释说明的权利且完全认可专家的意见</w:t>
            </w:r>
            <w:r>
              <w:rPr>
                <w:rFonts w:hint="eastAsia" w:ascii="宋体" w:hAnsi="宋体" w:eastAsia="宋体" w:cs="宋体"/>
                <w:color w:val="auto"/>
                <w:spacing w:val="0"/>
                <w:w w:val="100"/>
                <w:position w:val="0"/>
                <w:sz w:val="24"/>
                <w:szCs w:val="24"/>
                <w:highlight w:val="none"/>
                <w:lang w:val="en-US" w:eastAsia="zh-CN"/>
              </w:rPr>
              <w:t>，因业务不熟悉而导致的一切后果由投标人自行承担</w:t>
            </w:r>
            <w:r>
              <w:rPr>
                <w:rFonts w:hint="eastAsia" w:ascii="宋体" w:hAnsi="宋体" w:eastAsia="宋体" w:cs="宋体"/>
                <w:i w:val="0"/>
                <w:iCs w:val="0"/>
                <w:color w:val="auto"/>
                <w:spacing w:val="0"/>
                <w:w w:val="100"/>
                <w:position w:val="0"/>
                <w:sz w:val="24"/>
                <w:szCs w:val="24"/>
                <w:highlight w:val="none"/>
                <w:lang w:val="en-US" w:eastAsia="zh-CN"/>
              </w:rPr>
              <w:t>。</w:t>
            </w:r>
          </w:p>
          <w:p w14:paraId="4EDB08D5">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val="en-US" w:eastAsia="zh-CN"/>
              </w:rPr>
              <w:t xml:space="preserve"> 投标人</w:t>
            </w:r>
            <w:r>
              <w:rPr>
                <w:rFonts w:hint="eastAsia" w:ascii="宋体" w:hAnsi="宋体" w:eastAsia="宋体" w:cs="宋体"/>
                <w:color w:val="auto"/>
                <w:spacing w:val="0"/>
                <w:w w:val="100"/>
                <w:position w:val="0"/>
                <w:sz w:val="24"/>
                <w:szCs w:val="24"/>
                <w:highlight w:val="none"/>
              </w:rPr>
              <w:t>需提前调试所用电脑环境，下载安装视频播放控件</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谷歌浏览器和驱动安装包，（下载地址：https：//ggzy</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jiangxi</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gov</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cn/fwzn/007001/007001003/20230504/0e883d3d-bca0-434c-a898-f1ff4bb446b1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html）并检查耳机</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麦克风</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摄像头是否正常，网络是否稳定，谷歌浏览器是否能正常使用。</w:t>
            </w:r>
          </w:p>
          <w:p w14:paraId="5E7D379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lang w:val="en-US" w:eastAsia="zh-CN"/>
              </w:rPr>
              <w:t xml:space="preserve"> 投标人</w:t>
            </w:r>
            <w:r>
              <w:rPr>
                <w:rFonts w:hint="eastAsia" w:ascii="宋体" w:hAnsi="宋体" w:eastAsia="宋体" w:cs="宋体"/>
                <w:color w:val="auto"/>
                <w:spacing w:val="0"/>
                <w:w w:val="100"/>
                <w:position w:val="0"/>
                <w:sz w:val="24"/>
                <w:szCs w:val="24"/>
                <w:highlight w:val="none"/>
                <w:lang w:eastAsia="zh-CN"/>
              </w:rPr>
              <w:t>应仔细阅读“江西省公共资源不见面询标操作手册”或观看“不见面询标操作视频（供应商端）”（下载地址：同上），熟练掌握不见面询标操作指南，确保询标顺利进行。</w:t>
            </w:r>
          </w:p>
          <w:p w14:paraId="54C09068">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.3</w:t>
            </w:r>
            <w:r>
              <w:rPr>
                <w:rFonts w:hint="eastAsia" w:ascii="宋体" w:hAnsi="宋体" w:eastAsia="宋体" w:cs="宋体"/>
                <w:color w:val="auto"/>
                <w:spacing w:val="0"/>
                <w:w w:val="100"/>
                <w:position w:val="0"/>
                <w:sz w:val="24"/>
                <w:szCs w:val="24"/>
                <w:highlight w:val="none"/>
                <w:lang w:val="en-US" w:eastAsia="zh-CN"/>
              </w:rPr>
              <w:t xml:space="preserve"> 投标人</w:t>
            </w:r>
            <w:r>
              <w:rPr>
                <w:rFonts w:hint="eastAsia" w:ascii="宋体" w:hAnsi="宋体" w:eastAsia="宋体" w:cs="宋体"/>
                <w:color w:val="auto"/>
                <w:spacing w:val="0"/>
                <w:w w:val="100"/>
                <w:position w:val="0"/>
                <w:sz w:val="24"/>
                <w:szCs w:val="24"/>
                <w:highlight w:val="none"/>
                <w:lang w:eastAsia="zh-CN"/>
              </w:rPr>
              <w:t>应全程保持在线状态，当手机收到评审专家询标时系统发出的短信通知或语音通知后，应立即在不见面开标大厅响应询标指令。</w:t>
            </w:r>
          </w:p>
          <w:p w14:paraId="163BB73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.4</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如</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需进行相关系统演示的，应点击</w:t>
            </w:r>
            <w:r>
              <w:rPr>
                <w:rFonts w:hint="eastAsia" w:ascii="宋体" w:hAnsi="宋体" w:eastAsia="宋体" w:cs="宋体"/>
                <w:b/>
                <w:bCs/>
                <w:color w:val="auto"/>
                <w:spacing w:val="0"/>
                <w:w w:val="100"/>
                <w:position w:val="0"/>
                <w:sz w:val="24"/>
                <w:szCs w:val="24"/>
                <w:highlight w:val="none"/>
                <w:lang w:eastAsia="zh-CN"/>
              </w:rPr>
              <w:t>[屏幕共享]</w:t>
            </w:r>
            <w:r>
              <w:rPr>
                <w:rFonts w:hint="eastAsia" w:ascii="宋体" w:hAnsi="宋体" w:eastAsia="宋体" w:cs="宋体"/>
                <w:color w:val="auto"/>
                <w:spacing w:val="0"/>
                <w:w w:val="100"/>
                <w:position w:val="0"/>
                <w:sz w:val="24"/>
                <w:szCs w:val="24"/>
                <w:highlight w:val="none"/>
                <w:lang w:eastAsia="zh-CN"/>
              </w:rPr>
              <w:t>，开启桌面共享，分享桌面屏幕实现演示。</w:t>
            </w:r>
          </w:p>
          <w:p w14:paraId="22161C54">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如</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提供相关材料的，需要在评审专家发起</w:t>
            </w:r>
            <w:r>
              <w:rPr>
                <w:rFonts w:hint="eastAsia" w:ascii="宋体" w:hAnsi="宋体" w:eastAsia="宋体" w:cs="宋体"/>
                <w:b/>
                <w:bCs/>
                <w:color w:val="auto"/>
                <w:spacing w:val="0"/>
                <w:w w:val="100"/>
                <w:position w:val="0"/>
                <w:sz w:val="24"/>
                <w:szCs w:val="24"/>
                <w:highlight w:val="none"/>
                <w:lang w:eastAsia="zh-CN"/>
              </w:rPr>
              <w:t>[文字质询]</w:t>
            </w:r>
            <w:r>
              <w:rPr>
                <w:rFonts w:hint="eastAsia" w:ascii="宋体" w:hAnsi="宋体" w:eastAsia="宋体" w:cs="宋体"/>
                <w:color w:val="auto"/>
                <w:spacing w:val="0"/>
                <w:w w:val="100"/>
                <w:position w:val="0"/>
                <w:sz w:val="24"/>
                <w:szCs w:val="24"/>
                <w:highlight w:val="none"/>
                <w:lang w:eastAsia="zh-CN"/>
              </w:rPr>
              <w:t>后，</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进入文字询标，或上传相关附件材料。</w:t>
            </w:r>
          </w:p>
          <w:p w14:paraId="7839053B">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.6</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如有需要，评审专家会通过</w:t>
            </w:r>
            <w:r>
              <w:rPr>
                <w:rFonts w:hint="eastAsia" w:ascii="宋体" w:hAnsi="宋体" w:eastAsia="宋体" w:cs="宋体"/>
                <w:b/>
                <w:bCs/>
                <w:color w:val="auto"/>
                <w:spacing w:val="0"/>
                <w:w w:val="100"/>
                <w:position w:val="0"/>
                <w:sz w:val="24"/>
                <w:szCs w:val="24"/>
                <w:highlight w:val="none"/>
                <w:lang w:eastAsia="zh-CN"/>
              </w:rPr>
              <w:t>[标书共享]</w:t>
            </w:r>
            <w:r>
              <w:rPr>
                <w:rFonts w:hint="eastAsia" w:ascii="宋体" w:hAnsi="宋体" w:eastAsia="宋体" w:cs="宋体"/>
                <w:color w:val="auto"/>
                <w:spacing w:val="0"/>
                <w:w w:val="100"/>
                <w:position w:val="0"/>
                <w:sz w:val="24"/>
                <w:szCs w:val="24"/>
                <w:highlight w:val="none"/>
                <w:lang w:eastAsia="zh-CN"/>
              </w:rPr>
              <w:t>功能，将评审专家电脑桌面的</w:t>
            </w:r>
            <w:r>
              <w:rPr>
                <w:rFonts w:hint="eastAsia" w:ascii="宋体" w:hAnsi="宋体" w:eastAsia="宋体" w:cs="宋体"/>
                <w:color w:val="auto"/>
                <w:spacing w:val="0"/>
                <w:w w:val="100"/>
                <w:position w:val="0"/>
                <w:sz w:val="24"/>
                <w:szCs w:val="24"/>
                <w:highlight w:val="none"/>
                <w:lang w:val="en-US" w:eastAsia="zh-CN"/>
              </w:rPr>
              <w:t>投标文件</w:t>
            </w:r>
            <w:r>
              <w:rPr>
                <w:rFonts w:hint="eastAsia" w:ascii="宋体" w:hAnsi="宋体" w:eastAsia="宋体" w:cs="宋体"/>
                <w:color w:val="auto"/>
                <w:spacing w:val="0"/>
                <w:w w:val="100"/>
                <w:position w:val="0"/>
                <w:sz w:val="24"/>
                <w:szCs w:val="24"/>
                <w:highlight w:val="none"/>
                <w:lang w:eastAsia="zh-CN"/>
              </w:rPr>
              <w:t>或采购文件内容展示给</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查看。</w:t>
            </w:r>
          </w:p>
          <w:p w14:paraId="10FEFF97">
            <w:pPr>
              <w:keepNext w:val="0"/>
              <w:keepLines w:val="0"/>
              <w:pageBreakBefore w:val="0"/>
              <w:kinsoku/>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 投标人</w:t>
            </w:r>
            <w:r>
              <w:rPr>
                <w:rFonts w:hint="eastAsia" w:ascii="宋体" w:hAnsi="宋体" w:eastAsia="宋体" w:cs="宋体"/>
                <w:color w:val="auto"/>
                <w:spacing w:val="0"/>
                <w:w w:val="100"/>
                <w:position w:val="0"/>
                <w:sz w:val="24"/>
                <w:szCs w:val="24"/>
                <w:highlight w:val="none"/>
                <w:lang w:eastAsia="zh-CN"/>
              </w:rPr>
              <w:t>未在线或不接收评审专家询标指令，后果由</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自行承担。</w:t>
            </w:r>
          </w:p>
          <w:p w14:paraId="1F9886C2">
            <w:pPr>
              <w:pStyle w:val="6"/>
              <w:keepNext w:val="0"/>
              <w:keepLines w:val="0"/>
              <w:pageBreakBefore w:val="0"/>
              <w:wordWrap/>
              <w:overflowPunct/>
              <w:topLinePunct w:val="0"/>
              <w:autoSpaceDE w:val="0"/>
              <w:autoSpaceDN w:val="0"/>
              <w:bidi w:val="0"/>
              <w:adjustRightInd w:val="0"/>
              <w:snapToGrid w:val="0"/>
              <w:spacing w:line="360" w:lineRule="auto"/>
              <w:ind w:left="216" w:leftChars="103" w:firstLine="0" w:firstLineChars="0"/>
              <w:textAlignment w:val="baseline"/>
              <w:rPr>
                <w:rFonts w:hint="eastAsia" w:ascii="宋体" w:hAnsi="宋体" w:eastAsia="宋体" w:cs="宋体"/>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.8</w:t>
            </w:r>
            <w:r>
              <w:rPr>
                <w:rFonts w:hint="eastAsia" w:ascii="宋体" w:hAnsi="宋体" w:eastAsia="宋体" w:cs="宋体"/>
                <w:color w:val="auto"/>
                <w:spacing w:val="0"/>
                <w:w w:val="100"/>
                <w:position w:val="0"/>
                <w:sz w:val="24"/>
                <w:szCs w:val="24"/>
                <w:highlight w:val="none"/>
                <w:lang w:val="en-US" w:eastAsia="zh-CN"/>
              </w:rPr>
              <w:t>投标人</w:t>
            </w:r>
            <w:r>
              <w:rPr>
                <w:rFonts w:hint="eastAsia" w:ascii="宋体" w:hAnsi="宋体" w:eastAsia="宋体" w:cs="宋体"/>
                <w:color w:val="auto"/>
                <w:spacing w:val="0"/>
                <w:w w:val="100"/>
                <w:position w:val="0"/>
                <w:sz w:val="24"/>
                <w:szCs w:val="24"/>
                <w:highlight w:val="none"/>
                <w:lang w:eastAsia="zh-CN"/>
              </w:rPr>
              <w:t>在使用询标系统过程中有建议意见或需要技术支持的请联系省公共资源交易集团，联系电话：0791-88862156 （工作日上午：9：00-12：00下午13：30-17：30）。</w:t>
            </w:r>
          </w:p>
          <w:p w14:paraId="0C8B19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08" w:leftChars="96" w:hanging="206" w:hangingChars="86"/>
              <w:jc w:val="both"/>
              <w:textAlignment w:val="auto"/>
              <w:rPr>
                <w:rFonts w:hint="eastAsia" w:ascii="宋体" w:hAnsi="宋体" w:eastAsia="宋体" w:cs="宋体"/>
                <w:i w:val="0"/>
                <w:iCs w:val="0"/>
                <w:color w:val="auto"/>
                <w:spacing w:val="0"/>
                <w:w w:val="100"/>
                <w:position w:val="0"/>
                <w:sz w:val="24"/>
                <w:szCs w:val="24"/>
                <w:highlight w:val="none"/>
                <w:lang w:val="en-US" w:eastAsia="zh-CN"/>
              </w:rPr>
            </w:pPr>
            <w:r>
              <w:rPr>
                <w:rFonts w:hint="eastAsia" w:ascii="宋体" w:hAnsi="宋体" w:eastAsia="宋体" w:cs="宋体"/>
                <w:i w:val="0"/>
                <w:iCs w:val="0"/>
                <w:color w:val="auto"/>
                <w:spacing w:val="0"/>
                <w:w w:val="100"/>
                <w:position w:val="0"/>
                <w:sz w:val="24"/>
                <w:szCs w:val="24"/>
                <w:highlight w:val="none"/>
                <w:lang w:val="en-US" w:eastAsia="zh-CN"/>
              </w:rPr>
              <w:t>4、投标人对开标过程和评标结果有异议的，可将异议内容以书面形式提出并加盖单位公章后扫描上传至本项目不见面开标大厅“开标异议文字提问”栏中。</w:t>
            </w:r>
          </w:p>
          <w:p w14:paraId="16952C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16" w:leftChars="114" w:hanging="177" w:hangingChars="74"/>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i w:val="0"/>
                <w:iCs w:val="0"/>
                <w:color w:val="auto"/>
                <w:spacing w:val="0"/>
                <w:w w:val="100"/>
                <w:position w:val="0"/>
                <w:sz w:val="24"/>
                <w:szCs w:val="24"/>
                <w:highlight w:val="none"/>
                <w:lang w:val="en-US" w:eastAsia="zh-CN"/>
              </w:rPr>
              <w:t>5、投标人</w:t>
            </w:r>
            <w:r>
              <w:rPr>
                <w:rFonts w:hint="eastAsia" w:ascii="宋体" w:hAnsi="宋体" w:eastAsia="宋体" w:cs="宋体"/>
                <w:color w:val="auto"/>
                <w:spacing w:val="0"/>
                <w:w w:val="100"/>
                <w:position w:val="0"/>
                <w:sz w:val="24"/>
                <w:szCs w:val="24"/>
                <w:highlight w:val="none"/>
                <w:lang w:val="en-US" w:eastAsia="zh-CN"/>
              </w:rPr>
              <w:t>应仔细阅读江西省公共资源交易平台（</w:t>
            </w:r>
            <w:r>
              <w:rPr>
                <w:rFonts w:hint="eastAsia" w:ascii="宋体" w:hAnsi="宋体" w:eastAsia="宋体" w:cs="宋体"/>
                <w:color w:val="auto"/>
                <w:spacing w:val="0"/>
                <w:w w:val="100"/>
                <w:position w:val="0"/>
                <w:sz w:val="24"/>
                <w:szCs w:val="24"/>
                <w:highlight w:val="none"/>
                <w:u w:val="single"/>
                <w:lang w:val="en-US" w:eastAsia="zh-CN"/>
              </w:rPr>
              <w:t>https://www.jxsggzy.cn</w:t>
            </w:r>
            <w:r>
              <w:rPr>
                <w:rFonts w:hint="eastAsia" w:ascii="宋体" w:hAnsi="宋体" w:eastAsia="宋体" w:cs="宋体"/>
                <w:color w:val="auto"/>
                <w:spacing w:val="0"/>
                <w:w w:val="100"/>
                <w:position w:val="0"/>
                <w:sz w:val="24"/>
                <w:szCs w:val="24"/>
                <w:highlight w:val="none"/>
                <w:lang w:val="en-US" w:eastAsia="zh-CN"/>
              </w:rPr>
              <w:t>）有关不见面开标的内容，如有疑问请联系新点工作人员，联系电话：400-998-0000。</w:t>
            </w:r>
          </w:p>
        </w:tc>
      </w:tr>
      <w:tr w14:paraId="5F98FB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860" w:hRule="atLeast"/>
          <w:jc w:val="center"/>
        </w:trPr>
        <w:tc>
          <w:tcPr>
            <w:tcW w:w="944" w:type="dxa"/>
            <w:vAlign w:val="center"/>
          </w:tcPr>
          <w:p w14:paraId="5656418C">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23.1</w:t>
            </w:r>
          </w:p>
        </w:tc>
        <w:tc>
          <w:tcPr>
            <w:tcW w:w="1409" w:type="dxa"/>
            <w:gridSpan w:val="2"/>
            <w:vAlign w:val="center"/>
          </w:tcPr>
          <w:p w14:paraId="3C0A20C1">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评标方法</w:t>
            </w:r>
          </w:p>
        </w:tc>
        <w:tc>
          <w:tcPr>
            <w:tcW w:w="7121" w:type="dxa"/>
            <w:gridSpan w:val="2"/>
            <w:vAlign w:val="center"/>
          </w:tcPr>
          <w:p w14:paraId="5F1C9695">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sym w:font="Wingdings 2" w:char="0052"/>
            </w:r>
            <w:r>
              <w:rPr>
                <w:rFonts w:hint="eastAsia" w:ascii="宋体" w:hAnsi="宋体" w:eastAsia="宋体" w:cs="宋体"/>
                <w:color w:val="auto"/>
                <w:spacing w:val="0"/>
                <w:w w:val="100"/>
                <w:position w:val="0"/>
                <w:sz w:val="24"/>
                <w:szCs w:val="24"/>
                <w:highlight w:val="none"/>
                <w:lang w:eastAsia="zh-CN"/>
              </w:rPr>
              <w:t>最低评标价法</w:t>
            </w:r>
            <w:r>
              <w:rPr>
                <w:rFonts w:hint="eastAsia" w:ascii="宋体" w:hAnsi="宋体" w:eastAsia="宋体" w:cs="宋体"/>
                <w:color w:val="auto"/>
                <w:spacing w:val="0"/>
                <w:w w:val="100"/>
                <w:position w:val="0"/>
                <w:sz w:val="24"/>
                <w:szCs w:val="24"/>
                <w:highlight w:val="none"/>
                <w:lang w:val="en-US" w:eastAsia="zh-CN"/>
              </w:rPr>
              <w:t xml:space="preserve"> </w:t>
            </w:r>
          </w:p>
          <w:p w14:paraId="6E184BCC">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产品属于《节能产品政府采购品目清单》、《环境标志产品政府采购品目清单》范围的，依据国家确定的认证机构出具的、处于有效期之内的节能产品、环境标志产品认证证书，对获得证书的产品实施政府优先采购或强制采购。</w:t>
            </w:r>
          </w:p>
        </w:tc>
      </w:tr>
      <w:tr w14:paraId="7CE46D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709" w:hRule="atLeast"/>
          <w:jc w:val="center"/>
        </w:trPr>
        <w:tc>
          <w:tcPr>
            <w:tcW w:w="944" w:type="dxa"/>
            <w:vAlign w:val="center"/>
          </w:tcPr>
          <w:p w14:paraId="24EB42CF">
            <w:pPr>
              <w:keepNext w:val="0"/>
              <w:keepLines w:val="0"/>
              <w:pageBreakBefore w:val="0"/>
              <w:widowControl w:val="0"/>
              <w:wordWrap/>
              <w:overflowPunct/>
              <w:topLinePunct w:val="0"/>
              <w:bidi w:val="0"/>
              <w:spacing w:line="360" w:lineRule="auto"/>
              <w:jc w:val="center"/>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23.2</w:t>
            </w:r>
          </w:p>
        </w:tc>
        <w:tc>
          <w:tcPr>
            <w:tcW w:w="1409" w:type="dxa"/>
            <w:gridSpan w:val="2"/>
            <w:vAlign w:val="center"/>
          </w:tcPr>
          <w:p w14:paraId="0E48FAEF">
            <w:pPr>
              <w:keepNext w:val="0"/>
              <w:keepLines w:val="0"/>
              <w:pageBreakBefore w:val="0"/>
              <w:widowControl w:val="0"/>
              <w:wordWrap/>
              <w:overflowPunct/>
              <w:topLinePunct w:val="0"/>
              <w:bidi w:val="0"/>
              <w:spacing w:line="360" w:lineRule="auto"/>
              <w:ind w:left="240"/>
              <w:jc w:val="both"/>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评标标准</w:t>
            </w:r>
          </w:p>
        </w:tc>
        <w:tc>
          <w:tcPr>
            <w:tcW w:w="7121" w:type="dxa"/>
            <w:gridSpan w:val="2"/>
            <w:vAlign w:val="center"/>
          </w:tcPr>
          <w:p w14:paraId="04849589">
            <w:pPr>
              <w:keepNext w:val="0"/>
              <w:keepLines w:val="0"/>
              <w:pageBreakBefore w:val="0"/>
              <w:widowControl w:val="0"/>
              <w:kinsoku w:val="0"/>
              <w:wordWrap/>
              <w:overflowPunct/>
              <w:topLinePunct w:val="0"/>
              <w:autoSpaceDE w:val="0"/>
              <w:autoSpaceDN w:val="0"/>
              <w:bidi w:val="0"/>
              <w:adjustRightInd w:val="0"/>
              <w:snapToGrid w:val="0"/>
              <w:spacing w:line="360" w:lineRule="auto"/>
              <w:ind w:left="113"/>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详见招标文件第六章评标方法</w:t>
            </w:r>
          </w:p>
        </w:tc>
      </w:tr>
      <w:tr w14:paraId="171385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2097" w:hRule="atLeast"/>
          <w:jc w:val="center"/>
        </w:trPr>
        <w:tc>
          <w:tcPr>
            <w:tcW w:w="944" w:type="dxa"/>
            <w:vAlign w:val="center"/>
          </w:tcPr>
          <w:p w14:paraId="28D3940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28</w:t>
            </w:r>
            <w:r>
              <w:rPr>
                <w:rFonts w:hint="eastAsia" w:ascii="宋体" w:hAnsi="宋体" w:eastAsia="宋体" w:cs="宋体"/>
                <w:color w:val="auto"/>
                <w:spacing w:val="0"/>
                <w:w w:val="100"/>
                <w:position w:val="0"/>
                <w:sz w:val="24"/>
                <w:szCs w:val="24"/>
                <w:highlight w:val="none"/>
                <w:lang w:val="en-US" w:eastAsia="zh-CN"/>
              </w:rPr>
              <w:t>.1</w:t>
            </w:r>
          </w:p>
        </w:tc>
        <w:tc>
          <w:tcPr>
            <w:tcW w:w="1409" w:type="dxa"/>
            <w:gridSpan w:val="2"/>
            <w:vAlign w:val="center"/>
          </w:tcPr>
          <w:p w14:paraId="092B0CA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履约保证金</w:t>
            </w:r>
          </w:p>
        </w:tc>
        <w:tc>
          <w:tcPr>
            <w:tcW w:w="7121" w:type="dxa"/>
            <w:gridSpan w:val="2"/>
            <w:vAlign w:val="center"/>
          </w:tcPr>
          <w:p w14:paraId="24FEC7AF">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w:t>
            </w:r>
            <w:r>
              <w:rPr>
                <w:rFonts w:hint="eastAsia" w:ascii="宋体" w:hAnsi="宋体" w:eastAsia="宋体" w:cs="宋体"/>
                <w:color w:val="auto"/>
                <w:sz w:val="24"/>
                <w:szCs w:val="24"/>
                <w:highlight w:val="none"/>
                <w:u w:val="none"/>
              </w:rPr>
              <w:t>适用</w:t>
            </w:r>
          </w:p>
          <w:p w14:paraId="543D925D">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履约保证金金额：合同总价的</w:t>
            </w:r>
            <w:r>
              <w:rPr>
                <w:rFonts w:hint="eastAsia" w:ascii="宋体" w:hAnsi="宋体" w:eastAsia="宋体" w:cs="宋体"/>
                <w:color w:val="auto"/>
                <w:spacing w:val="0"/>
                <w:position w:val="0"/>
                <w:sz w:val="24"/>
                <w:szCs w:val="24"/>
                <w:highlight w:val="none"/>
                <w:u w:val="single"/>
                <w:lang w:val="en-US" w:eastAsia="zh-CN"/>
              </w:rPr>
              <w:t xml:space="preserve"> 5 </w:t>
            </w:r>
            <w:r>
              <w:rPr>
                <w:rFonts w:hint="eastAsia" w:ascii="宋体" w:hAnsi="宋体" w:eastAsia="宋体" w:cs="宋体"/>
                <w:color w:val="auto"/>
                <w:spacing w:val="0"/>
                <w:position w:val="0"/>
                <w:sz w:val="24"/>
                <w:szCs w:val="24"/>
                <w:highlight w:val="none"/>
                <w:lang w:eastAsia="zh-CN"/>
              </w:rPr>
              <w:t>%</w:t>
            </w:r>
          </w:p>
          <w:p w14:paraId="4D4C2B2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left"/>
              <w:textAlignment w:val="baseline"/>
              <w:rPr>
                <w:rFonts w:hint="eastAsia" w:ascii="宋体" w:hAnsi="宋体" w:eastAsia="宋体" w:cs="宋体"/>
                <w:b/>
                <w:bCs/>
                <w:i w:val="0"/>
                <w:iCs w:val="0"/>
                <w:color w:val="auto"/>
                <w:spacing w:val="0"/>
                <w:w w:val="100"/>
                <w:position w:val="0"/>
                <w:sz w:val="24"/>
                <w:szCs w:val="24"/>
                <w:highlight w:val="none"/>
                <w:lang w:val="en-US" w:eastAsia="zh-CN"/>
              </w:rPr>
            </w:pPr>
            <w:r>
              <w:rPr>
                <w:rFonts w:hint="eastAsia" w:ascii="宋体" w:hAnsi="宋体" w:eastAsia="宋体" w:cs="宋体"/>
                <w:b/>
                <w:bCs/>
                <w:i w:val="0"/>
                <w:iCs w:val="0"/>
                <w:color w:val="auto"/>
                <w:spacing w:val="0"/>
                <w:w w:val="100"/>
                <w:position w:val="0"/>
                <w:sz w:val="24"/>
                <w:szCs w:val="24"/>
                <w:highlight w:val="none"/>
                <w:lang w:val="en-US" w:eastAsia="zh-CN"/>
              </w:rPr>
              <w:t>本项目履约保证金应当以支票、汇票、本票或者金融机构、担保机构出具的保函等非现金形式提交。</w:t>
            </w:r>
          </w:p>
          <w:p w14:paraId="53CE6261">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履约保证金的退还：政府采购合同履约结束，经验收合格后，依据合同相关条款退还履约保证金。</w:t>
            </w:r>
          </w:p>
          <w:p w14:paraId="3A109E6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履约保证金不予退还情形：签订合同后，如中标人不按双方签订的合同规定履约，则没收其全部履约保证金，履约保证金不足以赔偿损失的，按实际损失赔偿。</w:t>
            </w:r>
          </w:p>
          <w:p w14:paraId="3DA81DE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jc w:val="left"/>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eastAsia="zh-CN"/>
              </w:rPr>
              <w:t>逾期退还履约保证金违约责任：采购人逾期退还履约保证金的，应按银行同期存款利率支付逾期利息，但因中标人原因造成除外。</w:t>
            </w:r>
          </w:p>
        </w:tc>
      </w:tr>
      <w:tr w14:paraId="27550A5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4643" w:hRule="atLeast"/>
          <w:jc w:val="center"/>
        </w:trPr>
        <w:tc>
          <w:tcPr>
            <w:tcW w:w="944" w:type="dxa"/>
            <w:vAlign w:val="center"/>
          </w:tcPr>
          <w:p w14:paraId="0BE00D75">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31.6</w:t>
            </w:r>
          </w:p>
        </w:tc>
        <w:tc>
          <w:tcPr>
            <w:tcW w:w="1409" w:type="dxa"/>
            <w:gridSpan w:val="2"/>
            <w:vAlign w:val="center"/>
          </w:tcPr>
          <w:p w14:paraId="43DF22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询问、质疑联系方式</w:t>
            </w:r>
          </w:p>
        </w:tc>
        <w:tc>
          <w:tcPr>
            <w:tcW w:w="7121" w:type="dxa"/>
            <w:gridSpan w:val="2"/>
          </w:tcPr>
          <w:p w14:paraId="0D17EA51">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1、对招标文件质疑</w:t>
            </w:r>
          </w:p>
          <w:p w14:paraId="08AD6B14">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接收部门：江西省机电设备招标有限公司政府采购一部 </w:t>
            </w:r>
          </w:p>
          <w:p w14:paraId="376B635D">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联系电话：0791-86271501   </w:t>
            </w:r>
          </w:p>
          <w:p w14:paraId="3C186E6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通讯地址：江西省南昌市东湖区省政府大院北二路92号咨询大厦</w:t>
            </w:r>
          </w:p>
          <w:p w14:paraId="3B5C30B3">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电子邮箱：</w:t>
            </w:r>
            <w:r>
              <w:rPr>
                <w:rFonts w:hint="eastAsia" w:ascii="宋体" w:hAnsi="宋体" w:eastAsia="宋体" w:cs="宋体"/>
                <w:color w:val="auto"/>
                <w:spacing w:val="0"/>
                <w:position w:val="0"/>
                <w:sz w:val="24"/>
                <w:szCs w:val="24"/>
                <w:highlight w:val="none"/>
                <w:lang w:eastAsia="zh-CN"/>
              </w:rPr>
              <w:fldChar w:fldCharType="begin"/>
            </w:r>
            <w:r>
              <w:rPr>
                <w:rFonts w:hint="eastAsia" w:ascii="宋体" w:hAnsi="宋体" w:eastAsia="宋体" w:cs="宋体"/>
                <w:color w:val="auto"/>
                <w:spacing w:val="0"/>
                <w:position w:val="0"/>
                <w:sz w:val="24"/>
                <w:szCs w:val="24"/>
                <w:highlight w:val="none"/>
                <w:lang w:eastAsia="zh-CN"/>
              </w:rPr>
              <w:instrText xml:space="preserve"> HYPERLINK "mailto:jzzc@jxzxtz.com" </w:instrText>
            </w:r>
            <w:r>
              <w:rPr>
                <w:rFonts w:hint="eastAsia" w:ascii="宋体" w:hAnsi="宋体" w:eastAsia="宋体" w:cs="宋体"/>
                <w:color w:val="auto"/>
                <w:spacing w:val="0"/>
                <w:position w:val="0"/>
                <w:sz w:val="24"/>
                <w:szCs w:val="24"/>
                <w:highlight w:val="none"/>
                <w:lang w:eastAsia="zh-CN"/>
              </w:rPr>
              <w:fldChar w:fldCharType="separate"/>
            </w:r>
            <w:r>
              <w:rPr>
                <w:rFonts w:hint="eastAsia" w:ascii="宋体" w:hAnsi="宋体" w:eastAsia="宋体" w:cs="宋体"/>
                <w:color w:val="auto"/>
                <w:spacing w:val="0"/>
                <w:position w:val="0"/>
                <w:sz w:val="24"/>
                <w:szCs w:val="24"/>
                <w:highlight w:val="none"/>
                <w:lang w:eastAsia="zh-CN"/>
              </w:rPr>
              <w:t>jzzc@jxbidding.com</w:t>
            </w:r>
            <w:r>
              <w:rPr>
                <w:rFonts w:hint="eastAsia" w:ascii="宋体" w:hAnsi="宋体" w:eastAsia="宋体" w:cs="宋体"/>
                <w:color w:val="auto"/>
                <w:spacing w:val="0"/>
                <w:position w:val="0"/>
                <w:sz w:val="24"/>
                <w:szCs w:val="24"/>
                <w:highlight w:val="none"/>
                <w:lang w:eastAsia="zh-CN"/>
              </w:rPr>
              <w:fldChar w:fldCharType="end"/>
            </w:r>
          </w:p>
          <w:p w14:paraId="16D267FE">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2、对招标过程、中标结果质疑</w:t>
            </w:r>
          </w:p>
          <w:p w14:paraId="37B47D3F">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接收部门：江西省机电设备招标有限公司质疑室</w:t>
            </w:r>
          </w:p>
          <w:p w14:paraId="364CE6E6">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联系电话：0791-86274941 </w:t>
            </w:r>
          </w:p>
          <w:p w14:paraId="46847832">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通讯地址：江西省南昌市东湖区省政府大院北二路92号咨询大厦402室</w:t>
            </w:r>
          </w:p>
        </w:tc>
      </w:tr>
      <w:tr w14:paraId="062679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981" w:hRule="atLeast"/>
          <w:jc w:val="center"/>
        </w:trPr>
        <w:tc>
          <w:tcPr>
            <w:tcW w:w="944" w:type="dxa"/>
            <w:vAlign w:val="center"/>
          </w:tcPr>
          <w:p w14:paraId="4469C50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32</w:t>
            </w:r>
          </w:p>
        </w:tc>
        <w:tc>
          <w:tcPr>
            <w:tcW w:w="1409" w:type="dxa"/>
            <w:gridSpan w:val="2"/>
            <w:vAlign w:val="center"/>
          </w:tcPr>
          <w:p w14:paraId="382CB0A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采购代理</w:t>
            </w:r>
          </w:p>
          <w:p w14:paraId="34C6ADB8">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服务费</w:t>
            </w:r>
          </w:p>
        </w:tc>
        <w:tc>
          <w:tcPr>
            <w:tcW w:w="7121" w:type="dxa"/>
            <w:gridSpan w:val="2"/>
            <w:vAlign w:val="bottom"/>
          </w:tcPr>
          <w:p w14:paraId="187D82E9">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 xml:space="preserve">采购代理服务费的收费标准： </w:t>
            </w:r>
          </w:p>
          <w:p w14:paraId="371D41C7">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1.向中标（</w:t>
            </w:r>
            <w:r>
              <w:rPr>
                <w:rFonts w:hint="eastAsia" w:ascii="宋体" w:hAnsi="宋体" w:eastAsia="宋体" w:cs="宋体"/>
                <w:color w:val="auto"/>
                <w:spacing w:val="0"/>
                <w:position w:val="0"/>
                <w:sz w:val="24"/>
                <w:szCs w:val="24"/>
                <w:highlight w:val="none"/>
                <w:lang w:val="en-US" w:eastAsia="zh-CN"/>
              </w:rPr>
              <w:t>成交</w:t>
            </w:r>
            <w:r>
              <w:rPr>
                <w:rFonts w:hint="eastAsia" w:ascii="宋体" w:hAnsi="宋体" w:eastAsia="宋体" w:cs="宋体"/>
                <w:color w:val="auto"/>
                <w:spacing w:val="0"/>
                <w:position w:val="0"/>
                <w:sz w:val="24"/>
                <w:szCs w:val="24"/>
                <w:highlight w:val="none"/>
                <w:lang w:eastAsia="zh-CN"/>
              </w:rPr>
              <w:t>）人收取。</w:t>
            </w:r>
          </w:p>
          <w:p w14:paraId="4BD710D6">
            <w:pPr>
              <w:keepNext w:val="0"/>
              <w:keepLines w:val="0"/>
              <w:pageBreakBefore w:val="0"/>
              <w:widowControl w:val="0"/>
              <w:kinsoku w:val="0"/>
              <w:wordWrap/>
              <w:overflowPunct/>
              <w:topLinePunct w:val="0"/>
              <w:autoSpaceDE w:val="0"/>
              <w:autoSpaceDN w:val="0"/>
              <w:bidi w:val="0"/>
              <w:adjustRightInd w:val="0"/>
              <w:snapToGrid w:val="0"/>
              <w:spacing w:line="360" w:lineRule="auto"/>
              <w:ind w:left="119"/>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2.收费费率标准及计算方法按《关于制定我省招标代理服务收费指导价的通知》（</w:t>
            </w:r>
            <w:bookmarkStart w:id="21" w:name="OLE_LINK1"/>
            <w:r>
              <w:rPr>
                <w:rFonts w:hint="eastAsia" w:ascii="宋体" w:hAnsi="宋体" w:eastAsia="宋体" w:cs="宋体"/>
                <w:color w:val="auto"/>
                <w:spacing w:val="0"/>
                <w:position w:val="0"/>
                <w:sz w:val="24"/>
                <w:szCs w:val="24"/>
                <w:highlight w:val="none"/>
                <w:lang w:eastAsia="zh-CN"/>
              </w:rPr>
              <w:t>赣招协字〔2021〕7号）</w:t>
            </w:r>
            <w:bookmarkEnd w:id="21"/>
            <w:r>
              <w:rPr>
                <w:rFonts w:hint="eastAsia" w:ascii="宋体" w:hAnsi="宋体" w:eastAsia="宋体" w:cs="宋体"/>
                <w:color w:val="auto"/>
                <w:spacing w:val="0"/>
                <w:position w:val="0"/>
                <w:sz w:val="24"/>
                <w:szCs w:val="24"/>
                <w:highlight w:val="none"/>
                <w:lang w:eastAsia="zh-CN"/>
              </w:rPr>
              <w:t>文件执行，</w:t>
            </w:r>
            <w:r>
              <w:rPr>
                <w:rFonts w:hint="eastAsia" w:ascii="宋体" w:hAnsi="宋体" w:eastAsia="宋体" w:cs="宋体"/>
                <w:color w:val="auto"/>
                <w:spacing w:val="0"/>
                <w:position w:val="0"/>
                <w:sz w:val="24"/>
                <w:szCs w:val="24"/>
                <w:highlight w:val="none"/>
                <w:lang w:val="en-US" w:eastAsia="zh-CN"/>
              </w:rPr>
              <w:t>对于项目招标资金超过500万元部分按照收费标准的80%收取</w:t>
            </w:r>
            <w:r>
              <w:rPr>
                <w:rFonts w:hint="eastAsia" w:ascii="宋体" w:hAnsi="宋体" w:eastAsia="宋体" w:cs="宋体"/>
                <w:color w:val="auto"/>
                <w:spacing w:val="0"/>
                <w:position w:val="0"/>
                <w:sz w:val="24"/>
                <w:szCs w:val="24"/>
                <w:highlight w:val="none"/>
                <w:lang w:eastAsia="zh-CN"/>
              </w:rPr>
              <w:t>。</w:t>
            </w:r>
          </w:p>
        </w:tc>
      </w:tr>
      <w:tr w14:paraId="2CFB83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gridAfter w:val="1"/>
          <w:wAfter w:w="31" w:type="dxa"/>
          <w:trHeight w:val="1226" w:hRule="atLeast"/>
          <w:jc w:val="center"/>
        </w:trPr>
        <w:tc>
          <w:tcPr>
            <w:tcW w:w="9474" w:type="dxa"/>
            <w:gridSpan w:val="5"/>
            <w:vAlign w:val="bottom"/>
          </w:tcPr>
          <w:p w14:paraId="5690D7E8">
            <w:pPr>
              <w:keepNext w:val="0"/>
              <w:keepLines w:val="0"/>
              <w:pageBreakBefore w:val="0"/>
              <w:widowControl w:val="0"/>
              <w:wordWrap/>
              <w:overflowPunct/>
              <w:topLinePunct w:val="0"/>
              <w:bidi w:val="0"/>
              <w:spacing w:line="360" w:lineRule="auto"/>
              <w:ind w:left="113"/>
              <w:jc w:val="left"/>
              <w:rPr>
                <w:rFonts w:hint="eastAsia" w:ascii="宋体" w:hAnsi="宋体" w:eastAsia="宋体" w:cs="宋体"/>
                <w:i w:val="0"/>
                <w:iCs w:val="0"/>
                <w:color w:val="auto"/>
                <w:spacing w:val="0"/>
                <w:w w:val="100"/>
                <w:position w:val="0"/>
                <w:sz w:val="24"/>
                <w:szCs w:val="24"/>
                <w:highlight w:val="none"/>
                <w:lang w:eastAsia="zh-CN"/>
              </w:rPr>
            </w:pPr>
            <w:r>
              <w:rPr>
                <w:rFonts w:hint="eastAsia" w:ascii="宋体" w:hAnsi="宋体" w:eastAsia="宋体" w:cs="宋体"/>
                <w:sz w:val="24"/>
                <w:szCs w:val="24"/>
                <w:highlight w:val="none"/>
              </w:rPr>
              <w:t>中标人可凭签订的政府采购合同向抚州市的金融机构申请信贷融资。信贷融资办法和信息请查阅《抚州市财政局中国人民银行抚州市中心支行关于加大力度运用政府采购合同融资政策支持中小企业发展的通知》，在抚州市财政局官网“政府采购”栏目中查询。咨询电话：抚州市财政局政府采购监管科。徐先生、王先生：0794-8263960。</w:t>
            </w:r>
          </w:p>
        </w:tc>
      </w:tr>
    </w:tbl>
    <w:p w14:paraId="24AE55E9">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sectPr>
          <w:footerReference r:id="rId4" w:type="default"/>
          <w:pgSz w:w="11906" w:h="16839"/>
          <w:pgMar w:top="1440" w:right="1800" w:bottom="1440" w:left="1800" w:header="0" w:footer="1200" w:gutter="0"/>
          <w:pgNumType w:start="1"/>
          <w:cols w:space="720" w:num="1"/>
        </w:sectPr>
      </w:pPr>
    </w:p>
    <w:p w14:paraId="75171AEC">
      <w:pPr>
        <w:pageBreakBefore w:val="0"/>
        <w:widowControl w:val="0"/>
        <w:wordWrap/>
        <w:overflowPunct/>
        <w:topLinePunct w:val="0"/>
        <w:bidi w:val="0"/>
        <w:spacing w:before="78" w:line="220" w:lineRule="auto"/>
        <w:jc w:val="center"/>
        <w:outlineLvl w:val="1"/>
        <w:rPr>
          <w:rFonts w:hint="eastAsia" w:ascii="宋体" w:hAnsi="宋体" w:eastAsia="宋体" w:cs="宋体"/>
          <w:color w:val="auto"/>
          <w:spacing w:val="0"/>
          <w:w w:val="100"/>
          <w:position w:val="0"/>
          <w:sz w:val="24"/>
          <w:szCs w:val="24"/>
          <w:highlight w:val="none"/>
          <w:lang w:eastAsia="zh-CN"/>
        </w:rPr>
      </w:pPr>
      <w:bookmarkStart w:id="22" w:name="_Toc302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、招</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标</w:t>
      </w:r>
      <w:bookmarkEnd w:id="22"/>
    </w:p>
    <w:p w14:paraId="09548EA3">
      <w:pPr>
        <w:pageBreakBefore w:val="0"/>
        <w:widowControl w:val="0"/>
        <w:wordWrap/>
        <w:overflowPunct/>
        <w:topLinePunct w:val="0"/>
        <w:bidi w:val="0"/>
        <w:spacing w:line="363" w:lineRule="auto"/>
        <w:rPr>
          <w:rFonts w:hint="eastAsia" w:ascii="宋体" w:hAnsi="宋体" w:eastAsia="宋体" w:cs="宋体"/>
          <w:color w:val="auto"/>
          <w:spacing w:val="0"/>
          <w:w w:val="100"/>
          <w:position w:val="0"/>
          <w:highlight w:val="none"/>
          <w:lang w:eastAsia="zh-CN"/>
        </w:rPr>
      </w:pPr>
    </w:p>
    <w:p w14:paraId="5E2B6CCC">
      <w:pPr>
        <w:pageBreakBefore w:val="0"/>
        <w:widowControl w:val="0"/>
        <w:wordWrap/>
        <w:overflowPunct/>
        <w:topLinePunct w:val="0"/>
        <w:bidi w:val="0"/>
        <w:spacing w:before="78" w:line="220" w:lineRule="auto"/>
        <w:ind w:left="0" w:leftChars="0" w:firstLine="0" w:firstLineChars="0"/>
        <w:outlineLvl w:val="1"/>
        <w:rPr>
          <w:rFonts w:hint="eastAsia" w:ascii="宋体" w:hAnsi="宋体" w:eastAsia="宋体" w:cs="宋体"/>
          <w:color w:val="auto"/>
          <w:spacing w:val="0"/>
          <w:w w:val="100"/>
          <w:position w:val="0"/>
          <w:sz w:val="24"/>
          <w:szCs w:val="24"/>
          <w:highlight w:val="none"/>
          <w:lang w:eastAsia="zh-CN"/>
        </w:rPr>
      </w:pPr>
      <w:bookmarkStart w:id="23" w:name="_Toc938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1.适用范围</w:t>
      </w:r>
      <w:bookmarkEnd w:id="23"/>
    </w:p>
    <w:p w14:paraId="43260FD5">
      <w:pPr>
        <w:pageBreakBefore w:val="0"/>
        <w:widowControl w:val="0"/>
        <w:wordWrap/>
        <w:overflowPunct/>
        <w:topLinePunct w:val="0"/>
        <w:bidi w:val="0"/>
        <w:spacing w:before="181" w:afterAutospacing="0" w:line="219" w:lineRule="auto"/>
        <w:ind w:left="0" w:leftChars="0"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1.1 本招标文件仅适用于本“投标邀请 ”中所述货物和附属售后服务的采购。</w:t>
      </w:r>
    </w:p>
    <w:p w14:paraId="75DCDE9A">
      <w:pPr>
        <w:pageBreakBefore w:val="0"/>
        <w:widowControl w:val="0"/>
        <w:wordWrap/>
        <w:overflowPunct/>
        <w:topLinePunct w:val="0"/>
        <w:bidi w:val="0"/>
        <w:spacing w:before="0" w:beforeLines="76" w:beforeAutospacing="0" w:afterAutospacing="0" w:line="220" w:lineRule="auto"/>
        <w:ind w:left="0" w:leftChars="0" w:firstLine="0" w:firstLineChars="0"/>
        <w:outlineLvl w:val="1"/>
        <w:rPr>
          <w:rFonts w:hint="eastAsia" w:ascii="宋体" w:hAnsi="宋体" w:eastAsia="宋体" w:cs="宋体"/>
          <w:color w:val="auto"/>
          <w:spacing w:val="0"/>
          <w:w w:val="100"/>
          <w:position w:val="0"/>
          <w:sz w:val="24"/>
          <w:szCs w:val="24"/>
          <w:highlight w:val="none"/>
          <w:lang w:eastAsia="zh-CN"/>
        </w:rPr>
      </w:pPr>
      <w:bookmarkStart w:id="24" w:name="_Toc1614"/>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2.定义</w:t>
      </w:r>
      <w:bookmarkEnd w:id="24"/>
    </w:p>
    <w:p w14:paraId="558A8C1B">
      <w:pPr>
        <w:pageBreakBefore w:val="0"/>
        <w:widowControl w:val="0"/>
        <w:wordWrap/>
        <w:overflowPunct/>
        <w:topLinePunct w:val="0"/>
        <w:bidi w:val="0"/>
        <w:spacing w:before="184" w:beforeAutospacing="0" w:line="219" w:lineRule="auto"/>
        <w:ind w:left="0" w:leftChars="0"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2.1 采购人：详见“投标人须知前附表 ”。</w:t>
      </w:r>
    </w:p>
    <w:p w14:paraId="2F7D1402">
      <w:pPr>
        <w:pageBreakBefore w:val="0"/>
        <w:widowControl w:val="0"/>
        <w:wordWrap/>
        <w:overflowPunct/>
        <w:topLinePunct w:val="0"/>
        <w:bidi w:val="0"/>
        <w:spacing w:before="184" w:line="219" w:lineRule="auto"/>
        <w:ind w:left="0" w:leftChars="0"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 采购代理机构：详见“投标人须知前附表 ”。</w:t>
      </w:r>
    </w:p>
    <w:p w14:paraId="56FAB15F">
      <w:pPr>
        <w:pageBreakBefore w:val="0"/>
        <w:widowControl w:val="0"/>
        <w:wordWrap/>
        <w:overflowPunct/>
        <w:topLinePunct w:val="0"/>
        <w:bidi w:val="0"/>
        <w:spacing w:before="184" w:afterAutospacing="0" w:line="219" w:lineRule="auto"/>
        <w:ind w:left="0" w:leftChars="0"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2.3 投标人：是指响应招标、参加投标竞争的法人、其他组织或者自然人。</w:t>
      </w:r>
    </w:p>
    <w:p w14:paraId="7155C743">
      <w:pPr>
        <w:pageBreakBefore w:val="0"/>
        <w:widowControl w:val="0"/>
        <w:wordWrap/>
        <w:overflowPunct/>
        <w:topLinePunct w:val="0"/>
        <w:bidi w:val="0"/>
        <w:spacing w:before="0" w:beforeLines="100" w:beforeAutospacing="0" w:line="219" w:lineRule="auto"/>
        <w:ind w:left="0" w:leftChars="0" w:firstLine="0" w:firstLineChars="0"/>
        <w:outlineLvl w:val="1"/>
        <w:rPr>
          <w:rFonts w:hint="eastAsia" w:ascii="宋体" w:hAnsi="宋体" w:eastAsia="宋体" w:cs="宋体"/>
          <w:color w:val="auto"/>
          <w:spacing w:val="0"/>
          <w:w w:val="100"/>
          <w:position w:val="0"/>
          <w:sz w:val="24"/>
          <w:szCs w:val="24"/>
          <w:highlight w:val="none"/>
          <w:lang w:eastAsia="zh-CN"/>
        </w:rPr>
      </w:pPr>
      <w:bookmarkStart w:id="25" w:name="_Toc2078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3.合格投标人</w:t>
      </w:r>
      <w:bookmarkEnd w:id="25"/>
    </w:p>
    <w:p w14:paraId="2E93960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 投标人的资格条件：详见“第一章 投标邀请 ”。</w:t>
      </w:r>
    </w:p>
    <w:p w14:paraId="7E800F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 联合体投标</w:t>
      </w:r>
    </w:p>
    <w:p w14:paraId="06A7CAB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61"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3.2.1 是否接受联合体投标：详见“投标人须知前附表 ”。</w:t>
      </w:r>
    </w:p>
    <w:p w14:paraId="43864C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3.2.2 两个以上的自然人、法人或者其他组织可以组成一个联合体，以一个投标人的身份共同参加政府采购。以联合体形式进行政府采购的，参加联合体的投标人均应当具备投标人的资格条件，并应当向采购人提交联合协议，载明联合体各方承担的工作和义务。联合体各方应当共同与采购人签订采购合同，就采购合同约定的事项对采购人承担连带责任。否则，将导致其</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投标无效。（适用于联合体投标）</w:t>
      </w:r>
    </w:p>
    <w:p w14:paraId="4B4F481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2" w:leftChars="1" w:right="61"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3.2.3 联合体各方均应当满足相应的资格条件，项目中有特定资质要求的，联合体当中承担此项工作的投标人必须具备相应的资质。联合体中标后，必须由联合体中具备“相应 ”资质的投标人承担，否则将承担违约责任，并赔偿因违约给采购人造成的一切损失。</w:t>
      </w:r>
    </w:p>
    <w:p w14:paraId="1032B4D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3.2.4 以联合体参加投标的，联合体中有同类资质的投标人按联合体分工承担相同工作的，应当按照资质等级较低的投标人确定资质等级。</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368C3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61" w:hanging="480" w:hangingChars="200"/>
        <w:jc w:val="both"/>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3.2.5 联合体各方不得再单独参加或者与其他投标人另外组成联合体参加同一合同项下的政府采购活动。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2DC6CAA0">
      <w:pPr>
        <w:pageBreakBefore w:val="0"/>
        <w:widowControl w:val="0"/>
        <w:wordWrap/>
        <w:overflowPunct/>
        <w:topLinePunct w:val="0"/>
        <w:bidi w:val="0"/>
        <w:spacing w:beforeAutospacing="0" w:afterAutospacing="0" w:line="220" w:lineRule="auto"/>
        <w:ind w:left="0" w:leftChars="0" w:firstLine="0" w:firstLineChars="0"/>
        <w:jc w:val="both"/>
        <w:outlineLvl w:val="1"/>
        <w:rPr>
          <w:rFonts w:hint="eastAsia" w:ascii="宋体" w:hAnsi="宋体" w:eastAsia="宋体" w:cs="宋体"/>
          <w:color w:val="auto"/>
          <w:spacing w:val="0"/>
          <w:w w:val="100"/>
          <w:position w:val="0"/>
          <w:sz w:val="24"/>
          <w:szCs w:val="24"/>
          <w:highlight w:val="none"/>
          <w:lang w:eastAsia="zh-CN"/>
        </w:rPr>
      </w:pPr>
      <w:bookmarkStart w:id="26" w:name="_Toc93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4.</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投标费用</w:t>
      </w:r>
      <w:bookmarkEnd w:id="26"/>
    </w:p>
    <w:p w14:paraId="57068741">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ind w:left="479" w:leftChars="0" w:hanging="48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4.1 投标人应自行承担所有与准备和参加投标有关的全部费用。不论投标的结果如何，采</w:t>
      </w:r>
      <w:r>
        <w:rPr>
          <w:rFonts w:hint="eastAsia" w:ascii="宋体" w:hAnsi="宋体" w:eastAsia="宋体" w:cs="宋体"/>
          <w:color w:val="auto"/>
          <w:spacing w:val="0"/>
          <w:w w:val="100"/>
          <w:position w:val="0"/>
          <w:sz w:val="24"/>
          <w:szCs w:val="24"/>
          <w:highlight w:val="none"/>
          <w:lang w:val="en-US" w:eastAsia="zh-CN"/>
        </w:rPr>
        <w:t>购代理机构均无义务和责任承担这些费用。</w:t>
      </w:r>
    </w:p>
    <w:p w14:paraId="291C407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27" w:name="_Toc1914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5.投标人代表</w:t>
      </w:r>
      <w:bookmarkEnd w:id="27"/>
    </w:p>
    <w:p w14:paraId="116D7856">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483" w:leftChars="0" w:hanging="48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5.1 指全权代表投标人参加投标活动并签署投标文件的人。如果投标人代表不是法定代表人，须持有《法定代表人授权书》。</w:t>
      </w:r>
    </w:p>
    <w:p w14:paraId="0BD0DDA1">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2" w:leftChars="1" w:firstLine="0" w:firstLineChars="0"/>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28" w:name="_Toc2100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6.招标文件的构成</w:t>
      </w:r>
      <w:bookmarkEnd w:id="28"/>
    </w:p>
    <w:p w14:paraId="047C98BA">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240" w:lineRule="auto"/>
        <w:ind w:left="480" w:leftChars="0"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6.1 要求提供的货物和附属服务、招标过程和合同条款在招标文件中均有说明。</w:t>
      </w:r>
    </w:p>
    <w:p w14:paraId="01A0C737">
      <w:pPr>
        <w:keepNext w:val="0"/>
        <w:keepLines w:val="0"/>
        <w:pageBreakBefore w:val="0"/>
        <w:widowControl w:val="0"/>
        <w:kinsoku w:val="0"/>
        <w:wordWrap/>
        <w:overflowPunct/>
        <w:topLinePunct w:val="0"/>
        <w:autoSpaceDE w:val="0"/>
        <w:autoSpaceDN w:val="0"/>
        <w:bidi w:val="0"/>
        <w:adjustRightInd w:val="0"/>
        <w:snapToGrid w:val="0"/>
        <w:spacing w:before="0" w:beforeLines="69" w:beforeAutospacing="0" w:after="0" w:afterLines="50" w:afterAutospacing="0" w:line="240" w:lineRule="auto"/>
        <w:ind w:left="479" w:leftChars="228"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招标文件共六章，各章的内容如下：</w:t>
      </w:r>
    </w:p>
    <w:p w14:paraId="1515B3B7">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第一章 投标邀请</w:t>
      </w:r>
    </w:p>
    <w:p w14:paraId="69EDAB6F">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第二章 投标人须知</w:t>
      </w:r>
    </w:p>
    <w:p w14:paraId="68E4BE61">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第三章 拟签订的合同文本</w:t>
      </w:r>
    </w:p>
    <w:p w14:paraId="3A701B28">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第四章 投标文件格式</w:t>
      </w:r>
    </w:p>
    <w:p w14:paraId="5D1A72AA">
      <w:pPr>
        <w:keepNext w:val="0"/>
        <w:keepLines w:val="0"/>
        <w:pageBreakBefore w:val="0"/>
        <w:widowControl w:val="0"/>
        <w:kinsoku w:val="0"/>
        <w:wordWrap/>
        <w:overflowPunct/>
        <w:topLinePunct w:val="0"/>
        <w:autoSpaceDE w:val="0"/>
        <w:autoSpaceDN w:val="0"/>
        <w:bidi w:val="0"/>
        <w:adjustRightInd w:val="0"/>
        <w:snapToGrid w:val="0"/>
        <w:spacing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第五章 货物需求表及采购需求</w:t>
      </w:r>
    </w:p>
    <w:p w14:paraId="7764AE46">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48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第六章 评标标</w:t>
      </w:r>
      <w:r>
        <w:rPr>
          <w:rFonts w:hint="eastAsia" w:ascii="宋体" w:hAnsi="宋体" w:eastAsia="宋体" w:cs="宋体"/>
          <w:color w:val="auto"/>
          <w:spacing w:val="0"/>
          <w:position w:val="0"/>
          <w:sz w:val="24"/>
          <w:szCs w:val="24"/>
          <w:highlight w:val="none"/>
          <w:lang w:val="en-US" w:eastAsia="zh-CN"/>
        </w:rPr>
        <w:t>准</w:t>
      </w:r>
    </w:p>
    <w:p w14:paraId="74E1897C">
      <w:pPr>
        <w:pageBreakBefore w:val="0"/>
        <w:widowControl w:val="0"/>
        <w:wordWrap/>
        <w:overflowPunct/>
        <w:topLinePunct w:val="0"/>
        <w:bidi w:val="0"/>
        <w:spacing w:beforeAutospacing="0" w:after="0" w:afterLines="70" w:afterAutospacing="0" w:line="468" w:lineRule="exact"/>
        <w:ind w:left="480" w:leftChars="0" w:hanging="480" w:hangingChars="200"/>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6.2 除非有特殊要求，招标文件不单独提供招标货物和附属售后服务使用地的自然环境、气候条件、公用设施等情况，投标人被视为熟悉上述与履行合同有关的一切情况。</w:t>
      </w:r>
    </w:p>
    <w:p w14:paraId="4CB85141">
      <w:pPr>
        <w:pageBreakBefore w:val="0"/>
        <w:widowControl w:val="0"/>
        <w:wordWrap/>
        <w:overflowPunct/>
        <w:topLinePunct w:val="0"/>
        <w:bidi w:val="0"/>
        <w:spacing w:beforeAutospacing="0" w:after="0" w:afterLines="83" w:afterAutospacing="0" w:line="219" w:lineRule="auto"/>
        <w:ind w:left="78" w:leftChars="37" w:firstLine="0" w:firstLineChars="0"/>
        <w:jc w:val="both"/>
        <w:outlineLvl w:val="1"/>
        <w:rPr>
          <w:rFonts w:hint="eastAsia" w:ascii="宋体" w:hAnsi="宋体" w:eastAsia="宋体" w:cs="宋体"/>
          <w:color w:val="auto"/>
          <w:spacing w:val="0"/>
          <w:w w:val="100"/>
          <w:position w:val="0"/>
          <w:sz w:val="24"/>
          <w:szCs w:val="24"/>
          <w:highlight w:val="none"/>
          <w:lang w:eastAsia="zh-CN"/>
        </w:rPr>
      </w:pPr>
      <w:bookmarkStart w:id="29" w:name="_Toc3216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7.投标人应当提交的资格、资信证明文件</w:t>
      </w:r>
      <w:bookmarkEnd w:id="29"/>
    </w:p>
    <w:p w14:paraId="7D9E0C6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 w:leftChars="2" w:firstLine="74" w:firstLineChars="3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7.1 </w:t>
      </w:r>
      <w:r>
        <w:rPr>
          <w:rFonts w:hint="eastAsia" w:ascii="宋体" w:hAnsi="宋体" w:eastAsia="宋体" w:cs="宋体"/>
          <w:color w:val="auto"/>
          <w:spacing w:val="0"/>
          <w:w w:val="100"/>
          <w:position w:val="0"/>
          <w:sz w:val="24"/>
          <w:szCs w:val="24"/>
          <w:highlight w:val="none"/>
          <w:lang w:eastAsia="zh-CN"/>
        </w:rPr>
        <w:t>具有独立承担民事责任的能力的资格证明文件；</w:t>
      </w:r>
    </w:p>
    <w:p w14:paraId="410DC97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lang w:eastAsia="zh-CN"/>
        </w:rPr>
        <w:t>具有良好的商业信誉和健全的财务会计制度的证明文件；</w:t>
      </w:r>
    </w:p>
    <w:p w14:paraId="24DE529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3 </w:t>
      </w:r>
      <w:r>
        <w:rPr>
          <w:rFonts w:hint="eastAsia" w:ascii="宋体" w:hAnsi="宋体" w:eastAsia="宋体" w:cs="宋体"/>
          <w:color w:val="auto"/>
          <w:spacing w:val="0"/>
          <w:w w:val="100"/>
          <w:position w:val="0"/>
          <w:sz w:val="24"/>
          <w:szCs w:val="24"/>
          <w:highlight w:val="none"/>
          <w:lang w:eastAsia="zh-CN"/>
        </w:rPr>
        <w:t>具有履行合同所必需的设备和专业技术能力的证明文件；</w:t>
      </w:r>
    </w:p>
    <w:p w14:paraId="4A5D830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4 </w:t>
      </w:r>
      <w:r>
        <w:rPr>
          <w:rFonts w:hint="eastAsia" w:ascii="宋体" w:hAnsi="宋体" w:eastAsia="宋体" w:cs="宋体"/>
          <w:color w:val="auto"/>
          <w:spacing w:val="0"/>
          <w:w w:val="100"/>
          <w:position w:val="0"/>
          <w:sz w:val="24"/>
          <w:szCs w:val="24"/>
          <w:highlight w:val="none"/>
          <w:lang w:eastAsia="zh-CN"/>
        </w:rPr>
        <w:t>有依法缴纳税收和社会保障资金的良好记录的证明文件；</w:t>
      </w:r>
    </w:p>
    <w:p w14:paraId="676D08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978" w:leftChars="36" w:hanging="902" w:hangingChars="37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5 </w:t>
      </w:r>
      <w:r>
        <w:rPr>
          <w:rFonts w:hint="eastAsia" w:ascii="宋体" w:hAnsi="宋体" w:eastAsia="宋体" w:cs="宋体"/>
          <w:color w:val="auto"/>
          <w:spacing w:val="0"/>
          <w:w w:val="100"/>
          <w:position w:val="0"/>
          <w:sz w:val="24"/>
          <w:szCs w:val="24"/>
          <w:highlight w:val="none"/>
          <w:lang w:eastAsia="zh-CN"/>
        </w:rPr>
        <w:t>参加政府采购</w:t>
      </w:r>
      <w:r>
        <w:rPr>
          <w:rFonts w:hint="eastAsia" w:ascii="宋体" w:hAnsi="宋体" w:eastAsia="宋体" w:cs="宋体"/>
          <w:color w:val="auto"/>
          <w:spacing w:val="0"/>
          <w:w w:val="100"/>
          <w:position w:val="0"/>
          <w:sz w:val="24"/>
          <w:szCs w:val="24"/>
          <w:highlight w:val="none"/>
          <w:lang w:val="en-US" w:eastAsia="zh-CN"/>
        </w:rPr>
        <w:t>活动</w:t>
      </w:r>
      <w:r>
        <w:rPr>
          <w:rFonts w:hint="eastAsia" w:ascii="宋体" w:hAnsi="宋体" w:eastAsia="宋体" w:cs="宋体"/>
          <w:color w:val="auto"/>
          <w:spacing w:val="0"/>
          <w:w w:val="100"/>
          <w:position w:val="0"/>
          <w:sz w:val="24"/>
          <w:szCs w:val="24"/>
          <w:highlight w:val="none"/>
          <w:lang w:eastAsia="zh-CN"/>
        </w:rPr>
        <w:t>前三年内，在经营活动中没有重大违法记录的证明文件；</w:t>
      </w:r>
    </w:p>
    <w:p w14:paraId="5738B4E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6 </w:t>
      </w:r>
      <w:r>
        <w:rPr>
          <w:rFonts w:hint="eastAsia" w:ascii="宋体" w:hAnsi="宋体" w:eastAsia="宋体" w:cs="宋体"/>
          <w:color w:val="auto"/>
          <w:spacing w:val="0"/>
          <w:w w:val="100"/>
          <w:position w:val="0"/>
          <w:sz w:val="24"/>
          <w:szCs w:val="24"/>
          <w:highlight w:val="none"/>
          <w:lang w:eastAsia="zh-CN"/>
        </w:rPr>
        <w:t>法定代表人授权书；（格式详见“第四章投标文件格式 7-</w:t>
      </w: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w:t>
      </w:r>
    </w:p>
    <w:p w14:paraId="47D9921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7 </w:t>
      </w:r>
      <w:r>
        <w:rPr>
          <w:rFonts w:hint="eastAsia" w:ascii="宋体" w:hAnsi="宋体" w:eastAsia="宋体" w:cs="宋体"/>
          <w:color w:val="auto"/>
          <w:spacing w:val="0"/>
          <w:w w:val="100"/>
          <w:position w:val="0"/>
          <w:sz w:val="24"/>
          <w:szCs w:val="24"/>
          <w:highlight w:val="none"/>
          <w:lang w:eastAsia="zh-CN"/>
        </w:rPr>
        <w:t>投标人的资格声明；（格式详见“第四章投标文件格式 7-</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 xml:space="preserve"> ”）</w:t>
      </w:r>
    </w:p>
    <w:p w14:paraId="35F78A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6" w:leftChars="3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8 </w:t>
      </w:r>
      <w:r>
        <w:rPr>
          <w:rFonts w:hint="eastAsia" w:ascii="宋体" w:hAnsi="宋体" w:eastAsia="宋体" w:cs="宋体"/>
          <w:color w:val="auto"/>
          <w:spacing w:val="0"/>
          <w:w w:val="100"/>
          <w:position w:val="0"/>
          <w:sz w:val="24"/>
          <w:szCs w:val="24"/>
          <w:highlight w:val="none"/>
          <w:lang w:eastAsia="zh-CN"/>
        </w:rPr>
        <w:t>投标保证金凭证；（格式详见“第四章投标文件格式 7-</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w:t>
      </w:r>
    </w:p>
    <w:p w14:paraId="701680FB">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6" w:leftChars="36" w:right="2"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w:t>
      </w:r>
      <w:r>
        <w:rPr>
          <w:rFonts w:hint="eastAsia" w:ascii="宋体" w:hAnsi="宋体" w:eastAsia="宋体" w:cs="宋体"/>
          <w:color w:val="auto"/>
          <w:spacing w:val="0"/>
          <w:w w:val="100"/>
          <w:position w:val="0"/>
          <w:sz w:val="24"/>
          <w:szCs w:val="24"/>
          <w:highlight w:val="none"/>
          <w:lang w:val="en-US" w:eastAsia="zh-CN"/>
        </w:rPr>
        <w:t xml:space="preserve">9 </w:t>
      </w:r>
      <w:r>
        <w:rPr>
          <w:rFonts w:hint="eastAsia" w:ascii="宋体" w:hAnsi="宋体" w:eastAsia="宋体" w:cs="宋体"/>
          <w:color w:val="auto"/>
          <w:spacing w:val="0"/>
          <w:w w:val="100"/>
          <w:position w:val="0"/>
          <w:sz w:val="24"/>
          <w:szCs w:val="24"/>
          <w:highlight w:val="none"/>
          <w:lang w:eastAsia="zh-CN"/>
        </w:rPr>
        <w:t>制造商出具的授权函或投标人与制造商的经销协议、代理协议（格式详见“第四章投标文件格式 7-</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”，招标文件另有规定的从其规定）；</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（适用于进口产品）</w:t>
      </w:r>
    </w:p>
    <w:p w14:paraId="1F7BEDD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55" w:leftChars="6" w:hanging="542" w:hangingChars="22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 xml:space="preserve">0 </w:t>
      </w:r>
      <w:r>
        <w:rPr>
          <w:rFonts w:hint="eastAsia" w:ascii="宋体" w:hAnsi="宋体" w:eastAsia="宋体" w:cs="宋体"/>
          <w:color w:val="auto"/>
          <w:spacing w:val="0"/>
          <w:w w:val="100"/>
          <w:position w:val="0"/>
          <w:sz w:val="24"/>
          <w:szCs w:val="24"/>
          <w:highlight w:val="none"/>
          <w:lang w:eastAsia="zh-CN"/>
        </w:rPr>
        <w:t>联合体协议；（格式详见“第四章投标文件格式 7-</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340C449">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 w:leftChars="3"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7.1</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b w:val="0"/>
          <w:bCs/>
          <w:color w:val="auto"/>
          <w:spacing w:val="0"/>
          <w:w w:val="100"/>
          <w:position w:val="0"/>
          <w:sz w:val="24"/>
          <w:szCs w:val="24"/>
          <w:highlight w:val="none"/>
        </w:rPr>
        <w:t>本项目的特定资格证明材料</w:t>
      </w:r>
      <w:r>
        <w:rPr>
          <w:rFonts w:hint="eastAsia" w:ascii="宋体" w:hAnsi="宋体" w:eastAsia="宋体" w:cs="宋体"/>
          <w:b w:val="0"/>
          <w:bCs/>
          <w:color w:val="auto"/>
          <w:spacing w:val="0"/>
          <w:w w:val="100"/>
          <w:position w:val="0"/>
          <w:sz w:val="24"/>
          <w:szCs w:val="24"/>
          <w:highlight w:val="none"/>
          <w:lang w:eastAsia="zh-CN"/>
        </w:rPr>
        <w:t>。</w:t>
      </w:r>
    </w:p>
    <w:p w14:paraId="3BC1B35B">
      <w:pPr>
        <w:pageBreakBefore w:val="0"/>
        <w:widowControl w:val="0"/>
        <w:numPr>
          <w:ilvl w:val="0"/>
          <w:numId w:val="0"/>
        </w:numPr>
        <w:wordWrap/>
        <w:overflowPunct/>
        <w:topLinePunct w:val="0"/>
        <w:bidi w:val="0"/>
        <w:spacing w:before="78" w:line="360" w:lineRule="auto"/>
        <w:ind w:left="-363" w:leftChars="-173" w:firstLine="367" w:firstLineChars="153"/>
        <w:jc w:val="both"/>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30" w:name="_Toc28776"/>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为落实政府采购政策，采购标的需满足的要求，以及投标人须提供的证明材料</w:t>
      </w:r>
      <w:bookmarkEnd w:id="30"/>
    </w:p>
    <w:p w14:paraId="54F0479B">
      <w:pPr>
        <w:pageBreakBefore w:val="0"/>
        <w:widowControl w:val="0"/>
        <w:wordWrap/>
        <w:overflowPunct/>
        <w:topLinePunct w:val="0"/>
        <w:bidi w:val="0"/>
        <w:spacing w:before="184" w:line="220" w:lineRule="auto"/>
        <w:ind w:left="0" w:leftChars="0" w:firstLine="0" w:firstLineChars="0"/>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中小企业参加投标</w:t>
      </w:r>
    </w:p>
    <w:p w14:paraId="0D83B026">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8.1.1 中小企业（含中型、小型、微型企业，下同）应当符合以下条件：</w:t>
      </w:r>
    </w:p>
    <w:p w14:paraId="237C46F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（1）在中华人民共和国境内依法设立，符合国务院批准的中小企业划分标准（依据国务院批准的中小企业划分标准确定的中型企业、小型企业和微型企业，但与大企 业的负责人为同一人，或者与大企业存在直接控股、管理关系的除外），符合中小企业划分标准的个体工商户，在政府采购活动中视同中小企业；</w:t>
      </w:r>
    </w:p>
    <w:p w14:paraId="1FE2D9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（2）货物由中小企业制造，即货物由中小企业生产且使用该中小企业商号或者注册商标；本项所称货物不包括使用大型企业注册商标的货物；</w:t>
      </w:r>
    </w:p>
    <w:p w14:paraId="57DE87C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（3）小型、微型企业提供中型企业制造的货物的，视同为中型企业；</w:t>
      </w:r>
    </w:p>
    <w:p w14:paraId="257ECF0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（4）在货物采购项目中，投标人提供的货物既有中小企业制造货物，也有大型企业制造货物的，不享受中小企业扶持政策；</w:t>
      </w:r>
    </w:p>
    <w:p w14:paraId="7C309F8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（5）以联合体形式参加政府采购活动，联合体各方均为中小企业的，联合体视同中小企业。其中，联合体各方均为小微企业的，联合体视同小微企业；（适用于联合体投标）</w:t>
      </w:r>
    </w:p>
    <w:p w14:paraId="622FFF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15" w:leftChars="224" w:right="80" w:hanging="45" w:hangingChars="1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（6）组成联合体或者接受分包合同的中小企业与联合体内其他企业、分包</w:t>
      </w:r>
      <w:r>
        <w:rPr>
          <w:rFonts w:hint="eastAsia" w:ascii="宋体" w:hAnsi="宋体" w:eastAsia="宋体" w:cs="宋体"/>
          <w:color w:val="auto"/>
          <w:spacing w:val="0"/>
          <w:w w:val="100"/>
          <w:position w:val="0"/>
          <w:sz w:val="24"/>
          <w:szCs w:val="24"/>
          <w:highlight w:val="none"/>
          <w:lang w:eastAsia="zh-CN"/>
        </w:rPr>
        <w:t>企业之</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间不得存在直接控股、管理关系。</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(适用于涉及中小企业的联合体投标或者允许合同分</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包的采购项目</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p>
    <w:p w14:paraId="09A9190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20" w:leftChars="0" w:hanging="720" w:hangingChars="3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8.1.2 投标人提供的货物为中小企业制造的, 投标时提供招标文件</w:t>
      </w:r>
      <w:r>
        <w:rPr>
          <w:rFonts w:hint="eastAsia" w:ascii="宋体" w:hAnsi="宋体" w:eastAsia="宋体" w:cs="宋体"/>
          <w:color w:val="auto"/>
          <w:spacing w:val="0"/>
          <w:w w:val="100"/>
          <w:position w:val="0"/>
          <w:sz w:val="24"/>
          <w:szCs w:val="24"/>
          <w:highlight w:val="none"/>
          <w:lang w:val="en-US" w:eastAsia="zh-CN"/>
        </w:rPr>
        <w:t>规定的</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中小企业声明</w:t>
      </w:r>
      <w:r>
        <w:rPr>
          <w:rFonts w:hint="eastAsia" w:ascii="宋体" w:hAnsi="宋体" w:eastAsia="宋体" w:cs="宋体"/>
          <w:color w:val="auto"/>
          <w:spacing w:val="0"/>
          <w:w w:val="100"/>
          <w:position w:val="0"/>
          <w:sz w:val="24"/>
          <w:szCs w:val="24"/>
          <w:highlight w:val="none"/>
          <w:lang w:eastAsia="zh-CN"/>
        </w:rPr>
        <w:t>函》（格式详见“第四章投标文件格式 8-1 ”），并对声明函的真实性负责，</w:t>
      </w:r>
      <w:r>
        <w:rPr>
          <w:rFonts w:hint="eastAsia" w:ascii="宋体" w:hAnsi="宋体" w:eastAsia="宋体" w:cs="宋体"/>
          <w:color w:val="auto"/>
          <w:spacing w:val="0"/>
          <w:w w:val="100"/>
          <w:position w:val="0"/>
          <w:sz w:val="24"/>
          <w:szCs w:val="24"/>
          <w:highlight w:val="none"/>
          <w:lang w:val="en-US" w:eastAsia="zh-CN"/>
        </w:rPr>
        <w:t>未提供</w:t>
      </w:r>
      <w:r>
        <w:rPr>
          <w:rFonts w:hint="eastAsia" w:ascii="宋体" w:hAnsi="宋体" w:eastAsia="宋体" w:cs="宋体"/>
          <w:color w:val="auto"/>
          <w:spacing w:val="0"/>
          <w:w w:val="100"/>
          <w:position w:val="0"/>
          <w:sz w:val="24"/>
          <w:szCs w:val="24"/>
          <w:highlight w:val="none"/>
          <w:lang w:eastAsia="zh-CN"/>
        </w:rPr>
        <w:t>不予享受预留份额、评审中价格扣除等政府采购促进中小企业发展的政府采购政策。投标人提供的《</w:t>
      </w:r>
      <w:r>
        <w:rPr>
          <w:rFonts w:hint="eastAsia" w:ascii="宋体" w:hAnsi="宋体" w:eastAsia="宋体" w:cs="宋体"/>
          <w:color w:val="auto"/>
          <w:spacing w:val="0"/>
          <w:w w:val="100"/>
          <w:position w:val="0"/>
          <w:sz w:val="24"/>
          <w:szCs w:val="24"/>
          <w:highlight w:val="none"/>
          <w:lang w:val="en-US" w:eastAsia="zh-CN"/>
        </w:rPr>
        <w:t>中小企业</w:t>
      </w:r>
      <w:r>
        <w:rPr>
          <w:rFonts w:hint="eastAsia" w:ascii="宋体" w:hAnsi="宋体" w:eastAsia="宋体" w:cs="宋体"/>
          <w:color w:val="auto"/>
          <w:spacing w:val="0"/>
          <w:w w:val="100"/>
          <w:position w:val="0"/>
          <w:sz w:val="24"/>
          <w:szCs w:val="24"/>
          <w:highlight w:val="none"/>
          <w:lang w:eastAsia="zh-CN"/>
        </w:rPr>
        <w:t>声明函》与事实不符的，依照《政府采购法》第七十七条第一款的规定追究法律责任。</w:t>
      </w:r>
    </w:p>
    <w:p w14:paraId="197006A0">
      <w:pPr>
        <w:pageBreakBefore w:val="0"/>
        <w:widowControl w:val="0"/>
        <w:wordWrap/>
        <w:overflowPunct/>
        <w:topLinePunct w:val="0"/>
        <w:bidi w:val="0"/>
        <w:spacing w:before="64" w:beforeAutospacing="0" w:line="220" w:lineRule="auto"/>
        <w:ind w:left="0" w:leftChars="0" w:firstLine="0" w:firstLineChars="0"/>
        <w:jc w:val="both"/>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监狱企业参加投标</w:t>
      </w:r>
    </w:p>
    <w:p w14:paraId="6C9BE1D0">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highlight w:val="none"/>
          <w:lang w:eastAsia="zh-CN"/>
        </w:rPr>
      </w:pPr>
      <w:bookmarkStart w:id="31" w:name="_Toc19067"/>
      <w:r>
        <w:rPr>
          <w:rFonts w:hint="eastAsia" w:ascii="宋体" w:hAnsi="宋体" w:eastAsia="宋体" w:cs="宋体"/>
          <w:color w:val="auto"/>
          <w:spacing w:val="0"/>
          <w:w w:val="100"/>
          <w:position w:val="0"/>
          <w:sz w:val="24"/>
          <w:szCs w:val="24"/>
          <w:highlight w:val="none"/>
          <w:lang w:eastAsia="zh-CN"/>
        </w:rPr>
        <w:t>8.2.1 监狱企业应当符合以下条件</w:t>
      </w:r>
      <w:bookmarkEnd w:id="31"/>
    </w:p>
    <w:p w14:paraId="6E7C896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718" w:leftChars="342" w:right="8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监狱企业是指由司法部认定的为罪犯、戒毒人员提供生产项目和劳动对象，且全部产权属于司法部监狱管理局、戒毒管理局、直属煤矿管理局，各省、 自治区、直辖市监狱管理局、戒毒管理局，各地（设区的市）监狱、强制隔离戒毒所、戒毒康复所，以及新疆生产建设兵团监狱管理局、戒毒管理局的企业。</w:t>
      </w:r>
    </w:p>
    <w:p w14:paraId="29E0D48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highlight w:val="none"/>
          <w:lang w:eastAsia="zh-CN"/>
        </w:rPr>
      </w:pPr>
      <w:bookmarkStart w:id="32" w:name="_Toc11370"/>
      <w:r>
        <w:rPr>
          <w:rFonts w:hint="eastAsia" w:ascii="宋体" w:hAnsi="宋体" w:eastAsia="宋体" w:cs="宋体"/>
          <w:color w:val="auto"/>
          <w:spacing w:val="0"/>
          <w:w w:val="100"/>
          <w:position w:val="0"/>
          <w:sz w:val="24"/>
          <w:szCs w:val="24"/>
          <w:highlight w:val="none"/>
          <w:lang w:eastAsia="zh-CN"/>
        </w:rPr>
        <w:t>8.2.2 监狱企业参加投标须提供的证明材料</w:t>
      </w:r>
      <w:bookmarkEnd w:id="32"/>
    </w:p>
    <w:p w14:paraId="13DC589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ind w:left="718" w:leftChars="342" w:right="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监狱企业参加政府采购活动时，提供由省级以上监狱管理局、戒毒管理局（含新疆生产建设兵团）出具的属于监狱企业的证明文件（格式详见“第四章投标文件格式 8-2 ”），</w:t>
      </w:r>
      <w:r>
        <w:rPr>
          <w:rFonts w:hint="eastAsia" w:ascii="宋体" w:hAnsi="宋体" w:eastAsia="宋体" w:cs="宋体"/>
          <w:color w:val="auto"/>
          <w:spacing w:val="0"/>
          <w:w w:val="100"/>
          <w:position w:val="0"/>
          <w:sz w:val="24"/>
          <w:szCs w:val="24"/>
          <w:highlight w:val="none"/>
          <w:lang w:val="en-US" w:eastAsia="zh-CN"/>
        </w:rPr>
        <w:t>未提供</w:t>
      </w:r>
      <w:r>
        <w:rPr>
          <w:rFonts w:hint="eastAsia" w:ascii="宋体" w:hAnsi="宋体" w:eastAsia="宋体" w:cs="宋体"/>
          <w:color w:val="auto"/>
          <w:spacing w:val="0"/>
          <w:w w:val="100"/>
          <w:position w:val="0"/>
          <w:sz w:val="24"/>
          <w:szCs w:val="24"/>
          <w:highlight w:val="none"/>
          <w:lang w:eastAsia="zh-CN"/>
        </w:rPr>
        <w:t>不予享受预留份额、评审中价格扣除等政府采购促进中小企业发展的政府采购政策。</w:t>
      </w:r>
    </w:p>
    <w:p w14:paraId="2BD72795">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残疾人福利性单位参加投标</w:t>
      </w:r>
    </w:p>
    <w:p w14:paraId="056A3A3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8.3.1 享受政府采购支持政策的残疾人福利性单位应当同时满足以下条件：</w:t>
      </w:r>
    </w:p>
    <w:p w14:paraId="684A9AD7">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（1）安置的残疾人占本单位在职职工人数的比例不低于 25%（含 25%），并且安置的残疾人人数不少于 10 人（含 10 人）；</w:t>
      </w:r>
    </w:p>
    <w:p w14:paraId="6A8F210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（2）依法与安置的每位残疾人签订了一年以上（含一年）的劳动合同或服务协议；</w:t>
      </w:r>
    </w:p>
    <w:p w14:paraId="414065B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（3）为安置的每位残疾人按月足额缴纳了基本养老保险、基本医疗保险、失业保险、工伤保险和生育保险等社会保险费；</w:t>
      </w:r>
    </w:p>
    <w:p w14:paraId="2494887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（4）通过银行等金融机构向安置的每位残疾人，按月支付了不低于单位所在区县</w:t>
      </w:r>
      <w:r>
        <w:rPr>
          <w:rFonts w:hint="eastAsia" w:ascii="宋体" w:hAnsi="宋体" w:eastAsia="宋体" w:cs="宋体"/>
          <w:color w:val="auto"/>
          <w:spacing w:val="0"/>
          <w:w w:val="100"/>
          <w:position w:val="0"/>
          <w:sz w:val="24"/>
          <w:szCs w:val="24"/>
          <w:highlight w:val="none"/>
          <w:lang w:val="en-US" w:eastAsia="zh-CN"/>
        </w:rPr>
        <w:t>适</w:t>
      </w:r>
      <w:r>
        <w:rPr>
          <w:rFonts w:hint="eastAsia" w:ascii="宋体" w:hAnsi="宋体" w:eastAsia="宋体" w:cs="宋体"/>
          <w:color w:val="auto"/>
          <w:spacing w:val="0"/>
          <w:w w:val="100"/>
          <w:position w:val="0"/>
          <w:sz w:val="24"/>
          <w:szCs w:val="24"/>
          <w:highlight w:val="none"/>
          <w:lang w:eastAsia="zh-CN"/>
        </w:rPr>
        <w:t>用的经省级人民政府批准的月最低工资标准的工资；</w:t>
      </w:r>
    </w:p>
    <w:p w14:paraId="09BAF4C1">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4" w:leftChars="228" w:hanging="105" w:hangingChars="4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（5）提供本单位制造的货物、承担的工程或者服务（以下简称产品），或者提供其他残疾人福利性单位制造的货物（不包括使用非残疾人福利性单位注册商标的货</w:t>
      </w:r>
      <w:r>
        <w:rPr>
          <w:rFonts w:hint="eastAsia" w:ascii="宋体" w:hAnsi="宋体" w:eastAsia="宋体" w:cs="宋体"/>
          <w:color w:val="auto"/>
          <w:spacing w:val="0"/>
          <w:w w:val="100"/>
          <w:position w:val="0"/>
          <w:sz w:val="24"/>
          <w:szCs w:val="24"/>
          <w:highlight w:val="none"/>
          <w:lang w:val="en-US" w:eastAsia="zh-CN"/>
        </w:rPr>
        <w:t>物）。</w:t>
      </w:r>
    </w:p>
    <w:p w14:paraId="2868734C">
      <w:pPr>
        <w:keepNext w:val="0"/>
        <w:keepLines w:val="0"/>
        <w:pageBreakBefore w:val="0"/>
        <w:widowControl w:val="0"/>
        <w:kinsoku w:val="0"/>
        <w:wordWrap/>
        <w:overflowPunct/>
        <w:topLinePunct w:val="0"/>
        <w:autoSpaceDE w:val="0"/>
        <w:autoSpaceDN w:val="0"/>
        <w:bidi w:val="0"/>
        <w:adjustRightInd w:val="0"/>
        <w:snapToGrid w:val="0"/>
        <w:spacing w:after="0" w:afterLines="19" w:afterAutospacing="0" w:line="360" w:lineRule="auto"/>
        <w:ind w:left="585" w:leftChars="0" w:hanging="585" w:hangingChars="24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8.3.2 前款所称残疾人是指法定劳动年龄内，持有《中华人民共和国残疾人证》或者《</w:t>
      </w:r>
      <w:r>
        <w:rPr>
          <w:rFonts w:hint="eastAsia" w:ascii="宋体" w:hAnsi="宋体" w:eastAsia="宋体" w:cs="宋体"/>
          <w:color w:val="auto"/>
          <w:spacing w:val="0"/>
          <w:w w:val="100"/>
          <w:position w:val="0"/>
          <w:sz w:val="24"/>
          <w:szCs w:val="24"/>
          <w:highlight w:val="none"/>
          <w:lang w:val="en-US" w:eastAsia="zh-CN"/>
        </w:rPr>
        <w:t>中华人民共和国残疾军人证（1 至 8 级）》的自然人，包括具有劳动条件和劳动意愿的精神残疾人。在职职工人数是指与残疾人福利性单位建立劳动关系并依法签订劳动合同或者服务协议的雇员人数。</w:t>
      </w:r>
    </w:p>
    <w:p w14:paraId="60B9DC63">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8.3.3 残疾人福利性单位参加投标须提供的证明材料：</w:t>
      </w:r>
    </w:p>
    <w:p w14:paraId="0B470EA7">
      <w:pPr>
        <w:keepNext w:val="0"/>
        <w:keepLines w:val="0"/>
        <w:pageBreakBefore w:val="0"/>
        <w:widowControl w:val="0"/>
        <w:kinsoku w:val="0"/>
        <w:wordWrap/>
        <w:overflowPunct/>
        <w:topLinePunct w:val="0"/>
        <w:autoSpaceDE w:val="0"/>
        <w:autoSpaceDN w:val="0"/>
        <w:bidi w:val="0"/>
        <w:adjustRightInd w:val="0"/>
        <w:snapToGrid w:val="0"/>
        <w:spacing w:line="360" w:lineRule="auto"/>
        <w:ind w:left="597" w:leftChars="227" w:right="105" w:hanging="120" w:hangingChars="5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（1）符合条件的残疾人福利性单位在参加政府采购活动时，提供《残疾人福利性单位声明函》（格式详见“第四章投标文件格式 8-3 ”），并对声明函的真实性负</w:t>
      </w:r>
      <w:r>
        <w:rPr>
          <w:rFonts w:hint="eastAsia" w:ascii="宋体" w:hAnsi="宋体" w:eastAsia="宋体" w:cs="宋体"/>
          <w:color w:val="auto"/>
          <w:spacing w:val="0"/>
          <w:w w:val="100"/>
          <w:position w:val="0"/>
          <w:sz w:val="24"/>
          <w:szCs w:val="24"/>
          <w:highlight w:val="none"/>
          <w:lang w:val="en-US" w:eastAsia="zh-CN"/>
        </w:rPr>
        <w:t>责，未提供</w:t>
      </w:r>
      <w:r>
        <w:rPr>
          <w:rFonts w:hint="eastAsia" w:ascii="宋体" w:hAnsi="宋体" w:eastAsia="宋体" w:cs="宋体"/>
          <w:color w:val="auto"/>
          <w:spacing w:val="0"/>
          <w:w w:val="100"/>
          <w:position w:val="0"/>
          <w:sz w:val="24"/>
          <w:szCs w:val="24"/>
          <w:highlight w:val="none"/>
          <w:lang w:eastAsia="zh-CN"/>
        </w:rPr>
        <w:t>不予享受预留份额、评审中价格扣除等政府采购促进中小企业发展的政府采购政策</w:t>
      </w:r>
      <w:r>
        <w:rPr>
          <w:rFonts w:hint="eastAsia" w:ascii="宋体" w:hAnsi="宋体" w:eastAsia="宋体" w:cs="宋体"/>
          <w:color w:val="auto"/>
          <w:spacing w:val="0"/>
          <w:w w:val="100"/>
          <w:position w:val="0"/>
          <w:sz w:val="24"/>
          <w:szCs w:val="24"/>
          <w:highlight w:val="none"/>
          <w:lang w:val="en-US" w:eastAsia="zh-CN"/>
        </w:rPr>
        <w:t>；</w:t>
      </w:r>
    </w:p>
    <w:p w14:paraId="0395BC99">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97" w:leftChars="227" w:hanging="120" w:hangingChars="50"/>
        <w:jc w:val="left"/>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（2）投标人提供的《残疾人福利性单位声明函》与事实不符的，依照《政府采购</w:t>
      </w:r>
      <w:bookmarkStart w:id="33" w:name="bookmark26"/>
      <w:bookmarkEnd w:id="33"/>
      <w:r>
        <w:rPr>
          <w:rFonts w:hint="eastAsia" w:ascii="宋体" w:hAnsi="宋体" w:eastAsia="宋体" w:cs="宋体"/>
          <w:color w:val="auto"/>
          <w:spacing w:val="0"/>
          <w:w w:val="100"/>
          <w:position w:val="0"/>
          <w:sz w:val="24"/>
          <w:szCs w:val="24"/>
          <w:highlight w:val="none"/>
          <w:lang w:val="en-US" w:eastAsia="zh-CN"/>
        </w:rPr>
        <w:t>法》第七十七条第一款的规定追究法律责任。</w:t>
      </w:r>
    </w:p>
    <w:p w14:paraId="2C1A7324">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6" w:leftChars="22" w:firstLine="0" w:firstLineChars="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本项目是否专门面向中小企业预留采购份额见第一章“投标邀请”。采购标的对应的中小企业划分标准所属行业见第二章“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投标人须知前附表</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w:t>
      </w:r>
    </w:p>
    <w:p w14:paraId="1E6FF3B0">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line="360" w:lineRule="auto"/>
        <w:ind w:left="532" w:leftChars="0" w:hanging="532" w:hangingChars="222"/>
        <w:jc w:val="both"/>
        <w:textAlignment w:val="baseline"/>
        <w:rPr>
          <w:rFonts w:hint="eastAsia" w:ascii="宋体" w:hAnsi="宋体" w:eastAsia="宋体" w:cs="宋体"/>
          <w:b w:val="0"/>
          <w:bCs w:val="0"/>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8.4</w:t>
      </w:r>
      <w:r>
        <w:rPr>
          <w:rFonts w:hint="eastAsia" w:ascii="宋体" w:hAnsi="宋体" w:eastAsia="宋体" w:cs="宋体"/>
          <w:b w:val="0"/>
          <w:bCs w:val="0"/>
          <w:color w:val="auto"/>
          <w:spacing w:val="0"/>
          <w:position w:val="0"/>
          <w:sz w:val="24"/>
          <w:szCs w:val="24"/>
          <w:highlight w:val="none"/>
          <w:lang w:val="en-US" w:eastAsia="zh-CN"/>
        </w:rPr>
        <w:t xml:space="preserve">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对小型和微型企业、监狱企业、残疾人福利性单位产品参加投标享受的政策。</w:t>
      </w:r>
    </w:p>
    <w:p w14:paraId="2B3C0AF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4.1 </w:t>
      </w:r>
      <w:r>
        <w:rPr>
          <w:rFonts w:hint="eastAsia" w:ascii="宋体" w:hAnsi="宋体" w:eastAsia="宋体" w:cs="宋体"/>
          <w:color w:val="auto"/>
          <w:spacing w:val="0"/>
          <w:position w:val="0"/>
          <w:sz w:val="24"/>
          <w:szCs w:val="24"/>
          <w:highlight w:val="none"/>
          <w:lang w:eastAsia="zh-CN"/>
        </w:rPr>
        <w:t>非专门面向中小企业</w:t>
      </w:r>
      <w:r>
        <w:rPr>
          <w:rFonts w:hint="eastAsia" w:ascii="宋体" w:hAnsi="宋体" w:eastAsia="宋体" w:cs="宋体"/>
          <w:color w:val="auto"/>
          <w:spacing w:val="0"/>
          <w:position w:val="0"/>
          <w:sz w:val="24"/>
          <w:szCs w:val="24"/>
          <w:highlight w:val="none"/>
          <w:lang w:val="en-US" w:eastAsia="zh-CN"/>
        </w:rPr>
        <w:t>采购的</w:t>
      </w:r>
      <w:r>
        <w:rPr>
          <w:rFonts w:hint="eastAsia" w:ascii="宋体" w:hAnsi="宋体" w:eastAsia="宋体" w:cs="宋体"/>
          <w:color w:val="auto"/>
          <w:spacing w:val="0"/>
          <w:position w:val="0"/>
          <w:sz w:val="24"/>
          <w:szCs w:val="24"/>
          <w:highlight w:val="none"/>
          <w:lang w:eastAsia="zh-CN"/>
        </w:rPr>
        <w:t>项目，小微企业报价给予</w:t>
      </w:r>
      <w:r>
        <w:rPr>
          <w:rFonts w:hint="eastAsia" w:ascii="宋体" w:hAnsi="宋体" w:eastAsia="宋体" w:cs="宋体"/>
          <w:color w:val="auto"/>
          <w:spacing w:val="0"/>
          <w:position w:val="0"/>
          <w:sz w:val="24"/>
          <w:szCs w:val="24"/>
          <w:highlight w:val="none"/>
          <w:lang w:val="en-US" w:eastAsia="zh-CN"/>
        </w:rPr>
        <w:t>价格</w:t>
      </w:r>
      <w:r>
        <w:rPr>
          <w:rFonts w:hint="eastAsia" w:ascii="宋体" w:hAnsi="宋体" w:eastAsia="宋体" w:cs="宋体"/>
          <w:color w:val="auto"/>
          <w:spacing w:val="0"/>
          <w:position w:val="0"/>
          <w:sz w:val="24"/>
          <w:szCs w:val="24"/>
          <w:highlight w:val="none"/>
          <w:lang w:eastAsia="zh-CN"/>
        </w:rPr>
        <w:t>扣除</w:t>
      </w:r>
      <w:r>
        <w:rPr>
          <w:rFonts w:hint="eastAsia" w:ascii="宋体" w:hAnsi="宋体" w:eastAsia="宋体" w:cs="宋体"/>
          <w:color w:val="auto"/>
          <w:spacing w:val="0"/>
          <w:position w:val="0"/>
          <w:sz w:val="24"/>
          <w:szCs w:val="24"/>
          <w:highlight w:val="none"/>
          <w:lang w:val="en-US" w:eastAsia="zh-CN"/>
        </w:rPr>
        <w:t>优惠</w:t>
      </w:r>
      <w:r>
        <w:rPr>
          <w:rFonts w:hint="eastAsia" w:ascii="宋体" w:hAnsi="宋体" w:eastAsia="宋体" w:cs="宋体"/>
          <w:color w:val="auto"/>
          <w:spacing w:val="0"/>
          <w:position w:val="0"/>
          <w:sz w:val="24"/>
          <w:szCs w:val="24"/>
          <w:highlight w:val="none"/>
          <w:lang w:eastAsia="zh-CN"/>
        </w:rPr>
        <w:t>，用扣除后的价格参加评审。</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（适用于非专门面向或未预留份额专门面向中小企业。对于专门面向或预留份额专门面向中小企业采购的项目或者采购包，不再执行价格评审优惠，享受政策内容详见第二章“投标人须知前附表”）</w:t>
      </w:r>
    </w:p>
    <w:p w14:paraId="43F1FA9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8.4</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 xml:space="preserve">2 </w:t>
      </w:r>
      <w:r>
        <w:rPr>
          <w:rFonts w:hint="eastAsia" w:ascii="宋体" w:hAnsi="宋体" w:eastAsia="宋体" w:cs="宋体"/>
          <w:color w:val="auto"/>
          <w:spacing w:val="0"/>
          <w:position w:val="0"/>
          <w:sz w:val="24"/>
          <w:szCs w:val="24"/>
          <w:highlight w:val="none"/>
          <w:lang w:eastAsia="zh-CN"/>
        </w:rPr>
        <w:t>监狱企业视同小型、微型企业，享受预留份额、评审中价格扣除等政府促进中小</w:t>
      </w:r>
      <w:r>
        <w:rPr>
          <w:rFonts w:hint="eastAsia" w:ascii="宋体" w:hAnsi="宋体" w:eastAsia="宋体" w:cs="宋体"/>
          <w:color w:val="auto"/>
          <w:spacing w:val="0"/>
          <w:position w:val="0"/>
          <w:sz w:val="24"/>
          <w:szCs w:val="24"/>
          <w:highlight w:val="none"/>
          <w:lang w:val="en-US" w:eastAsia="zh-CN"/>
        </w:rPr>
        <w:t>企业</w:t>
      </w:r>
      <w:r>
        <w:rPr>
          <w:rFonts w:hint="eastAsia" w:ascii="宋体" w:hAnsi="宋体" w:eastAsia="宋体" w:cs="宋体"/>
          <w:color w:val="auto"/>
          <w:spacing w:val="0"/>
          <w:position w:val="0"/>
          <w:sz w:val="24"/>
          <w:szCs w:val="24"/>
          <w:highlight w:val="none"/>
          <w:lang w:eastAsia="zh-CN"/>
        </w:rPr>
        <w:t>发展的政府采购政策。</w:t>
      </w:r>
    </w:p>
    <w:p w14:paraId="630CF7A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hanging="480" w:hangingChars="200"/>
        <w:jc w:val="both"/>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 xml:space="preserve">8.4.3 </w:t>
      </w:r>
      <w:r>
        <w:rPr>
          <w:rFonts w:hint="eastAsia" w:ascii="宋体" w:hAnsi="宋体" w:eastAsia="宋体" w:cs="宋体"/>
          <w:color w:val="auto"/>
          <w:spacing w:val="0"/>
          <w:position w:val="0"/>
          <w:sz w:val="24"/>
          <w:szCs w:val="24"/>
          <w:highlight w:val="none"/>
          <w:lang w:eastAsia="zh-CN"/>
        </w:rPr>
        <w:t>残疾人福利性单位视同小型、微型企业，享受预留份额、评审中价格扣除等政府促进中小企业发展的政府采购政策。福利性单位属于小型、微型企业的，不重复享受政策。</w:t>
      </w:r>
    </w:p>
    <w:p w14:paraId="6FBFB02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80" w:leftChars="0" w:right="40" w:hanging="480" w:hangingChars="200"/>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lang w:val="en-US" w:eastAsia="zh-CN"/>
        </w:rPr>
        <w:t>8.4</w:t>
      </w:r>
      <w:r>
        <w:rPr>
          <w:rFonts w:hint="eastAsia" w:ascii="宋体" w:hAnsi="宋体" w:eastAsia="宋体" w:cs="宋体"/>
          <w:color w:val="auto"/>
          <w:spacing w:val="0"/>
          <w:position w:val="0"/>
          <w:sz w:val="24"/>
          <w:szCs w:val="24"/>
          <w:highlight w:val="none"/>
          <w:lang w:eastAsia="zh-CN"/>
        </w:rPr>
        <w:t>.</w:t>
      </w:r>
      <w:r>
        <w:rPr>
          <w:rFonts w:hint="eastAsia" w:ascii="宋体" w:hAnsi="宋体" w:eastAsia="宋体" w:cs="宋体"/>
          <w:color w:val="auto"/>
          <w:spacing w:val="0"/>
          <w:position w:val="0"/>
          <w:sz w:val="24"/>
          <w:szCs w:val="24"/>
          <w:highlight w:val="none"/>
          <w:lang w:val="en-US" w:eastAsia="zh-CN"/>
        </w:rPr>
        <w:t>4</w:t>
      </w:r>
      <w:r>
        <w:rPr>
          <w:rFonts w:hint="eastAsia" w:ascii="宋体" w:hAnsi="宋体" w:eastAsia="宋体" w:cs="宋体"/>
          <w:color w:val="auto"/>
          <w:spacing w:val="0"/>
          <w:position w:val="0"/>
          <w:sz w:val="24"/>
          <w:szCs w:val="24"/>
          <w:highlight w:val="none"/>
          <w:lang w:eastAsia="zh-CN"/>
        </w:rPr>
        <w:t xml:space="preserve"> 接受大中型企业与小微企业组成联合体或者允许大中型企业向一家或多家小微企业分包，对于联合协议或者分包意向协议约定小微型企业的合同份额占到联合体协议合同总金额 30%以上的，可给予联合体价格扣除</w:t>
      </w:r>
      <w:r>
        <w:rPr>
          <w:rFonts w:hint="eastAsia" w:ascii="宋体" w:hAnsi="宋体" w:eastAsia="宋体" w:cs="宋体"/>
          <w:color w:val="auto"/>
          <w:spacing w:val="0"/>
          <w:position w:val="0"/>
          <w:sz w:val="24"/>
          <w:szCs w:val="24"/>
          <w:highlight w:val="none"/>
          <w:lang w:val="en-US" w:eastAsia="zh-CN"/>
        </w:rPr>
        <w:t>优惠</w:t>
      </w:r>
      <w:r>
        <w:rPr>
          <w:rFonts w:hint="eastAsia" w:ascii="宋体" w:hAnsi="宋体" w:eastAsia="宋体" w:cs="宋体"/>
          <w:color w:val="auto"/>
          <w:spacing w:val="0"/>
          <w:position w:val="0"/>
          <w:sz w:val="24"/>
          <w:szCs w:val="24"/>
          <w:highlight w:val="none"/>
          <w:lang w:eastAsia="zh-CN"/>
        </w:rPr>
        <w:t>，用扣除后的价格参加评审。</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（适用于非专门面向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或未预留份额专门面向</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采购且允许</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联合体投标或合同分包的</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项目</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，如专门面向</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或预留份额专门面向</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中小企业</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采购不享受价格评审优惠</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w:t>
      </w:r>
    </w:p>
    <w:p w14:paraId="1048F76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26" w:leftChars="203" w:right="40" w:firstLine="57" w:firstLineChars="24"/>
        <w:jc w:val="both"/>
        <w:textAlignment w:val="baseline"/>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highlight w:val="none"/>
        </w:rPr>
        <w:t>联合体各方均为小型、微型企业的，联合体视同为小型、微型企业。</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5C7A8D29">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590" w:leftChars="0" w:firstLine="0" w:firstLineChars="0"/>
        <w:jc w:val="both"/>
        <w:textAlignment w:val="baseline"/>
        <w:rPr>
          <w:rFonts w:hint="eastAsia" w:ascii="宋体" w:hAnsi="宋体" w:eastAsia="宋体" w:cs="宋体"/>
          <w:spacing w:val="0"/>
          <w:w w:val="100"/>
          <w:position w:val="0"/>
          <w:highlight w:val="none"/>
          <w:lang w:val="en-US" w:eastAsia="zh-CN"/>
        </w:rPr>
      </w:pPr>
      <w:r>
        <w:rPr>
          <w:rFonts w:hint="eastAsia" w:ascii="宋体" w:hAnsi="宋体" w:eastAsia="宋体" w:cs="宋体"/>
          <w:color w:val="auto"/>
          <w:spacing w:val="0"/>
          <w:position w:val="0"/>
          <w:sz w:val="24"/>
          <w:szCs w:val="24"/>
          <w:highlight w:val="none"/>
        </w:rPr>
        <w:t>组成联合体的大中型企业和其他自然人、法人或者其他组织，与小型、微型企业之间不得存在投资关系。</w:t>
      </w:r>
      <w:r>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t>（适用于联合体投标）</w:t>
      </w:r>
    </w:p>
    <w:p w14:paraId="48EE4643">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0" w:afterLines="33" w:after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节能产品、环境标志产品参加投标</w:t>
      </w:r>
    </w:p>
    <w:p w14:paraId="7348497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.1 政府采购节能产品、环境标志产品实施品目清单管理。财政部、发展改革委、生态环境部等部门根据产品节能环保性能、技术水平和市场成熟程度等因素，确定实施政府优先采购和强制采购的产品类别及所依据的相关标准规范，以品目清单的形式发布并适时调整。依据品目清单和认证证书实施政府优先采购和强制采购。</w:t>
      </w:r>
    </w:p>
    <w:p w14:paraId="60D9542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5" w:leftChars="0" w:right="105" w:hanging="625"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8</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.2 采购人拟采购的产品属于品目清单范围的，采购人及其委托的采购代理机构依据国家确定的认证机构出具的、处于有效期之内的节能产品、环境标志产品认证证书，对获得证书的产品实施政府优先采购或强制采购。关于政府采购节能产品、环境标志产品的相关规定依据《关于调整优化节能产品、环境标志产品政府采购执行机制的通知》（财库〔2019〕9 号）。</w:t>
      </w:r>
    </w:p>
    <w:p w14:paraId="7FE86F6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4" w:leftChars="0" w:right="105" w:hanging="624" w:hangingChars="26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8.5.3 如本项目采购产品属于实施政府强制采购品目清单范围的节能产品，则投标人所投产品必须获得国家确定的认证机构出具的、处于有效期之内的节能产品认证证书</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彩色扫描件，否则投标无效。</w:t>
      </w:r>
    </w:p>
    <w:p w14:paraId="71B5DB78">
      <w:pPr>
        <w:keepNext w:val="0"/>
        <w:keepLines w:val="0"/>
        <w:pageBreakBefore w:val="0"/>
        <w:widowControl w:val="0"/>
        <w:kinsoku/>
        <w:wordWrap/>
        <w:overflowPunct/>
        <w:topLinePunct w:val="0"/>
        <w:autoSpaceDE w:val="0"/>
        <w:autoSpaceDN w:val="0"/>
        <w:bidi w:val="0"/>
        <w:adjustRightInd w:val="0"/>
        <w:snapToGrid w:val="0"/>
        <w:spacing w:before="47" w:beforeAutospacing="0" w:afterAutospacing="0" w:line="360" w:lineRule="auto"/>
        <w:ind w:left="631" w:leftChars="0" w:right="108" w:hanging="631" w:hangingChars="263"/>
        <w:jc w:val="both"/>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val="en-US" w:eastAsia="zh-CN"/>
        </w:rPr>
        <w:t>8.5.4 非政府强制采购的节能产品或环境标志产品，依据品目清单和认证证书实施政府优先采购。优先采购的具体规定见第六章《评标方法</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（如涉及）</w:t>
      </w:r>
      <w:r>
        <w:rPr>
          <w:rFonts w:hint="eastAsia" w:ascii="宋体" w:hAnsi="宋体" w:eastAsia="宋体" w:cs="宋体"/>
          <w:color w:val="auto"/>
          <w:spacing w:val="0"/>
          <w:w w:val="100"/>
          <w:position w:val="0"/>
          <w:sz w:val="24"/>
          <w:szCs w:val="24"/>
          <w:highlight w:val="none"/>
          <w:lang w:val="en-US" w:eastAsia="zh-CN"/>
        </w:rPr>
        <w:t>。</w:t>
      </w:r>
    </w:p>
    <w:p w14:paraId="4949233D">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 xml:space="preserve"> 招标文件对节能产品、环境标志产品另有规定的从其规定。</w:t>
      </w:r>
    </w:p>
    <w:p w14:paraId="76B1D8E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 xml:space="preserve">8.6 </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本国产品参加投标</w:t>
      </w:r>
    </w:p>
    <w:p w14:paraId="085F8369">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 </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本国产品应当符合以下条件：</w:t>
      </w:r>
    </w:p>
    <w:p w14:paraId="41574B8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.6.1.1</w:t>
      </w:r>
      <w:r>
        <w:rPr>
          <w:rFonts w:hint="eastAsia" w:ascii="宋体" w:hAnsi="宋体" w:eastAsia="宋体" w:cs="宋体"/>
          <w:i w:val="0"/>
          <w:iCs w:val="0"/>
          <w:caps w:val="0"/>
          <w:color w:val="auto"/>
          <w:spacing w:val="0"/>
          <w:sz w:val="24"/>
          <w:szCs w:val="24"/>
          <w:highlight w:val="none"/>
          <w:shd w:val="clear" w:fill="FFFFFF"/>
          <w:vertAlign w:val="baseline"/>
          <w:lang w:eastAsia="zh-CN"/>
        </w:rPr>
        <w:t>在中国境内生产</w:t>
      </w:r>
    </w:p>
    <w:p w14:paraId="2DF1A3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产品应当在中国境内生产，即在中华人民共和国关境内实现从原材料、组件到产品的属性改变。</w:t>
      </w:r>
    </w:p>
    <w:p w14:paraId="64B2A645">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属性改变是指经过制造、加工或者组装等工序，产生完全不同于原材料、组件的新产品，并具有新的名称和特征（用途）。属性改变不包括以下细微操作：</w:t>
      </w:r>
    </w:p>
    <w:p w14:paraId="230F135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①为确保产品在运输或者储存期间保持某种状态而进行的操作；</w:t>
      </w:r>
    </w:p>
    <w:p w14:paraId="1A9AB3D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eastAsia="zh-CN"/>
        </w:rPr>
        <w:t>②为产品运输或者销售进行的包装或者展示；</w:t>
      </w:r>
    </w:p>
    <w:p w14:paraId="2EF429BC">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③</w:t>
      </w:r>
      <w:r>
        <w:rPr>
          <w:rFonts w:hint="eastAsia" w:ascii="宋体" w:hAnsi="宋体" w:eastAsia="宋体" w:cs="宋体"/>
          <w:i w:val="0"/>
          <w:iCs w:val="0"/>
          <w:caps w:val="0"/>
          <w:color w:val="auto"/>
          <w:spacing w:val="0"/>
          <w:sz w:val="24"/>
          <w:szCs w:val="24"/>
          <w:highlight w:val="none"/>
          <w:shd w:val="clear" w:fill="FFFFFF"/>
          <w:vertAlign w:val="baseline"/>
          <w:lang w:eastAsia="zh-CN"/>
        </w:rPr>
        <w:t>在产品或者其包装上粘贴或者印刷品牌、标志、标识以及其他用于区别的标记；</w:t>
      </w:r>
    </w:p>
    <w:p w14:paraId="3AE48AD0">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④</w:t>
      </w:r>
      <w:r>
        <w:rPr>
          <w:rFonts w:hint="eastAsia" w:ascii="宋体" w:hAnsi="宋体" w:eastAsia="宋体" w:cs="宋体"/>
          <w:i w:val="0"/>
          <w:iCs w:val="0"/>
          <w:caps w:val="0"/>
          <w:color w:val="auto"/>
          <w:spacing w:val="0"/>
          <w:sz w:val="24"/>
          <w:szCs w:val="24"/>
          <w:highlight w:val="none"/>
          <w:shd w:val="clear" w:fill="FFFFFF"/>
          <w:vertAlign w:val="baseline"/>
          <w:lang w:eastAsia="zh-CN"/>
        </w:rPr>
        <w:t>简单的上漆、磨光和分装；</w:t>
      </w:r>
    </w:p>
    <w:p w14:paraId="3A970AF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420" w:firstLine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⑤</w:t>
      </w:r>
      <w:r>
        <w:rPr>
          <w:rFonts w:hint="eastAsia" w:ascii="宋体" w:hAnsi="宋体" w:eastAsia="宋体" w:cs="宋体"/>
          <w:i w:val="0"/>
          <w:iCs w:val="0"/>
          <w:caps w:val="0"/>
          <w:color w:val="auto"/>
          <w:spacing w:val="0"/>
          <w:sz w:val="24"/>
          <w:szCs w:val="24"/>
          <w:highlight w:val="none"/>
          <w:shd w:val="clear" w:fill="FFFFFF"/>
          <w:vertAlign w:val="baseline"/>
          <w:lang w:eastAsia="zh-CN"/>
        </w:rPr>
        <w:t>其他不属于属性改变的情形。</w:t>
      </w:r>
    </w:p>
    <w:p w14:paraId="7F0489CB">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 xml:space="preserve">.6.1.2 </w:t>
      </w:r>
      <w:r>
        <w:rPr>
          <w:rFonts w:hint="eastAsia" w:ascii="宋体" w:hAnsi="宋体" w:eastAsia="宋体" w:cs="宋体"/>
          <w:i w:val="0"/>
          <w:iCs w:val="0"/>
          <w:caps w:val="0"/>
          <w:color w:val="auto"/>
          <w:spacing w:val="0"/>
          <w:sz w:val="24"/>
          <w:szCs w:val="24"/>
          <w:highlight w:val="none"/>
          <w:shd w:val="clear" w:fill="FFFFFF"/>
          <w:vertAlign w:val="baseline"/>
          <w:lang w:eastAsia="zh-CN"/>
        </w:rPr>
        <w:t>在中国境内生产的组件成本占比达到规定比例</w:t>
      </w:r>
    </w:p>
    <w:p w14:paraId="26221B53">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8.6.1.3 </w:t>
      </w:r>
      <w:r>
        <w:rPr>
          <w:rFonts w:hint="eastAsia" w:ascii="宋体" w:hAnsi="宋体" w:eastAsia="宋体" w:cs="宋体"/>
          <w:i w:val="0"/>
          <w:iCs w:val="0"/>
          <w:caps w:val="0"/>
          <w:color w:val="auto"/>
          <w:spacing w:val="0"/>
          <w:sz w:val="24"/>
          <w:szCs w:val="24"/>
          <w:highlight w:val="none"/>
          <w:shd w:val="clear" w:fill="FFFFFF"/>
          <w:vertAlign w:val="baseline"/>
          <w:lang w:eastAsia="zh-CN"/>
        </w:rPr>
        <w:t>特定产品的关键组件、关键工序符合相关要求</w:t>
      </w:r>
    </w:p>
    <w:p w14:paraId="30AF4F68">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.6.1.2及</w:t>
      </w:r>
      <w:r>
        <w:rPr>
          <w:rFonts w:hint="eastAsia" w:ascii="宋体" w:hAnsi="宋体" w:eastAsia="宋体" w:cs="宋体"/>
          <w:i w:val="0"/>
          <w:iCs w:val="0"/>
          <w:caps w:val="0"/>
          <w:color w:val="auto"/>
          <w:spacing w:val="0"/>
          <w:sz w:val="24"/>
          <w:szCs w:val="24"/>
          <w:highlight w:val="none"/>
          <w:shd w:val="clear"/>
          <w:vertAlign w:val="baseline"/>
          <w:lang w:eastAsia="zh-CN"/>
        </w:rPr>
        <w:t>8</w:t>
      </w:r>
      <w:r>
        <w:rPr>
          <w:rFonts w:hint="eastAsia" w:ascii="宋体" w:hAnsi="宋体" w:eastAsia="宋体" w:cs="宋体"/>
          <w:i w:val="0"/>
          <w:iCs w:val="0"/>
          <w:caps w:val="0"/>
          <w:color w:val="auto"/>
          <w:spacing w:val="0"/>
          <w:sz w:val="24"/>
          <w:szCs w:val="24"/>
          <w:highlight w:val="none"/>
          <w:shd w:val="clear"/>
          <w:vertAlign w:val="baseline"/>
          <w:lang w:val="en-US" w:eastAsia="zh-CN"/>
        </w:rPr>
        <w:t>.6.1.3</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待</w:t>
      </w:r>
      <w:r>
        <w:rPr>
          <w:rFonts w:hint="eastAsia" w:ascii="宋体" w:hAnsi="宋体" w:eastAsia="宋体" w:cs="宋体"/>
          <w:i w:val="0"/>
          <w:iCs w:val="0"/>
          <w:caps w:val="0"/>
          <w:color w:val="auto"/>
          <w:spacing w:val="0"/>
          <w:sz w:val="24"/>
          <w:szCs w:val="24"/>
          <w:highlight w:val="none"/>
          <w:shd w:val="clear" w:fill="FFFFFF"/>
          <w:vertAlign w:val="baseline"/>
          <w:lang w:eastAsia="zh-CN"/>
        </w:rPr>
        <w:t>财政部会同有关行业主管部门确定在中国境内生产的组件成本占比要求及特定产品的关键组件、关键工序相关要求，出台具体要求时，</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以新出台的文件规定执行</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7B6BC3A2">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0" w:right="0" w:firstLine="0"/>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 </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参加投标享受的政策</w:t>
      </w:r>
      <w:r>
        <w:rPr>
          <w:rFonts w:hint="eastAsia" w:ascii="宋体" w:hAnsi="宋体" w:eastAsia="宋体" w:cs="宋体"/>
          <w:i w:val="0"/>
          <w:iCs w:val="0"/>
          <w:caps w:val="0"/>
          <w:color w:val="auto"/>
          <w:spacing w:val="0"/>
          <w:sz w:val="24"/>
          <w:szCs w:val="24"/>
          <w:highlight w:val="none"/>
          <w:shd w:val="clear" w:fill="FFFFFF"/>
          <w:vertAlign w:val="baseline"/>
          <w:lang w:eastAsia="zh-CN"/>
        </w:rPr>
        <w:t>：</w:t>
      </w:r>
    </w:p>
    <w:p w14:paraId="0701C8DD">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8.6.2.1 </w:t>
      </w:r>
      <w:r>
        <w:rPr>
          <w:rFonts w:hint="eastAsia" w:ascii="宋体" w:hAnsi="宋体" w:eastAsia="宋体" w:cs="宋体"/>
          <w:i w:val="0"/>
          <w:iCs w:val="0"/>
          <w:caps w:val="0"/>
          <w:color w:val="auto"/>
          <w:spacing w:val="0"/>
          <w:sz w:val="24"/>
          <w:szCs w:val="24"/>
          <w:highlight w:val="none"/>
          <w:shd w:val="clear" w:fill="FFFFFF"/>
          <w:vertAlign w:val="baseline"/>
          <w:lang w:eastAsia="zh-CN"/>
        </w:rPr>
        <w:t>政府采购活动中既有本国产品又有非本国产品参与竞争的，依法对本国产品给予价格评审优惠，用扣除后的价格参与评审。</w:t>
      </w:r>
    </w:p>
    <w:p w14:paraId="437C9F56">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 xml:space="preserve">8.6.2.2 </w:t>
      </w:r>
      <w:r>
        <w:rPr>
          <w:rFonts w:hint="eastAsia" w:ascii="宋体" w:hAnsi="宋体" w:eastAsia="宋体" w:cs="宋体"/>
          <w:i w:val="0"/>
          <w:iCs w:val="0"/>
          <w:caps w:val="0"/>
          <w:color w:val="auto"/>
          <w:spacing w:val="0"/>
          <w:sz w:val="24"/>
          <w:szCs w:val="24"/>
          <w:highlight w:val="none"/>
          <w:shd w:val="clear" w:fill="FFFFFF"/>
          <w:vertAlign w:val="baseline"/>
          <w:lang w:eastAsia="zh-CN"/>
        </w:rPr>
        <w:t>当采购项目或者采购包中含有多种产品，</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为该采购项目或者采购包提供的符合本国产品标准的产品成本之和占该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提供的全部产品成本之和的比例达到80%以上时，依法对该</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提供的全部产品给予价格评审优惠，用扣除后的价格参与评审。</w:t>
      </w:r>
    </w:p>
    <w:p w14:paraId="661B59FA">
      <w:pPr>
        <w:keepNext w:val="0"/>
        <w:keepLines w:val="0"/>
        <w:widowControl w:val="0"/>
        <w:suppressLineNumbers w:val="0"/>
        <w:pBdr>
          <w:top w:val="none" w:color="auto" w:sz="0" w:space="0"/>
          <w:left w:val="none" w:color="auto" w:sz="0" w:space="0"/>
          <w:right w:val="none" w:color="auto" w:sz="0" w:space="0"/>
        </w:pBdr>
        <w:shd w:val="clear" w:fill="FFFFFF"/>
        <w:spacing w:before="24" w:beforeAutospacing="0" w:after="24" w:afterAutospacing="0" w:line="360" w:lineRule="auto"/>
        <w:ind w:left="420" w:right="0" w:hanging="420" w:hangingChars="175"/>
        <w:jc w:val="both"/>
        <w:textAlignment w:val="baseline"/>
        <w:rPr>
          <w:rFonts w:hint="eastAsia" w:ascii="宋体" w:hAnsi="宋体" w:eastAsia="宋体" w:cs="宋体"/>
          <w:i w:val="0"/>
          <w:iCs w:val="0"/>
          <w:caps w:val="0"/>
          <w:color w:val="auto"/>
          <w:spacing w:val="0"/>
          <w:sz w:val="24"/>
          <w:szCs w:val="24"/>
          <w:highlight w:val="none"/>
          <w:shd w:val="clear" w:fill="FFFFFF"/>
          <w:vertAlign w:val="baseline"/>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8.6.3 本国产品参加投标时提供的</w:t>
      </w:r>
      <w:r>
        <w:rPr>
          <w:rFonts w:hint="eastAsia" w:ascii="宋体" w:hAnsi="宋体" w:eastAsia="宋体" w:cs="宋体"/>
          <w:i w:val="0"/>
          <w:iCs w:val="0"/>
          <w:caps w:val="0"/>
          <w:color w:val="auto"/>
          <w:spacing w:val="0"/>
          <w:sz w:val="24"/>
          <w:szCs w:val="24"/>
          <w:highlight w:val="none"/>
          <w:shd w:val="clear" w:fill="FFFFFF"/>
          <w:vertAlign w:val="baseline"/>
          <w:lang w:eastAsia="zh-CN"/>
        </w:rPr>
        <w:t>有关证明文件</w:t>
      </w:r>
    </w:p>
    <w:p w14:paraId="2998D5CB">
      <w:pPr>
        <w:widowControl w:val="0"/>
        <w:spacing w:line="360" w:lineRule="auto"/>
        <w:ind w:left="473" w:leftChars="225" w:firstLine="60" w:firstLineChars="25"/>
        <w:jc w:val="both"/>
        <w:rPr>
          <w:rFonts w:hint="eastAsia" w:ascii="宋体" w:hAnsi="宋体" w:eastAsia="宋体" w:cs="宋体"/>
          <w:i w:val="0"/>
          <w:iCs w:val="0"/>
          <w:caps w:val="0"/>
          <w:color w:val="auto"/>
          <w:spacing w:val="0"/>
          <w:sz w:val="24"/>
          <w:szCs w:val="24"/>
          <w:highlight w:val="none"/>
          <w:shd w:val="clear" w:fill="FFFFFF"/>
          <w:lang w:eastAsia="zh-CN"/>
        </w:rPr>
      </w:pP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提供的货物为</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本国产品</w:t>
      </w:r>
      <w:r>
        <w:rPr>
          <w:rFonts w:hint="eastAsia" w:ascii="宋体" w:hAnsi="宋体" w:eastAsia="宋体" w:cs="宋体"/>
          <w:i w:val="0"/>
          <w:iCs w:val="0"/>
          <w:caps w:val="0"/>
          <w:color w:val="auto"/>
          <w:spacing w:val="0"/>
          <w:sz w:val="24"/>
          <w:szCs w:val="24"/>
          <w:highlight w:val="none"/>
          <w:shd w:val="clear" w:fill="FFFFFF"/>
          <w:vertAlign w:val="baseline"/>
          <w:lang w:eastAsia="zh-CN"/>
        </w:rPr>
        <w:t>的,投标时提供招标文件规定的《关于符合本国产品标准的声明函》（</w:t>
      </w:r>
      <w:r>
        <w:rPr>
          <w:rFonts w:hint="eastAsia" w:ascii="宋体" w:hAnsi="宋体" w:eastAsia="宋体" w:cs="宋体"/>
          <w:color w:val="auto"/>
          <w:spacing w:val="0"/>
          <w:w w:val="100"/>
          <w:position w:val="0"/>
          <w:sz w:val="24"/>
          <w:szCs w:val="24"/>
          <w:highlight w:val="none"/>
          <w:lang w:eastAsia="zh-CN"/>
        </w:rPr>
        <w:t>格式详见“第四章投标文件格式 8-</w:t>
      </w:r>
      <w:r>
        <w:rPr>
          <w:rFonts w:hint="eastAsia" w:ascii="宋体" w:hAnsi="宋体" w:eastAsia="宋体" w:cs="宋体"/>
          <w:color w:val="auto"/>
          <w:spacing w:val="0"/>
          <w:w w:val="100"/>
          <w:position w:val="0"/>
          <w:sz w:val="24"/>
          <w:szCs w:val="24"/>
          <w:highlight w:val="none"/>
          <w:lang w:val="en-US" w:eastAsia="zh-CN"/>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i w:val="0"/>
          <w:iCs w:val="0"/>
          <w:caps w:val="0"/>
          <w:color w:val="auto"/>
          <w:spacing w:val="0"/>
          <w:sz w:val="24"/>
          <w:szCs w:val="24"/>
          <w:highlight w:val="none"/>
          <w:shd w:val="clear" w:fill="FFFFFF"/>
          <w:vertAlign w:val="baseline"/>
          <w:lang w:eastAsia="zh-CN"/>
        </w:rPr>
        <w:t>，以下简称《声明函》）或财政部会同有关部门规定的有关证明文件，并对声明函或有关证明文件的真实性负责，出具符合要求的《声明函》或有关证明文件的，该产品视为本国产品，采购人、采购代理机构不得再要求</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提供其他证明材料。未提供不予享受评审中价格扣除等</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优惠</w:t>
      </w:r>
      <w:r>
        <w:rPr>
          <w:rFonts w:hint="eastAsia" w:ascii="宋体" w:hAnsi="宋体" w:eastAsia="宋体" w:cs="宋体"/>
          <w:i w:val="0"/>
          <w:iCs w:val="0"/>
          <w:caps w:val="0"/>
          <w:color w:val="auto"/>
          <w:spacing w:val="0"/>
          <w:sz w:val="24"/>
          <w:szCs w:val="24"/>
          <w:highlight w:val="none"/>
          <w:shd w:val="clear" w:fill="FFFFFF"/>
          <w:vertAlign w:val="baseline"/>
          <w:lang w:eastAsia="zh-CN"/>
        </w:rPr>
        <w:t>政策。</w:t>
      </w:r>
      <w:r>
        <w:rPr>
          <w:rFonts w:hint="eastAsia" w:ascii="宋体" w:hAnsi="宋体" w:eastAsia="宋体" w:cs="宋体"/>
          <w:i w:val="0"/>
          <w:iCs w:val="0"/>
          <w:caps w:val="0"/>
          <w:color w:val="auto"/>
          <w:spacing w:val="0"/>
          <w:sz w:val="24"/>
          <w:szCs w:val="24"/>
          <w:highlight w:val="none"/>
          <w:shd w:val="clear" w:fill="FFFFFF"/>
          <w:vertAlign w:val="baseline"/>
          <w:lang w:val="en-US" w:eastAsia="zh-CN"/>
        </w:rPr>
        <w:t>投标人</w:t>
      </w:r>
      <w:r>
        <w:rPr>
          <w:rFonts w:hint="eastAsia" w:ascii="宋体" w:hAnsi="宋体" w:eastAsia="宋体" w:cs="宋体"/>
          <w:i w:val="0"/>
          <w:iCs w:val="0"/>
          <w:caps w:val="0"/>
          <w:color w:val="auto"/>
          <w:spacing w:val="0"/>
          <w:sz w:val="24"/>
          <w:szCs w:val="24"/>
          <w:highlight w:val="none"/>
          <w:shd w:val="clear" w:fill="FFFFFF"/>
          <w:vertAlign w:val="baseline"/>
          <w:lang w:eastAsia="zh-CN"/>
        </w:rPr>
        <w:t>提供虚假《声明函》、虚假证明文件谋取中标、成交的，依照《中华人民共和国政府采购法》等法律法规规定追究相应责任。</w:t>
      </w:r>
    </w:p>
    <w:p w14:paraId="3E3B2DD6">
      <w:pPr>
        <w:widowControl w:val="0"/>
        <w:pBdr>
          <w:top w:val="none" w:color="auto" w:sz="0" w:space="0"/>
          <w:left w:val="none" w:color="auto" w:sz="0" w:space="0"/>
          <w:right w:val="none" w:color="auto" w:sz="0" w:space="0"/>
        </w:pBdr>
        <w:shd w:val="clear" w:fill="FFFFFF"/>
        <w:spacing w:before="24" w:after="24" w:line="360" w:lineRule="auto"/>
        <w:ind w:left="420" w:hanging="420" w:hangingChars="175"/>
        <w:jc w:val="both"/>
        <w:rPr>
          <w:rFonts w:hint="eastAsia" w:ascii="宋体" w:hAnsi="宋体" w:eastAsia="宋体" w:cs="宋体"/>
          <w:color w:val="auto"/>
          <w:sz w:val="24"/>
          <w:szCs w:val="24"/>
          <w:highlight w:val="none"/>
          <w:lang w:val="en-US" w:eastAsia="zh-CN"/>
        </w:rPr>
      </w:pPr>
      <w:r>
        <w:rPr>
          <w:rFonts w:hint="eastAsia" w:ascii="宋体" w:hAnsi="宋体" w:eastAsia="宋体" w:cs="宋体"/>
          <w:b w:val="0"/>
          <w:bCs w:val="0"/>
          <w:i w:val="0"/>
          <w:iCs w:val="0"/>
          <w:caps w:val="0"/>
          <w:color w:val="auto"/>
          <w:spacing w:val="0"/>
          <w:sz w:val="24"/>
          <w:szCs w:val="24"/>
          <w:highlight w:val="none"/>
          <w:shd w:val="clear"/>
          <w:vertAlign w:val="baseline"/>
          <w:lang w:eastAsia="zh-CN"/>
        </w:rPr>
        <w:t>8</w:t>
      </w:r>
      <w:r>
        <w:rPr>
          <w:rFonts w:hint="eastAsia" w:ascii="宋体" w:hAnsi="宋体" w:eastAsia="宋体" w:cs="宋体"/>
          <w:b w:val="0"/>
          <w:bCs w:val="0"/>
          <w:i w:val="0"/>
          <w:iCs w:val="0"/>
          <w:caps w:val="0"/>
          <w:color w:val="auto"/>
          <w:spacing w:val="0"/>
          <w:sz w:val="24"/>
          <w:szCs w:val="24"/>
          <w:highlight w:val="none"/>
          <w:shd w:val="clear"/>
          <w:vertAlign w:val="baseline"/>
          <w:lang w:val="en-US" w:eastAsia="zh-CN"/>
        </w:rPr>
        <w:t>.6.4</w:t>
      </w:r>
      <w:r>
        <w:rPr>
          <w:rStyle w:val="20"/>
          <w:rFonts w:hint="eastAsia" w:ascii="宋体" w:hAnsi="宋体" w:eastAsia="宋体" w:cs="宋体"/>
          <w:b w:val="0"/>
          <w:bCs w:val="0"/>
          <w:i w:val="0"/>
          <w:iCs w:val="0"/>
          <w:caps w:val="0"/>
          <w:color w:val="auto"/>
          <w:spacing w:val="0"/>
          <w:sz w:val="24"/>
          <w:szCs w:val="24"/>
          <w:highlight w:val="none"/>
          <w:shd w:val="clear"/>
          <w:vertAlign w:val="baseline"/>
          <w:lang w:eastAsia="zh-CN"/>
        </w:rPr>
        <w:t>本国产品标准的适用范围</w:t>
      </w:r>
      <w:r>
        <w:rPr>
          <w:rFonts w:hint="eastAsia" w:ascii="宋体" w:hAnsi="宋体" w:eastAsia="宋体" w:cs="宋体"/>
          <w:b w:val="0"/>
          <w:bCs w:val="0"/>
          <w:i w:val="0"/>
          <w:iCs w:val="0"/>
          <w:caps w:val="0"/>
          <w:color w:val="auto"/>
          <w:spacing w:val="0"/>
          <w:sz w:val="24"/>
          <w:szCs w:val="24"/>
          <w:highlight w:val="none"/>
          <w:shd w:val="clear"/>
          <w:vertAlign w:val="baseline"/>
          <w:lang w:eastAsia="zh-CN"/>
        </w:rPr>
        <w:t>：</w:t>
      </w:r>
      <w:r>
        <w:rPr>
          <w:rFonts w:hint="eastAsia" w:ascii="宋体" w:hAnsi="宋体" w:eastAsia="宋体" w:cs="宋体"/>
          <w:i w:val="0"/>
          <w:iCs w:val="0"/>
          <w:caps w:val="0"/>
          <w:color w:val="auto"/>
          <w:spacing w:val="0"/>
          <w:sz w:val="24"/>
          <w:szCs w:val="24"/>
          <w:highlight w:val="none"/>
          <w:shd w:val="clear" w:fill="FFFFFF"/>
          <w:vertAlign w:val="baseline"/>
          <w:lang w:eastAsia="zh-CN"/>
        </w:rPr>
        <w:t>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32A39EC3">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34" w:name="_Toc24725"/>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9</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采购需求标准</w:t>
      </w:r>
      <w:bookmarkEnd w:id="34"/>
    </w:p>
    <w:p w14:paraId="20BFC89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highlight w:val="none"/>
          <w:lang w:val="en-US" w:eastAsia="zh-CN"/>
        </w:rPr>
      </w:pPr>
      <w:bookmarkStart w:id="35" w:name="_Toc30429"/>
      <w:r>
        <w:rPr>
          <w:rFonts w:hint="eastAsia" w:ascii="宋体" w:hAnsi="宋体" w:eastAsia="宋体" w:cs="宋体"/>
          <w:color w:val="auto"/>
          <w:spacing w:val="0"/>
          <w:w w:val="100"/>
          <w:position w:val="0"/>
          <w:sz w:val="24"/>
          <w:szCs w:val="24"/>
          <w:highlight w:val="none"/>
          <w:lang w:val="en-US" w:eastAsia="zh-CN"/>
        </w:rPr>
        <w:t>9.1 商品包装、快递包装政府采购需求标准（试行）</w:t>
      </w:r>
      <w:bookmarkEnd w:id="35"/>
    </w:p>
    <w:p w14:paraId="368A38A9">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9" w:leftChars="228"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为助力打好污染防治攻坚战，推广使用绿色包装，根据财政部关于印发《商品包装政府采购需求标准（试行）》、《快递包装政府采购需求标准（试行）》的通知（财办库〔2020〕123 号），本项目如涉及商品包装和快递包装的，则其具体要求见第五章《采购需求》。</w:t>
      </w:r>
    </w:p>
    <w:p w14:paraId="65B6973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2"/>
        <w:rPr>
          <w:rFonts w:hint="eastAsia" w:ascii="宋体" w:hAnsi="宋体" w:eastAsia="宋体" w:cs="宋体"/>
          <w:color w:val="auto"/>
          <w:spacing w:val="0"/>
          <w:w w:val="100"/>
          <w:position w:val="0"/>
          <w:sz w:val="24"/>
          <w:szCs w:val="24"/>
          <w:highlight w:val="none"/>
          <w:lang w:val="en-US" w:eastAsia="zh-CN"/>
        </w:rPr>
      </w:pPr>
      <w:bookmarkStart w:id="36" w:name="_Toc6560"/>
      <w:r>
        <w:rPr>
          <w:rFonts w:hint="eastAsia" w:ascii="宋体" w:hAnsi="宋体" w:eastAsia="宋体" w:cs="宋体"/>
          <w:color w:val="auto"/>
          <w:spacing w:val="0"/>
          <w:w w:val="100"/>
          <w:position w:val="0"/>
          <w:sz w:val="24"/>
          <w:szCs w:val="24"/>
          <w:highlight w:val="none"/>
          <w:lang w:val="en-US" w:eastAsia="zh-CN"/>
        </w:rPr>
        <w:t>9.2 绿色数据中心政府采购需求标准（试行）</w:t>
      </w:r>
      <w:bookmarkEnd w:id="36"/>
    </w:p>
    <w:p w14:paraId="257DD542">
      <w:pPr>
        <w:keepNext w:val="0"/>
        <w:keepLines w:val="0"/>
        <w:pageBreakBefore w:val="0"/>
        <w:widowControl w:val="0"/>
        <w:kinsoku/>
        <w:wordWrap/>
        <w:overflowPunct/>
        <w:topLinePunct w:val="0"/>
        <w:autoSpaceDE w:val="0"/>
        <w:autoSpaceDN w:val="0"/>
        <w:bidi w:val="0"/>
        <w:adjustRightInd w:val="0"/>
        <w:snapToGrid w:val="0"/>
        <w:spacing w:beforeAutospacing="0" w:afterAutospacing="0" w:line="360" w:lineRule="auto"/>
        <w:ind w:left="477" w:leftChars="227"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为加快数据中心绿色转型，根据财政部 生态环境部工业和信息化部关于印发《绿色数据中心政府采购需求标准（试行）》的通知（财库〔2023〕7 号），本项目如涉及绿色数据中心，则具体要求见第五章《采购需求》。</w:t>
      </w:r>
    </w:p>
    <w:p w14:paraId="18005B75">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leftChars="19" w:firstLine="0" w:firstLineChars="0"/>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37" w:name="_Toc18099"/>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10.招标文件的修改</w:t>
      </w:r>
      <w:bookmarkEnd w:id="37"/>
    </w:p>
    <w:p w14:paraId="4102BC77">
      <w:pPr>
        <w:keepNext w:val="0"/>
        <w:keepLines w:val="0"/>
        <w:pageBreakBefore w:val="0"/>
        <w:widowControl w:val="0"/>
        <w:kinsoku w:val="0"/>
        <w:wordWrap/>
        <w:overflowPunct/>
        <w:topLinePunct w:val="0"/>
        <w:autoSpaceDE w:val="0"/>
        <w:autoSpaceDN w:val="0"/>
        <w:bidi w:val="0"/>
        <w:adjustRightInd w:val="0"/>
        <w:snapToGrid w:val="0"/>
        <w:spacing w:before="120" w:beforeAutospacing="0" w:line="360" w:lineRule="auto"/>
        <w:ind w:left="520" w:leftChars="19"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10.1 采购代理机构可以对已发出的招标文件进行必要澄清或者修改，澄清或者修改的内容 可能影响投标文件编制的，采购代理机构在投标截止时间至少 15 日前，在</w:t>
      </w:r>
      <w:r>
        <w:rPr>
          <w:rFonts w:hint="eastAsia" w:ascii="宋体" w:hAnsi="宋体" w:eastAsia="宋体" w:cs="宋体"/>
          <w:strike w:val="0"/>
          <w:dstrike w:val="0"/>
          <w:color w:val="auto"/>
          <w:spacing w:val="0"/>
          <w:w w:val="100"/>
          <w:position w:val="0"/>
          <w:sz w:val="24"/>
          <w:szCs w:val="24"/>
          <w:highlight w:val="none"/>
          <w:lang w:val="en-US" w:eastAsia="zh-CN"/>
        </w:rPr>
        <w:t>原公告发布媒体</w:t>
      </w:r>
      <w:r>
        <w:rPr>
          <w:rFonts w:hint="eastAsia" w:ascii="宋体" w:hAnsi="宋体" w:eastAsia="宋体" w:cs="宋体"/>
          <w:color w:val="auto"/>
          <w:spacing w:val="0"/>
          <w:w w:val="100"/>
          <w:position w:val="0"/>
          <w:sz w:val="24"/>
          <w:szCs w:val="24"/>
          <w:highlight w:val="none"/>
          <w:lang w:eastAsia="zh-CN"/>
        </w:rPr>
        <w:t>上发布更正公告，上传答疑澄清文件。不足 15 日的，采购代理机构应当顺延提交投标文件的截止时间。</w:t>
      </w:r>
    </w:p>
    <w:p w14:paraId="2AA883D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598" w:leftChars="13" w:right="42" w:hanging="571" w:hangingChars="23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10.2 已下载招标文件的投标人必须在江西省公共资源交易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上下载答疑澄清文件。投标人因未下载答疑澄清文件、由此可能引起的投标文件递交失败、解密失败、内容缺失等相关后果由投标人自行承担。</w:t>
      </w:r>
    </w:p>
    <w:p w14:paraId="2644A36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98" w:leftChars="20" w:hanging="556" w:hangingChars="23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10.3 当招标文件和澄清文件在同一内容的表述上不一致时，以最后发出的文件为准。</w:t>
      </w:r>
    </w:p>
    <w:p w14:paraId="0E23646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firstLine="0" w:firstLineChars="0"/>
        <w:jc w:val="both"/>
        <w:textAlignment w:val="baseline"/>
        <w:outlineLvl w:val="1"/>
        <w:rPr>
          <w:rFonts w:hint="eastAsia" w:ascii="宋体" w:hAnsi="宋体" w:eastAsia="宋体" w:cs="宋体"/>
          <w:color w:val="auto"/>
          <w:spacing w:val="0"/>
          <w:w w:val="100"/>
          <w:position w:val="0"/>
          <w:highlight w:val="none"/>
          <w:lang w:eastAsia="zh-CN"/>
        </w:rPr>
      </w:pPr>
      <w:bookmarkStart w:id="38" w:name="_Toc27859"/>
      <w:r>
        <w:rPr>
          <w:rFonts w:hint="eastAsia" w:ascii="宋体" w:hAnsi="宋体" w:eastAsia="宋体" w:cs="宋体"/>
          <w:color w:val="auto"/>
          <w:spacing w:val="0"/>
          <w:w w:val="100"/>
          <w:position w:val="0"/>
          <w:sz w:val="24"/>
          <w:szCs w:val="24"/>
          <w:highlight w:val="none"/>
          <w:lang w:eastAsia="zh-CN"/>
        </w:rPr>
        <w:t>10.4 更正或者修改的内容是招标文件的组成部分，并对投标人具有约束力。</w:t>
      </w:r>
      <w:bookmarkEnd w:id="38"/>
    </w:p>
    <w:p w14:paraId="7013DEC4">
      <w:pPr>
        <w:keepNext w:val="0"/>
        <w:keepLines w:val="0"/>
        <w:pageBreakBefore w:val="0"/>
        <w:widowControl w:val="0"/>
        <w:kinsoku w:val="0"/>
        <w:wordWrap/>
        <w:overflowPunct/>
        <w:topLinePunct w:val="0"/>
        <w:autoSpaceDE w:val="0"/>
        <w:autoSpaceDN w:val="0"/>
        <w:bidi w:val="0"/>
        <w:adjustRightInd w:val="0"/>
        <w:snapToGrid w:val="0"/>
        <w:spacing w:before="288" w:beforeAutospacing="0" w:after="0" w:afterLines="75" w:afterAutospacing="0" w:line="360" w:lineRule="auto"/>
        <w:jc w:val="center"/>
        <w:textAlignment w:val="baseline"/>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39" w:name="_Toc2715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三</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标</w:t>
      </w:r>
      <w:bookmarkEnd w:id="39"/>
    </w:p>
    <w:p w14:paraId="62600FA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50" w:leftChars="20" w:hanging="108" w:hangingChars="45"/>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0" w:name="_Toc3183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11.投标文件的编制</w:t>
      </w:r>
      <w:bookmarkEnd w:id="40"/>
    </w:p>
    <w:p w14:paraId="298877D9">
      <w:pPr>
        <w:keepNext w:val="0"/>
        <w:keepLines w:val="0"/>
        <w:pageBreakBefore w:val="0"/>
        <w:widowControl w:val="0"/>
        <w:kinsoku w:val="0"/>
        <w:wordWrap/>
        <w:overflowPunct/>
        <w:topLinePunct w:val="0"/>
        <w:autoSpaceDE w:val="0"/>
        <w:autoSpaceDN w:val="0"/>
        <w:bidi w:val="0"/>
        <w:adjustRightInd w:val="0"/>
        <w:snapToGrid w:val="0"/>
        <w:spacing w:before="182"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11.1 投标人应当按照招标文件的要求编制投标文件。投标文件应当对招标文件提出的要求和条件做出明确响应。</w:t>
      </w:r>
    </w:p>
    <w:p w14:paraId="3D52972E">
      <w:pPr>
        <w:keepNext w:val="0"/>
        <w:keepLines w:val="0"/>
        <w:pageBreakBefore w:val="0"/>
        <w:widowControl w:val="0"/>
        <w:kinsoku w:val="0"/>
        <w:wordWrap/>
        <w:overflowPunct/>
        <w:topLinePunct w:val="0"/>
        <w:autoSpaceDE w:val="0"/>
        <w:autoSpaceDN w:val="0"/>
        <w:bidi w:val="0"/>
        <w:adjustRightInd w:val="0"/>
        <w:snapToGrid w:val="0"/>
        <w:spacing w:before="182" w:afterAutospacing="0" w:line="360" w:lineRule="auto"/>
        <w:ind w:left="649" w:leftChars="28" w:right="42" w:hanging="590" w:hangingChars="246"/>
        <w:jc w:val="both"/>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11.2 招标文件中注明不可以采购进口产品的（见“第一章 投标邀请 ”），不允许提供进口产品参与采购活动。提供进口产品参与采购活动的，</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被视为投标无效。</w:t>
      </w:r>
    </w:p>
    <w:p w14:paraId="54DE19A3">
      <w:pPr>
        <w:pageBreakBefore w:val="0"/>
        <w:widowControl w:val="0"/>
        <w:wordWrap/>
        <w:overflowPunct/>
        <w:topLinePunct w:val="0"/>
        <w:bidi w:val="0"/>
        <w:spacing w:before="0" w:beforeLines="50" w:beforeAutospacing="0" w:afterAutospacing="0" w:line="219" w:lineRule="auto"/>
        <w:ind w:left="0" w:leftChars="0" w:firstLine="60" w:firstLineChars="25"/>
        <w:jc w:val="both"/>
        <w:outlineLvl w:val="1"/>
        <w:rPr>
          <w:rFonts w:hint="eastAsia" w:ascii="宋体" w:hAnsi="宋体" w:eastAsia="宋体" w:cs="宋体"/>
          <w:color w:val="auto"/>
          <w:spacing w:val="0"/>
          <w:w w:val="100"/>
          <w:position w:val="0"/>
          <w:sz w:val="24"/>
          <w:szCs w:val="24"/>
          <w:highlight w:val="none"/>
          <w:lang w:eastAsia="zh-CN"/>
        </w:rPr>
      </w:pPr>
      <w:bookmarkStart w:id="41" w:name="_Toc2369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12.投标文件计量单位</w:t>
      </w:r>
      <w:bookmarkEnd w:id="41"/>
    </w:p>
    <w:p w14:paraId="12A4F430">
      <w:pPr>
        <w:keepNext w:val="0"/>
        <w:keepLines w:val="0"/>
        <w:pageBreakBefore w:val="0"/>
        <w:widowControl w:val="0"/>
        <w:kinsoku w:val="0"/>
        <w:wordWrap/>
        <w:overflowPunct/>
        <w:topLinePunct w:val="0"/>
        <w:autoSpaceDE w:val="0"/>
        <w:autoSpaceDN w:val="0"/>
        <w:bidi w:val="0"/>
        <w:adjustRightInd w:val="0"/>
        <w:snapToGrid w:val="0"/>
        <w:spacing w:before="287" w:beforeAutospacing="0" w:afterAutospacing="0" w:line="360" w:lineRule="auto"/>
        <w:ind w:left="690" w:leftChars="28" w:hanging="631" w:hangingChars="26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12.1 投标文件中所使用的计量单位, 除招标文件中有特殊要求外，均应采用国家法定计量单位。</w:t>
      </w:r>
    </w:p>
    <w:p w14:paraId="7CF8575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19" w:leftChars="28" w:hanging="360" w:hangingChars="15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13.提供相同品牌产品的不同投标人参加同一合同项下投标的，参加评标、获得中标人推荐资格的认定</w:t>
      </w:r>
    </w:p>
    <w:p w14:paraId="47DF7DF3">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66" w:leftChars="28" w:hanging="607" w:hangingChars="25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13.1 采用最低评标价法的采购项目，提供相同品牌产品的不同投标人参加同一合同项下投标的，以其中通过资格审查、符合性审查且报价最低的参加评标；报价相同的，由采购人或者采购人委托评标委员会按照投标人须知前附表规定的方式确定一个参加评标的投标人，其他投标无效。</w:t>
      </w:r>
    </w:p>
    <w:p w14:paraId="183F1A39">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712" w:leftChars="0" w:hanging="653"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13.2 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投标人须知前附表规定的方式确定一个投标人获得中标人推荐资格，其他同品牌投标人不获得中标人推荐资格。</w:t>
      </w:r>
    </w:p>
    <w:p w14:paraId="6110AC1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13.3 非单一产品采购项目，多家投标人提供的核心产品品牌相同的，依据招标文件规定的评分办法，按13.1 或13.2 条规定处理。核心产品见“投标人须知前附表 ”。</w:t>
      </w:r>
    </w:p>
    <w:p w14:paraId="467188F6">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6"/>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2" w:name="_Toc594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14.投标文件的构成</w:t>
      </w:r>
      <w:bookmarkEnd w:id="42"/>
    </w:p>
    <w:p w14:paraId="584F642B">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highlight w:val="none"/>
          <w:lang w:eastAsia="zh-CN"/>
        </w:rPr>
      </w:pPr>
      <w:bookmarkStart w:id="43" w:name="_Toc13333"/>
      <w:r>
        <w:rPr>
          <w:rFonts w:hint="eastAsia" w:ascii="宋体" w:hAnsi="宋体" w:eastAsia="宋体" w:cs="宋体"/>
          <w:color w:val="auto"/>
          <w:spacing w:val="0"/>
          <w:w w:val="100"/>
          <w:position w:val="0"/>
          <w:sz w:val="24"/>
          <w:szCs w:val="24"/>
          <w:highlight w:val="none"/>
          <w:lang w:eastAsia="zh-CN"/>
        </w:rPr>
        <w:t>14.1 投标文件应由下列部分构成。（格式详见“第四章 投标文件格式 ”）</w:t>
      </w:r>
      <w:bookmarkEnd w:id="43"/>
    </w:p>
    <w:p w14:paraId="24CE1AA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（1）投标书</w:t>
      </w:r>
    </w:p>
    <w:p w14:paraId="70FE25BE">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（2）开标一览表</w:t>
      </w:r>
    </w:p>
    <w:p w14:paraId="031B204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（3）分项报价表</w:t>
      </w:r>
    </w:p>
    <w:p w14:paraId="169C9F0B">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（4）开标一览明细表</w:t>
      </w:r>
    </w:p>
    <w:p w14:paraId="673E825F">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（5）技术需求响应/偏离表</w:t>
      </w:r>
    </w:p>
    <w:p w14:paraId="7C07C7A4">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（6）商务条件响应/偏离表</w:t>
      </w:r>
    </w:p>
    <w:p w14:paraId="51B41517">
      <w:pPr>
        <w:keepNext w:val="0"/>
        <w:keepLines w:val="0"/>
        <w:pageBreakBefore w:val="0"/>
        <w:widowControl w:val="0"/>
        <w:kinsoku w:val="0"/>
        <w:wordWrap/>
        <w:overflowPunct/>
        <w:topLinePunct w:val="0"/>
        <w:autoSpaceDE w:val="0"/>
        <w:autoSpaceDN w:val="0"/>
        <w:bidi w:val="0"/>
        <w:adjustRightInd w:val="0"/>
        <w:snapToGrid w:val="0"/>
        <w:spacing w:line="360" w:lineRule="auto"/>
        <w:ind w:left="6"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（7）投标人应当提交的资格、资信证明文件</w:t>
      </w:r>
    </w:p>
    <w:p w14:paraId="5AABFD87">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（8）为落实政府采购政策投标人须提供的证明材料</w:t>
      </w:r>
    </w:p>
    <w:p w14:paraId="425194C0">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（9）技术文件</w:t>
      </w:r>
    </w:p>
    <w:p w14:paraId="4CFF9F36">
      <w:pPr>
        <w:keepNext w:val="0"/>
        <w:keepLines w:val="0"/>
        <w:pageBreakBefore w:val="0"/>
        <w:widowControl w:val="0"/>
        <w:kinsoku w:val="0"/>
        <w:wordWrap/>
        <w:overflowPunct/>
        <w:topLinePunct w:val="0"/>
        <w:autoSpaceDE w:val="0"/>
        <w:autoSpaceDN w:val="0"/>
        <w:bidi w:val="0"/>
        <w:adjustRightInd w:val="0"/>
        <w:snapToGrid w:val="0"/>
        <w:spacing w:line="360" w:lineRule="auto"/>
        <w:ind w:left="6" w:leftChars="3" w:firstLine="240" w:firstLine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（10）其他资料</w:t>
      </w:r>
    </w:p>
    <w:p w14:paraId="7D4D0E25">
      <w:pPr>
        <w:keepNext w:val="0"/>
        <w:keepLines w:val="0"/>
        <w:pageBreakBefore w:val="0"/>
        <w:widowControl w:val="0"/>
        <w:kinsoku w:val="0"/>
        <w:wordWrap/>
        <w:overflowPunct/>
        <w:topLinePunct w:val="0"/>
        <w:autoSpaceDE w:val="0"/>
        <w:autoSpaceDN w:val="0"/>
        <w:bidi w:val="0"/>
        <w:adjustRightInd w:val="0"/>
        <w:snapToGrid w:val="0"/>
        <w:spacing w:line="360" w:lineRule="auto"/>
        <w:ind w:left="6"/>
        <w:jc w:val="both"/>
        <w:textAlignment w:val="baseline"/>
        <w:outlineLvl w:val="2"/>
        <w:rPr>
          <w:rFonts w:hint="eastAsia" w:ascii="宋体" w:hAnsi="宋体" w:eastAsia="宋体" w:cs="宋体"/>
          <w:color w:val="auto"/>
          <w:spacing w:val="0"/>
          <w:w w:val="100"/>
          <w:position w:val="0"/>
          <w:sz w:val="24"/>
          <w:szCs w:val="24"/>
          <w:highlight w:val="none"/>
          <w:lang w:eastAsia="zh-CN"/>
        </w:rPr>
      </w:pPr>
      <w:bookmarkStart w:id="44" w:name="_Toc6898"/>
      <w:r>
        <w:rPr>
          <w:rFonts w:hint="eastAsia" w:ascii="宋体" w:hAnsi="宋体" w:eastAsia="宋体" w:cs="宋体"/>
          <w:color w:val="auto"/>
          <w:spacing w:val="0"/>
          <w:w w:val="100"/>
          <w:position w:val="0"/>
          <w:sz w:val="24"/>
          <w:szCs w:val="24"/>
          <w:highlight w:val="none"/>
          <w:lang w:eastAsia="zh-CN"/>
        </w:rPr>
        <w:t>14.2 投标人应编写投标文件目录及页码。</w:t>
      </w:r>
      <w:bookmarkEnd w:id="44"/>
    </w:p>
    <w:p w14:paraId="12212CAC">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5" w:name="_Toc59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15.投标报价</w:t>
      </w:r>
      <w:bookmarkEnd w:id="45"/>
    </w:p>
    <w:p w14:paraId="3E27BC37">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15.1 所有投标均以人民币报价，报价内容包含招标文件规定的货物附属售后服务，标准附件，备品备件，专用工具，安装、调试、检验，培训，技术服务，运至最终目的地的运费和保险费等一切相关费用。</w:t>
      </w:r>
    </w:p>
    <w:p w14:paraId="0C3459AC">
      <w:pPr>
        <w:keepNext w:val="0"/>
        <w:keepLines w:val="0"/>
        <w:pageBreakBefore w:val="0"/>
        <w:widowControl w:val="0"/>
        <w:kinsoku w:val="0"/>
        <w:wordWrap/>
        <w:overflowPunct/>
        <w:topLinePunct w:val="0"/>
        <w:autoSpaceDE w:val="0"/>
        <w:autoSpaceDN w:val="0"/>
        <w:bidi w:val="0"/>
        <w:adjustRightInd w:val="0"/>
        <w:snapToGrid w:val="0"/>
        <w:spacing w:before="184" w:afterAutospacing="0" w:line="360" w:lineRule="auto"/>
        <w:ind w:left="621" w:leftChars="0" w:hanging="562"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15.2 投标人要按开标一览表（统一格式）和分项报价表（统一格式）、开标一览明细表的内容填写产品单价、总价及其他事项。投标总价中不得包含招标文件要求以外的内容，否则，在评标时不予核减。若投标人不同意，投标无效。</w:t>
      </w:r>
    </w:p>
    <w:p w14:paraId="271A00F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9" w:leftChars="0" w:right="61" w:hanging="63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15.3 投标总价中如缺漏招标文件所要求的内容，投标人中标后须提供，且中标价以投标报价为准。若投标人不同意，</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w:t>
      </w:r>
    </w:p>
    <w:p w14:paraId="76A4A2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15.4 投标人所报的投标价在合同执行过程中是固定不变的</w:t>
      </w:r>
      <w:r>
        <w:rPr>
          <w:rFonts w:hint="eastAsia" w:ascii="宋体" w:hAnsi="宋体" w:eastAsia="宋体" w:cs="宋体"/>
          <w:color w:val="auto"/>
          <w:spacing w:val="0"/>
          <w:w w:val="100"/>
          <w:position w:val="0"/>
          <w:sz w:val="24"/>
          <w:szCs w:val="24"/>
          <w:highlight w:val="none"/>
          <w:lang w:val="en-US" w:eastAsia="zh-CN"/>
        </w:rPr>
        <w:t>,</w:t>
      </w:r>
      <w:r>
        <w:rPr>
          <w:rFonts w:hint="eastAsia" w:ascii="宋体" w:hAnsi="宋体" w:eastAsia="宋体" w:cs="宋体"/>
          <w:color w:val="auto"/>
          <w:spacing w:val="0"/>
          <w:w w:val="100"/>
          <w:position w:val="0"/>
          <w:sz w:val="24"/>
          <w:szCs w:val="24"/>
          <w:highlight w:val="none"/>
          <w:lang w:eastAsia="zh-CN"/>
        </w:rPr>
        <w:t>不得以任何理由予以变更。投标人应对所有招标内容进行投标，且只提供最优方案一套，投标人提交任何包含价格调整要求的投标将按非实质性响应投标，</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w:t>
      </w:r>
    </w:p>
    <w:p w14:paraId="75E1D3B6">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15.5 投标人如需用外汇购入某些投标货物，须折合人民币（包含进口环节税）计入总报价中。</w:t>
      </w:r>
    </w:p>
    <w:p w14:paraId="6ED358F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12" w:leftChars="-10" w:right="61" w:hanging="633" w:hangingChars="264"/>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 xml:space="preserve">15.6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最低报价不能作为中标的保证。</w:t>
      </w:r>
    </w:p>
    <w:p w14:paraId="69D016E0">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6" w:name="_Toc1527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16.投标保证金</w:t>
      </w:r>
      <w:bookmarkEnd w:id="46"/>
    </w:p>
    <w:p w14:paraId="50FF9CE6">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2" w:hanging="590" w:hangingChars="24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w:t>
      </w:r>
      <w:r>
        <w:rPr>
          <w:rFonts w:hint="eastAsia" w:ascii="宋体" w:hAnsi="宋体" w:eastAsia="宋体" w:cs="宋体"/>
          <w:color w:val="auto"/>
          <w:spacing w:val="0"/>
          <w:w w:val="100"/>
          <w:position w:val="0"/>
          <w:sz w:val="24"/>
          <w:szCs w:val="24"/>
          <w:highlight w:val="none"/>
          <w:lang w:val="en-US" w:eastAsia="zh-CN"/>
        </w:rPr>
        <w:t xml:space="preserve">1 </w:t>
      </w:r>
      <w:r>
        <w:rPr>
          <w:rFonts w:hint="eastAsia" w:ascii="宋体" w:hAnsi="宋体" w:eastAsia="宋体" w:cs="宋体"/>
          <w:color w:val="auto"/>
          <w:spacing w:val="0"/>
          <w:w w:val="100"/>
          <w:position w:val="0"/>
          <w:sz w:val="24"/>
          <w:szCs w:val="24"/>
          <w:highlight w:val="none"/>
          <w:lang w:eastAsia="zh-CN"/>
        </w:rPr>
        <w:t>投标人须在投标文件递交截止时间之前向采购代理机构提交投标保证金，并作为其投标文件的一部分，详见“投标人须知前附表 ”。联合体投标的，可以由联合体中的一方或者共同提交投标保证金，以一方名义提交投标保证金的，对联合体各方均具有约束力。（适用联合体投标）</w:t>
      </w:r>
    </w:p>
    <w:p w14:paraId="1F3F4E4C">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16.2 任何未按“投标人须知第16.1 条 ”要求提交投标保证金的投标文件，投标无效。</w:t>
      </w:r>
    </w:p>
    <w:p w14:paraId="68D2E51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16.3 自中标通知书发出之日起5个工作日内退还未中标人的投标保证金，自采购合同签订之日起5个工作日内退还中标人的投标保证金。</w:t>
      </w:r>
    </w:p>
    <w:p w14:paraId="03D3D345">
      <w:pPr>
        <w:keepNext w:val="0"/>
        <w:keepLines w:val="0"/>
        <w:pageBreakBefore w:val="0"/>
        <w:widowControl w:val="0"/>
        <w:kinsoku w:val="0"/>
        <w:wordWrap/>
        <w:overflowPunct/>
        <w:topLinePunct w:val="0"/>
        <w:autoSpaceDE w:val="0"/>
        <w:autoSpaceDN w:val="0"/>
        <w:bidi w:val="0"/>
        <w:adjustRightInd w:val="0"/>
        <w:snapToGrid w:val="0"/>
        <w:spacing w:line="360" w:lineRule="auto"/>
        <w:ind w:left="590" w:leftChars="0" w:right="61" w:hanging="590" w:hangingChars="24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16.4 投标人在投标截止时间前撤回已提交的投标文件的，采购代理机构应当自投标截止之日起5个工作日内，退还已收取的投标保证金，但因投标人自身原因导致无法及时退还的除外。</w:t>
      </w:r>
    </w:p>
    <w:p w14:paraId="30D2032E">
      <w:pPr>
        <w:keepNext w:val="0"/>
        <w:keepLines w:val="0"/>
        <w:pageBreakBefore w:val="0"/>
        <w:widowControl w:val="0"/>
        <w:kinsoku w:val="0"/>
        <w:wordWrap/>
        <w:overflowPunct/>
        <w:topLinePunct w:val="0"/>
        <w:autoSpaceDE w:val="0"/>
        <w:autoSpaceDN w:val="0"/>
        <w:bidi w:val="0"/>
        <w:adjustRightInd w:val="0"/>
        <w:snapToGrid w:val="0"/>
        <w:spacing w:line="360" w:lineRule="auto"/>
        <w:ind w:left="472" w:right="3174" w:hanging="47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16.5 下列任何情况发生时，投标保证金不予退</w:t>
      </w:r>
      <w:r>
        <w:rPr>
          <w:rFonts w:hint="eastAsia" w:ascii="宋体" w:hAnsi="宋体" w:eastAsia="宋体" w:cs="宋体"/>
          <w:color w:val="auto"/>
          <w:spacing w:val="0"/>
          <w:w w:val="100"/>
          <w:position w:val="0"/>
          <w:sz w:val="24"/>
          <w:szCs w:val="24"/>
          <w:highlight w:val="none"/>
          <w:lang w:val="en-US" w:eastAsia="zh-CN"/>
        </w:rPr>
        <w:t>还</w:t>
      </w:r>
      <w:r>
        <w:rPr>
          <w:rFonts w:hint="eastAsia" w:ascii="宋体" w:hAnsi="宋体" w:eastAsia="宋体" w:cs="宋体"/>
          <w:color w:val="auto"/>
          <w:spacing w:val="0"/>
          <w:w w:val="100"/>
          <w:position w:val="0"/>
          <w:sz w:val="24"/>
          <w:szCs w:val="24"/>
          <w:highlight w:val="none"/>
          <w:lang w:eastAsia="zh-CN"/>
        </w:rPr>
        <w:t xml:space="preserve">： </w:t>
      </w:r>
    </w:p>
    <w:p w14:paraId="3C20DC0A">
      <w:pPr>
        <w:keepNext w:val="0"/>
        <w:keepLines w:val="0"/>
        <w:pageBreakBefore w:val="0"/>
        <w:widowControl w:val="0"/>
        <w:kinsoku w:val="0"/>
        <w:wordWrap/>
        <w:overflowPunct/>
        <w:topLinePunct w:val="0"/>
        <w:autoSpaceDE w:val="0"/>
        <w:autoSpaceDN w:val="0"/>
        <w:bidi w:val="0"/>
        <w:adjustRightInd w:val="0"/>
        <w:snapToGrid w:val="0"/>
        <w:spacing w:line="360" w:lineRule="auto"/>
        <w:ind w:left="613" w:leftChars="179" w:right="3174" w:hanging="237" w:hangingChars="9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（1)投标人在投标有效期内撤销其投标；</w:t>
      </w:r>
    </w:p>
    <w:p w14:paraId="705FD680">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（2)中标人未按招标文件所述规定签订合同；</w:t>
      </w:r>
    </w:p>
    <w:p w14:paraId="3A75D5C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（3)中标人未按</w:t>
      </w:r>
      <w:r>
        <w:rPr>
          <w:rFonts w:hint="eastAsia" w:ascii="宋体" w:hAnsi="宋体" w:eastAsia="宋体" w:cs="宋体"/>
          <w:color w:val="auto"/>
          <w:spacing w:val="0"/>
          <w:w w:val="100"/>
          <w:position w:val="0"/>
          <w:sz w:val="24"/>
          <w:szCs w:val="24"/>
          <w:highlight w:val="none"/>
          <w:lang w:val="en-US" w:eastAsia="zh-CN"/>
        </w:rPr>
        <w:t>招标文件规定支付</w:t>
      </w:r>
      <w:r>
        <w:rPr>
          <w:rFonts w:hint="eastAsia" w:ascii="宋体" w:hAnsi="宋体" w:eastAsia="宋体" w:cs="宋体"/>
          <w:color w:val="auto"/>
          <w:spacing w:val="0"/>
          <w:w w:val="100"/>
          <w:position w:val="0"/>
          <w:sz w:val="24"/>
          <w:szCs w:val="24"/>
          <w:highlight w:val="none"/>
          <w:lang w:eastAsia="zh-CN"/>
        </w:rPr>
        <w:t>采购代理服务费；</w:t>
      </w:r>
    </w:p>
    <w:p w14:paraId="48B7DB7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0" w:firstLine="0" w:firstLineChars="0"/>
        <w:jc w:val="both"/>
        <w:textAlignment w:val="baseline"/>
        <w:rPr>
          <w:rFonts w:hint="eastAsia" w:ascii="宋体" w:hAnsi="宋体" w:eastAsia="宋体" w:cs="宋体"/>
          <w:color w:val="auto"/>
          <w:spacing w:val="0"/>
          <w:w w:val="100"/>
          <w:position w:val="0"/>
          <w:sz w:val="10"/>
          <w:szCs w:val="10"/>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rPr>
        <w:t>（4)中标人未按</w:t>
      </w:r>
      <w:r>
        <w:rPr>
          <w:rFonts w:hint="eastAsia" w:ascii="宋体" w:hAnsi="宋体" w:eastAsia="宋体" w:cs="宋体"/>
          <w:color w:val="auto"/>
          <w:spacing w:val="0"/>
          <w:w w:val="100"/>
          <w:position w:val="0"/>
          <w:sz w:val="24"/>
          <w:szCs w:val="24"/>
          <w:highlight w:val="none"/>
          <w:lang w:val="en-US" w:eastAsia="zh-CN"/>
        </w:rPr>
        <w:t>招标文件</w:t>
      </w:r>
      <w:r>
        <w:rPr>
          <w:rFonts w:hint="eastAsia" w:ascii="宋体" w:hAnsi="宋体" w:eastAsia="宋体" w:cs="宋体"/>
          <w:color w:val="auto"/>
          <w:spacing w:val="0"/>
          <w:w w:val="100"/>
          <w:position w:val="0"/>
          <w:sz w:val="24"/>
          <w:szCs w:val="24"/>
          <w:highlight w:val="none"/>
          <w:lang w:eastAsia="zh-CN"/>
        </w:rPr>
        <w:t>规定提交履约保证金；（</w:t>
      </w:r>
      <w:r>
        <w:rPr>
          <w:rFonts w:hint="eastAsia" w:ascii="宋体" w:hAnsi="宋体" w:eastAsia="宋体" w:cs="宋体"/>
          <w:color w:val="auto"/>
          <w:spacing w:val="0"/>
          <w:w w:val="100"/>
          <w:position w:val="0"/>
          <w:sz w:val="24"/>
          <w:szCs w:val="24"/>
          <w:highlight w:val="none"/>
          <w:lang w:val="en-US" w:eastAsia="zh-CN"/>
        </w:rPr>
        <w:t>如要求提供履约保证金</w:t>
      </w:r>
      <w:r>
        <w:rPr>
          <w:rFonts w:hint="eastAsia" w:ascii="宋体" w:hAnsi="宋体" w:eastAsia="宋体" w:cs="宋体"/>
          <w:color w:val="auto"/>
          <w:spacing w:val="0"/>
          <w:w w:val="100"/>
          <w:position w:val="0"/>
          <w:sz w:val="24"/>
          <w:szCs w:val="24"/>
          <w:highlight w:val="none"/>
          <w:lang w:eastAsia="zh-CN"/>
        </w:rPr>
        <w:t>）</w:t>
      </w:r>
    </w:p>
    <w:p w14:paraId="16EE7354">
      <w:pPr>
        <w:keepNext w:val="0"/>
        <w:keepLines w:val="0"/>
        <w:pageBreakBefore w:val="0"/>
        <w:widowControl w:val="0"/>
        <w:kinsoku w:val="0"/>
        <w:wordWrap/>
        <w:overflowPunct/>
        <w:topLinePunct w:val="0"/>
        <w:autoSpaceDE w:val="0"/>
        <w:autoSpaceDN w:val="0"/>
        <w:bidi w:val="0"/>
        <w:adjustRightInd w:val="0"/>
        <w:snapToGrid w:val="0"/>
        <w:spacing w:line="360" w:lineRule="auto"/>
        <w:ind w:left="376" w:leftChars="179" w:firstLine="0"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（5)</w:t>
      </w:r>
      <w:r>
        <w:rPr>
          <w:rFonts w:hint="eastAsia" w:ascii="宋体" w:hAnsi="宋体" w:eastAsia="宋体" w:cs="宋体"/>
          <w:color w:val="auto"/>
          <w:spacing w:val="0"/>
          <w:w w:val="100"/>
          <w:position w:val="0"/>
          <w:sz w:val="24"/>
          <w:szCs w:val="24"/>
          <w:highlight w:val="none"/>
          <w:lang w:val="en-US" w:eastAsia="zh-CN"/>
        </w:rPr>
        <w:t>投</w:t>
      </w:r>
      <w:r>
        <w:rPr>
          <w:rFonts w:hint="eastAsia" w:ascii="宋体" w:hAnsi="宋体" w:eastAsia="宋体" w:cs="宋体"/>
          <w:color w:val="auto"/>
          <w:spacing w:val="0"/>
          <w:w w:val="100"/>
          <w:position w:val="0"/>
          <w:sz w:val="24"/>
          <w:szCs w:val="24"/>
          <w:highlight w:val="none"/>
          <w:lang w:eastAsia="zh-CN"/>
        </w:rPr>
        <w:t>标人提供虚假材料</w:t>
      </w:r>
      <w:r>
        <w:rPr>
          <w:rFonts w:hint="eastAsia" w:ascii="宋体" w:hAnsi="宋体" w:eastAsia="宋体" w:cs="宋体"/>
          <w:color w:val="auto"/>
          <w:spacing w:val="0"/>
          <w:w w:val="100"/>
          <w:position w:val="0"/>
          <w:sz w:val="24"/>
          <w:szCs w:val="24"/>
          <w:highlight w:val="none"/>
          <w:lang w:val="en-US" w:eastAsia="zh-CN"/>
        </w:rPr>
        <w:t>谋</w:t>
      </w:r>
      <w:r>
        <w:rPr>
          <w:rFonts w:hint="eastAsia" w:ascii="宋体" w:hAnsi="宋体" w:eastAsia="宋体" w:cs="宋体"/>
          <w:color w:val="auto"/>
          <w:spacing w:val="0"/>
          <w:w w:val="100"/>
          <w:position w:val="0"/>
          <w:sz w:val="24"/>
          <w:szCs w:val="24"/>
          <w:highlight w:val="none"/>
          <w:lang w:eastAsia="zh-CN"/>
        </w:rPr>
        <w:t>取中标。</w:t>
      </w:r>
    </w:p>
    <w:p w14:paraId="32A559A8">
      <w:pPr>
        <w:keepNext w:val="0"/>
        <w:keepLines w:val="0"/>
        <w:pageBreakBefore w:val="0"/>
        <w:widowControl w:val="0"/>
        <w:kinsoku w:val="0"/>
        <w:wordWrap/>
        <w:overflowPunct/>
        <w:topLinePunct w:val="0"/>
        <w:autoSpaceDE w:val="0"/>
        <w:autoSpaceDN w:val="0"/>
        <w:bidi w:val="0"/>
        <w:adjustRightInd w:val="0"/>
        <w:snapToGrid w:val="0"/>
        <w:spacing w:before="78"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7" w:name="_Toc1402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17.投标有效期</w:t>
      </w:r>
      <w:bookmarkEnd w:id="47"/>
    </w:p>
    <w:p w14:paraId="7E42FC77">
      <w:pPr>
        <w:keepNext w:val="0"/>
        <w:keepLines w:val="0"/>
        <w:pageBreakBefore w:val="0"/>
        <w:widowControl w:val="0"/>
        <w:kinsoku/>
        <w:wordWrap/>
        <w:overflowPunct/>
        <w:topLinePunct w:val="0"/>
        <w:autoSpaceDE w:val="0"/>
        <w:autoSpaceDN w:val="0"/>
        <w:bidi w:val="0"/>
        <w:adjustRightInd w:val="0"/>
        <w:snapToGrid w:val="0"/>
        <w:spacing w:before="182" w:afterAutospacing="0" w:line="360" w:lineRule="auto"/>
        <w:ind w:left="574" w:leftChars="0" w:right="79" w:hanging="574"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17.1 投标有效期从提交投标文件的截止之日起算。投标文件中承诺的投标有效期应不少于招标文件中载明的投标有效期。并在投标文件中承诺的投标有效期内保持有效。招标文件中载明的投标有效期详见“投标人须知前附表 ”，投标有效期不足的投标，</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highlight w:val="none"/>
          <w:lang w:eastAsia="zh-CN"/>
        </w:rPr>
        <w:t>。</w:t>
      </w:r>
    </w:p>
    <w:p w14:paraId="5CB3B311">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574" w:leftChars="0" w:hanging="574"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17.2 在特殊情况下，采购代理机构可延长投标有效期。延长投标有效期在江西</w:t>
      </w:r>
      <w:r>
        <w:rPr>
          <w:rFonts w:hint="eastAsia" w:ascii="宋体" w:hAnsi="宋体" w:eastAsia="宋体" w:cs="宋体"/>
          <w:color w:val="auto"/>
          <w:spacing w:val="0"/>
          <w:w w:val="100"/>
          <w:position w:val="0"/>
          <w:sz w:val="24"/>
          <w:szCs w:val="24"/>
          <w:highlight w:val="none"/>
          <w:lang w:val="en-US" w:eastAsia="zh-CN"/>
        </w:rPr>
        <w:t>省</w:t>
      </w:r>
      <w:r>
        <w:rPr>
          <w:rFonts w:hint="eastAsia" w:ascii="宋体" w:hAnsi="宋体" w:eastAsia="宋体" w:cs="宋体"/>
          <w:color w:val="auto"/>
          <w:spacing w:val="0"/>
          <w:w w:val="100"/>
          <w:position w:val="0"/>
          <w:sz w:val="24"/>
          <w:szCs w:val="24"/>
          <w:highlight w:val="none"/>
          <w:lang w:eastAsia="zh-CN"/>
        </w:rPr>
        <w:t>政府采购网以及江西省公共资源交易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发布</w:t>
      </w:r>
      <w:r>
        <w:rPr>
          <w:rFonts w:hint="eastAsia" w:ascii="宋体" w:hAnsi="宋体" w:eastAsia="宋体" w:cs="宋体"/>
          <w:color w:val="auto"/>
          <w:spacing w:val="0"/>
          <w:w w:val="100"/>
          <w:position w:val="0"/>
          <w:sz w:val="24"/>
          <w:szCs w:val="24"/>
          <w:highlight w:val="none"/>
          <w:lang w:eastAsia="zh-CN"/>
        </w:rPr>
        <w:t>，延期函以网上公告的形式通知所有已参加投标的投标人。</w:t>
      </w:r>
      <w:r>
        <w:rPr>
          <w:rFonts w:hint="eastAsia" w:ascii="宋体" w:hAnsi="宋体" w:eastAsia="宋体" w:cs="宋体"/>
          <w:color w:val="auto"/>
          <w:spacing w:val="0"/>
          <w:w w:val="100"/>
          <w:position w:val="0"/>
          <w:sz w:val="24"/>
          <w:szCs w:val="24"/>
          <w:highlight w:val="none"/>
          <w:lang w:eastAsia="zh-CN"/>
        </w:rPr>
        <w:t>已参加投标的投标人应以书面形式答复采购代理机构，同意延长有效期的投</w:t>
      </w:r>
      <w:r>
        <w:rPr>
          <w:rFonts w:hint="eastAsia" w:ascii="宋体" w:hAnsi="宋体" w:eastAsia="宋体" w:cs="宋体"/>
          <w:color w:val="auto"/>
          <w:spacing w:val="0"/>
          <w:w w:val="100"/>
          <w:position w:val="0"/>
          <w:sz w:val="24"/>
          <w:szCs w:val="24"/>
          <w:highlight w:val="none"/>
          <w:lang w:eastAsia="zh-CN"/>
        </w:rPr>
        <w:t>标人不能修改其投标文件，有关投标保证金的规定在投标有效期的延长期内继续有效。</w:t>
      </w:r>
    </w:p>
    <w:p w14:paraId="557253BF">
      <w:pPr>
        <w:keepNext w:val="0"/>
        <w:keepLines w:val="0"/>
        <w:pageBreakBefore w:val="0"/>
        <w:widowControl w:val="0"/>
        <w:kinsoku w:val="0"/>
        <w:wordWrap/>
        <w:overflowPunct/>
        <w:topLinePunct w:val="0"/>
        <w:autoSpaceDE w:val="0"/>
        <w:autoSpaceDN w:val="0"/>
        <w:bidi w:val="0"/>
        <w:adjustRightInd w:val="0"/>
        <w:snapToGrid w:val="0"/>
        <w:spacing w:before="120" w:beforeAutospacing="0" w:afterAutospacing="0" w:line="360" w:lineRule="auto"/>
        <w:textAlignment w:val="baseline"/>
        <w:outlineLvl w:val="1"/>
        <w:rPr>
          <w:rFonts w:hint="eastAsia" w:ascii="宋体" w:hAnsi="宋体" w:eastAsia="宋体" w:cs="宋体"/>
          <w:color w:val="auto"/>
          <w:spacing w:val="0"/>
          <w:w w:val="100"/>
          <w:position w:val="0"/>
          <w:sz w:val="24"/>
          <w:szCs w:val="24"/>
          <w:highlight w:val="none"/>
          <w:lang w:eastAsia="zh-CN"/>
        </w:rPr>
      </w:pPr>
      <w:bookmarkStart w:id="48" w:name="_Toc1200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18.投标文件的递交</w:t>
      </w:r>
      <w:bookmarkEnd w:id="48"/>
    </w:p>
    <w:p w14:paraId="62C78BA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18.1 投标截止时间</w:t>
      </w:r>
    </w:p>
    <w:p w14:paraId="5CAF2A88">
      <w:pPr>
        <w:keepNext w:val="0"/>
        <w:keepLines w:val="0"/>
        <w:pageBreakBefore w:val="0"/>
        <w:widowControl w:val="0"/>
        <w:kinsoku w:val="0"/>
        <w:wordWrap/>
        <w:overflowPunct/>
        <w:topLinePunct w:val="0"/>
        <w:autoSpaceDE w:val="0"/>
        <w:autoSpaceDN w:val="0"/>
        <w:bidi w:val="0"/>
        <w:adjustRightInd w:val="0"/>
        <w:snapToGrid w:val="0"/>
        <w:spacing w:before="46" w:beforeAutospacing="0" w:afterAutospacing="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18.1.1 投标截止时间详见“第一章 投标邀请 ”。</w:t>
      </w:r>
    </w:p>
    <w:p w14:paraId="35A0AD20">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60" w:leftChars="0" w:right="82" w:hanging="56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18.1.2 电子版投标文件必须在招标文件规定的投标截止时间前上传到江西省公共资源交易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否则投标无效。</w:t>
      </w:r>
    </w:p>
    <w:p w14:paraId="5582BB4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20" w:leftChars="0" w:right="77" w:hanging="62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18.1.3 采购代理机构推迟投标截止时间，在江西</w:t>
      </w:r>
      <w:r>
        <w:rPr>
          <w:rFonts w:hint="eastAsia" w:ascii="宋体" w:hAnsi="宋体" w:eastAsia="宋体" w:cs="宋体"/>
          <w:color w:val="auto"/>
          <w:spacing w:val="0"/>
          <w:w w:val="100"/>
          <w:position w:val="0"/>
          <w:sz w:val="24"/>
          <w:szCs w:val="24"/>
          <w:highlight w:val="none"/>
          <w:lang w:val="en-US" w:eastAsia="zh-CN"/>
        </w:rPr>
        <w:t>省</w:t>
      </w:r>
      <w:r>
        <w:rPr>
          <w:rFonts w:hint="eastAsia" w:ascii="宋体" w:hAnsi="宋体" w:eastAsia="宋体" w:cs="宋体"/>
          <w:color w:val="auto"/>
          <w:spacing w:val="0"/>
          <w:w w:val="100"/>
          <w:position w:val="0"/>
          <w:sz w:val="24"/>
          <w:szCs w:val="24"/>
          <w:highlight w:val="none"/>
          <w:lang w:eastAsia="zh-CN"/>
        </w:rPr>
        <w:t>政府采购网以及江西省公共资源交易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发布延期公告，延期函以网上公告的形式通知所有已下载招标文件的投标人。在这种情况下，采购代理机构、采购人和投标人受投标截止时间制约的所有权利和义务均应延长至新的投标截止时间。</w:t>
      </w:r>
    </w:p>
    <w:p w14:paraId="3EA493F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18.2 迟交的投标文件</w:t>
      </w:r>
    </w:p>
    <w:p w14:paraId="4172C1D1">
      <w:pPr>
        <w:pStyle w:val="7"/>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highlight w:val="none"/>
          <w:lang w:val="en-US" w:eastAsia="zh-CN" w:bidi="ar-SA"/>
        </w:rPr>
        <w:t>18.2.1 在投标截止时间以后送达的CA数字证书，采购代理机构将拒绝接收。</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（适用于见面开标方式）</w:t>
      </w:r>
    </w:p>
    <w:p w14:paraId="10EA1B73">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ind w:left="645" w:leftChars="0" w:hanging="645" w:hangingChars="269"/>
        <w:textAlignment w:val="baseline"/>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val="en-US" w:eastAsia="zh-CN"/>
        </w:rPr>
        <w:t>18.2.2 未在投标截止时间前进行网上在线签到的，视为投标无效。</w:t>
      </w: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（适用于不见面开标方式）</w:t>
      </w:r>
    </w:p>
    <w:p w14:paraId="76CDD43F">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0" w:afterLines="25" w:afterAutospacing="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18.3 投标文件的修改和撤回</w:t>
      </w:r>
    </w:p>
    <w:p w14:paraId="4024F3C6">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18.3.1 在投标截止时间前，投标人修改或撤回投标文件的，投标人可以在江西省公共资源交易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上重新上传修改后的投标文件或撤回其投标。</w:t>
      </w:r>
    </w:p>
    <w:p w14:paraId="654D1918">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18.3.2 投标有效期期满这段时间内，投标人不得撤销其投标，否则不予退还其交纳的投标保证金。</w:t>
      </w:r>
    </w:p>
    <w:p w14:paraId="1DC4D85A">
      <w:pPr>
        <w:keepNext w:val="0"/>
        <w:keepLines w:val="0"/>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ind w:left="635" w:leftChars="0" w:hanging="635" w:firstLineChars="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18.4 原件及样品递交要求：招标文件要求提供材料原件、样品佐证的，所提供的物品必须在投标文件递交截止时间前递交至开标地点，逾期不予接收。具体要求详见“投标须知前附表”</w:t>
      </w:r>
    </w:p>
    <w:p w14:paraId="5F5387BF">
      <w:pPr>
        <w:keepNext w:val="0"/>
        <w:keepLines w:val="0"/>
        <w:pageBreakBefore w:val="0"/>
        <w:widowControl w:val="0"/>
        <w:kinsoku w:val="0"/>
        <w:wordWrap/>
        <w:overflowPunct/>
        <w:topLinePunct w:val="0"/>
        <w:autoSpaceDE w:val="0"/>
        <w:autoSpaceDN w:val="0"/>
        <w:bidi w:val="0"/>
        <w:adjustRightInd w:val="0"/>
        <w:snapToGrid w:val="0"/>
        <w:spacing w:before="48" w:afterAutospacing="0"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49" w:name="_Toc1165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19.分包的规定</w:t>
      </w:r>
      <w:bookmarkEnd w:id="49"/>
    </w:p>
    <w:p w14:paraId="321823A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19.1 本项目是否允许分包：详见“投标人须知前附表 ”。</w:t>
      </w:r>
    </w:p>
    <w:p w14:paraId="33DBF332">
      <w:pPr>
        <w:keepNext w:val="0"/>
        <w:keepLines w:val="0"/>
        <w:pageBreakBefore w:val="0"/>
        <w:widowControl w:val="0"/>
        <w:kinsoku w:val="0"/>
        <w:wordWrap/>
        <w:overflowPunct/>
        <w:topLinePunct w:val="0"/>
        <w:autoSpaceDE w:val="0"/>
        <w:autoSpaceDN w:val="0"/>
        <w:bidi w:val="0"/>
        <w:adjustRightInd w:val="0"/>
        <w:snapToGrid w:val="0"/>
        <w:spacing w:before="63" w:beforeAutospacing="0" w:line="360" w:lineRule="auto"/>
        <w:ind w:left="574" w:leftChars="0" w:right="61" w:hanging="56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19.2 在中标后将中标项目的非主体、非关键性工作分包的，应当在投标文件中载明分包承担主体，分包承担主体应当具备相应资质条件且不得再次分包。</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（适用于允许分包）</w:t>
      </w:r>
    </w:p>
    <w:p w14:paraId="462C5CE3">
      <w:pPr>
        <w:keepNext w:val="0"/>
        <w:keepLines w:val="0"/>
        <w:pageBreakBefore w:val="0"/>
        <w:widowControl w:val="0"/>
        <w:kinsoku w:val="0"/>
        <w:wordWrap/>
        <w:overflowPunct/>
        <w:topLinePunct w:val="0"/>
        <w:autoSpaceDE w:val="0"/>
        <w:autoSpaceDN w:val="0"/>
        <w:bidi w:val="0"/>
        <w:adjustRightInd w:val="0"/>
        <w:snapToGrid w:val="0"/>
        <w:spacing w:line="360" w:lineRule="auto"/>
        <w:ind w:left="574" w:leftChars="0" w:hanging="574" w:firstLineChars="0"/>
        <w:jc w:val="both"/>
        <w:textAlignment w:val="baseline"/>
        <w:outlineLvl w:val="1"/>
        <w:rPr>
          <w:rFonts w:hint="eastAsia" w:ascii="宋体" w:hAnsi="宋体" w:eastAsia="宋体" w:cs="宋体"/>
          <w:color w:val="auto"/>
          <w:spacing w:val="0"/>
          <w:w w:val="100"/>
          <w:position w:val="0"/>
          <w:highlight w:val="none"/>
          <w:lang w:val="en-US" w:eastAsia="zh-CN"/>
        </w:rPr>
      </w:pPr>
      <w:bookmarkStart w:id="50" w:name="_Toc21333"/>
      <w:r>
        <w:rPr>
          <w:rFonts w:hint="eastAsia" w:ascii="宋体" w:hAnsi="宋体" w:eastAsia="宋体" w:cs="宋体"/>
          <w:color w:val="auto"/>
          <w:spacing w:val="0"/>
          <w:w w:val="100"/>
          <w:position w:val="0"/>
          <w:sz w:val="24"/>
          <w:szCs w:val="24"/>
          <w:highlight w:val="none"/>
          <w:lang w:eastAsia="zh-CN"/>
        </w:rPr>
        <w:t>19.3</w:t>
      </w:r>
      <w:r>
        <w:rPr>
          <w:rFonts w:hint="eastAsia" w:ascii="宋体" w:hAnsi="宋体" w:eastAsia="宋体" w:cs="宋体"/>
          <w:color w:val="auto"/>
          <w:spacing w:val="0"/>
          <w:w w:val="100"/>
          <w:position w:val="0"/>
          <w:sz w:val="24"/>
          <w:szCs w:val="24"/>
          <w:highlight w:val="none"/>
          <w:lang w:val="en-US" w:eastAsia="zh-CN"/>
        </w:rPr>
        <w:t xml:space="preserve"> 依据《政府采购促进中小企业发展管理办法》规定享受扶持政策获得政府采购合同的，小微企业不得将合同分包给大中型企业，中型企业不得将合同分包给大型企业。</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（适用于允许分包）</w:t>
      </w:r>
      <w:bookmarkEnd w:id="50"/>
    </w:p>
    <w:p w14:paraId="76BA3180">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outlineLvl w:val="1"/>
        <w:rPr>
          <w:rFonts w:hint="eastAsia" w:ascii="宋体" w:hAnsi="宋体" w:eastAsia="宋体" w:cs="宋体"/>
          <w:color w:val="auto"/>
          <w:spacing w:val="0"/>
          <w:w w:val="100"/>
          <w:position w:val="0"/>
          <w:highlight w:val="none"/>
          <w:lang w:eastAsia="zh-CN"/>
        </w:rPr>
      </w:pPr>
      <w:bookmarkStart w:id="51" w:name="_Toc1466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20.恶意串通等行为的处理及串通投标情形的认定</w:t>
      </w:r>
      <w:bookmarkEnd w:id="51"/>
    </w:p>
    <w:p w14:paraId="117971D1">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20.1 投标人应当遵循公平竞争的原则，不得恶意串通，不得妨碍其他投标人的竞争行为，不得损害采购人或者其他投标人的合法权益。在评标过程中发现投标人有上述情形的，评标委员会应当认定其投标无效，并书面报告本级财政部门。</w:t>
      </w:r>
    </w:p>
    <w:p w14:paraId="6AAB042F">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20.2 有下列情形之一的，视为投标人串通投标，其</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w:t>
      </w:r>
    </w:p>
    <w:p w14:paraId="3C1FD72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（1）不同投标人的投标文件由同一单位或者个人编制；</w:t>
      </w:r>
    </w:p>
    <w:p w14:paraId="53E4159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（2）不同投标人委托同一单位或者个人办理投标事宜；</w:t>
      </w:r>
    </w:p>
    <w:p w14:paraId="5ADC7D97">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（3）不同投标人的投标文件载明的项目管理成员或者联系人员为同一人；</w:t>
      </w:r>
    </w:p>
    <w:p w14:paraId="6D134A26">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（4）不同投标人的投标文件异常一致或者投标报价呈规律性差异；</w:t>
      </w:r>
    </w:p>
    <w:p w14:paraId="4EAA28E9">
      <w:pPr>
        <w:keepNext w:val="0"/>
        <w:keepLines w:val="0"/>
        <w:pageBreakBefore w:val="0"/>
        <w:widowControl w:val="0"/>
        <w:kinsoku w:val="0"/>
        <w:wordWrap/>
        <w:overflowPunct/>
        <w:topLinePunct w:val="0"/>
        <w:autoSpaceDE w:val="0"/>
        <w:autoSpaceDN w:val="0"/>
        <w:bidi w:val="0"/>
        <w:adjustRightInd w:val="0"/>
        <w:snapToGrid w:val="0"/>
        <w:spacing w:line="360" w:lineRule="auto"/>
        <w:ind w:left="48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（5）不同投标人的投标文件相互混装；</w:t>
      </w:r>
    </w:p>
    <w:p w14:paraId="2AB1D8E7">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（6）不同投标人的投标保证金从同一单位或者个人的账户转出。</w:t>
      </w:r>
    </w:p>
    <w:p w14:paraId="6AB9552F">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11"/>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20.3 </w:t>
      </w:r>
      <w:r>
        <w:rPr>
          <w:rFonts w:hint="eastAsia" w:ascii="宋体" w:hAnsi="宋体" w:eastAsia="宋体" w:cs="宋体"/>
          <w:snapToGrid w:val="0"/>
          <w:color w:val="auto"/>
          <w:spacing w:val="0"/>
          <w:position w:val="0"/>
          <w:sz w:val="24"/>
          <w:szCs w:val="24"/>
          <w:highlight w:val="none"/>
          <w:lang w:val="en-US" w:eastAsia="zh-CN" w:bidi="ar-SA"/>
        </w:rPr>
        <w:t>投标人</w:t>
      </w:r>
      <w:r>
        <w:rPr>
          <w:rFonts w:hint="eastAsia" w:ascii="宋体" w:hAnsi="宋体" w:eastAsia="宋体" w:cs="宋体"/>
          <w:color w:val="auto"/>
          <w:spacing w:val="0"/>
          <w:position w:val="0"/>
          <w:sz w:val="24"/>
          <w:szCs w:val="24"/>
          <w:highlight w:val="none"/>
          <w:lang w:val="en-US" w:eastAsia="zh-CN"/>
        </w:rPr>
        <w:t>在政府采购项目中存在以下情形之一的，</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其投标无效：</w:t>
      </w:r>
    </w:p>
    <w:p w14:paraId="60B2C7A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（1）</w:t>
      </w:r>
      <w:r>
        <w:rPr>
          <w:rFonts w:hint="eastAsia" w:ascii="宋体" w:hAnsi="宋体" w:eastAsia="宋体" w:cs="宋体"/>
          <w:color w:val="auto"/>
          <w:spacing w:val="0"/>
          <w:position w:val="0"/>
          <w:sz w:val="24"/>
          <w:szCs w:val="24"/>
          <w:highlight w:val="none"/>
          <w:lang w:val="en-US" w:eastAsia="zh-CN"/>
        </w:rPr>
        <w:t>不同投标人电子投标文件的创建标识码信息相同的；</w:t>
      </w:r>
    </w:p>
    <w:p w14:paraId="31646E1B">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（2）不同投标人上传或编制电子投标文件的机器码(计算机网卡MAC 地址、主板序列号、CPU 序列号、硬盘序列号)等硬件信息相同的；</w:t>
      </w:r>
    </w:p>
    <w:p w14:paraId="201C7A1C">
      <w:pPr>
        <w:keepNext w:val="0"/>
        <w:keepLines w:val="0"/>
        <w:pageBreakBefore w:val="0"/>
        <w:widowControl w:val="0"/>
        <w:kinsoku w:val="0"/>
        <w:wordWrap/>
        <w:overflowPunct/>
        <w:topLinePunct w:val="0"/>
        <w:autoSpaceDE w:val="0"/>
        <w:autoSpaceDN w:val="0"/>
        <w:bidi w:val="0"/>
        <w:adjustRightInd w:val="0"/>
        <w:snapToGrid w:val="0"/>
        <w:spacing w:before="0" w:line="360" w:lineRule="auto"/>
        <w:ind w:left="409" w:leftChars="195" w:firstLine="8" w:firstLineChars="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（3）不同投标人上传电子投标文件的计算机IP地址相同且不能提供合理说明的；</w:t>
      </w:r>
    </w:p>
    <w:p w14:paraId="16F39A23">
      <w:pPr>
        <w:pStyle w:val="6"/>
        <w:spacing w:afterAutospacing="0"/>
        <w:ind w:left="0" w:leftChars="0" w:firstLine="420" w:firstLineChars="175"/>
        <w:rPr>
          <w:rFonts w:hint="eastAsia" w:ascii="宋体" w:hAnsi="宋体" w:eastAsia="宋体" w:cs="宋体"/>
          <w:highlight w:val="none"/>
          <w:lang w:eastAsia="zh-CN"/>
        </w:rPr>
      </w:pPr>
      <w:r>
        <w:rPr>
          <w:rFonts w:hint="eastAsia" w:ascii="宋体" w:hAnsi="宋体" w:eastAsia="宋体" w:cs="宋体"/>
          <w:color w:val="auto"/>
          <w:spacing w:val="0"/>
          <w:position w:val="0"/>
          <w:sz w:val="24"/>
          <w:szCs w:val="24"/>
          <w:highlight w:val="none"/>
          <w:lang w:val="en-US" w:eastAsia="zh-CN"/>
        </w:rPr>
        <w:t>（4）政府采购法律法规规定的其他恶意串通、视同串通投标情形的。</w:t>
      </w:r>
    </w:p>
    <w:p w14:paraId="5951F34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119" w:beforeAutospacing="0" w:afterAutospacing="0" w:line="480" w:lineRule="auto"/>
        <w:jc w:val="center"/>
        <w:textAlignment w:val="baseline"/>
        <w:outlineLvl w:val="1"/>
        <w:rPr>
          <w:rFonts w:hint="eastAsia" w:ascii="宋体" w:hAnsi="宋体" w:eastAsia="宋体" w:cs="宋体"/>
          <w:spacing w:val="0"/>
          <w:w w:val="100"/>
          <w:position w:val="0"/>
          <w:highlight w:val="none"/>
          <w:lang w:eastAsia="zh-CN"/>
        </w:rPr>
      </w:pPr>
      <w:bookmarkStart w:id="52" w:name="_Toc2894"/>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四、</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开标</w:t>
      </w:r>
      <w:bookmarkEnd w:id="52"/>
    </w:p>
    <w:p w14:paraId="355811F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53" w:name="_Toc1121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21.开标</w:t>
      </w:r>
      <w:bookmarkEnd w:id="53"/>
    </w:p>
    <w:p w14:paraId="0B7ADC2A">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outlineLvl w:val="1"/>
        <w:rPr>
          <w:rFonts w:hint="eastAsia" w:ascii="宋体" w:hAnsi="宋体" w:eastAsia="宋体" w:cs="宋体"/>
          <w:color w:val="auto"/>
          <w:spacing w:val="0"/>
          <w:w w:val="100"/>
          <w:position w:val="0"/>
          <w:sz w:val="24"/>
          <w:szCs w:val="24"/>
          <w:highlight w:val="none"/>
          <w:lang w:val="en-US" w:eastAsia="zh-CN"/>
        </w:rPr>
      </w:pPr>
      <w:bookmarkStart w:id="54" w:name="_Toc24620"/>
      <w:r>
        <w:rPr>
          <w:rFonts w:hint="eastAsia" w:ascii="宋体" w:hAnsi="宋体" w:eastAsia="宋体" w:cs="宋体"/>
          <w:color w:val="auto"/>
          <w:spacing w:val="0"/>
          <w:w w:val="100"/>
          <w:position w:val="0"/>
          <w:sz w:val="24"/>
          <w:szCs w:val="24"/>
          <w:highlight w:val="none"/>
          <w:lang w:eastAsia="zh-CN"/>
        </w:rPr>
        <w:t>21.1 开标：本项目</w:t>
      </w:r>
      <w:r>
        <w:rPr>
          <w:rFonts w:hint="eastAsia" w:ascii="宋体" w:hAnsi="宋体" w:eastAsia="宋体" w:cs="宋体"/>
          <w:color w:val="auto"/>
          <w:spacing w:val="0"/>
          <w:w w:val="100"/>
          <w:position w:val="0"/>
          <w:sz w:val="24"/>
          <w:szCs w:val="24"/>
          <w:highlight w:val="none"/>
          <w:lang w:val="en-US" w:eastAsia="zh-CN"/>
        </w:rPr>
        <w:t>开标方式及</w:t>
      </w:r>
      <w:r>
        <w:rPr>
          <w:rFonts w:hint="eastAsia" w:ascii="宋体" w:hAnsi="宋体" w:eastAsia="宋体" w:cs="宋体"/>
          <w:color w:val="auto"/>
          <w:spacing w:val="0"/>
          <w:w w:val="100"/>
          <w:position w:val="0"/>
          <w:sz w:val="24"/>
          <w:szCs w:val="24"/>
          <w:highlight w:val="none"/>
          <w:lang w:eastAsia="zh-CN"/>
        </w:rPr>
        <w:t>开标注意事项详见第二章“</w:t>
      </w:r>
      <w:r>
        <w:rPr>
          <w:rFonts w:hint="eastAsia" w:ascii="宋体" w:hAnsi="宋体" w:eastAsia="宋体" w:cs="宋体"/>
          <w:color w:val="auto"/>
          <w:spacing w:val="0"/>
          <w:w w:val="100"/>
          <w:position w:val="0"/>
          <w:sz w:val="24"/>
          <w:szCs w:val="24"/>
          <w:highlight w:val="none"/>
          <w:lang w:val="en-US" w:eastAsia="zh-CN"/>
        </w:rPr>
        <w:t>投标人须知前附表</w:t>
      </w:r>
      <w:r>
        <w:rPr>
          <w:rFonts w:hint="eastAsia" w:ascii="宋体" w:hAnsi="宋体" w:eastAsia="宋体" w:cs="宋体"/>
          <w:color w:val="auto"/>
          <w:spacing w:val="0"/>
          <w:w w:val="100"/>
          <w:position w:val="0"/>
          <w:sz w:val="24"/>
          <w:szCs w:val="24"/>
          <w:highlight w:val="none"/>
          <w:lang w:eastAsia="zh-CN"/>
        </w:rPr>
        <w:t>”。</w:t>
      </w:r>
      <w:bookmarkEnd w:id="54"/>
    </w:p>
    <w:p w14:paraId="1238E417">
      <w:pPr>
        <w:keepNext w:val="0"/>
        <w:keepLines w:val="0"/>
        <w:pageBreakBefore w:val="0"/>
        <w:widowControl w:val="0"/>
        <w:kinsoku/>
        <w:wordWrap/>
        <w:overflowPunct/>
        <w:topLinePunct w:val="0"/>
        <w:autoSpaceDE/>
        <w:autoSpaceDN/>
        <w:bidi w:val="0"/>
        <w:adjustRightInd/>
        <w:snapToGrid/>
        <w:spacing w:line="360" w:lineRule="auto"/>
        <w:ind w:left="643" w:leftChars="0" w:hanging="643" w:hangingChars="268"/>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21.2 开标由采购代理机构主持，邀请投标人参加。评标委员会成员不得参加开标活动。</w:t>
      </w:r>
    </w:p>
    <w:p w14:paraId="77929614">
      <w:pPr>
        <w:keepNext w:val="0"/>
        <w:keepLines w:val="0"/>
        <w:pageBreakBefore w:val="0"/>
        <w:widowControl w:val="0"/>
        <w:kinsoku/>
        <w:wordWrap/>
        <w:overflowPunct/>
        <w:topLinePunct w:val="0"/>
        <w:autoSpaceDE/>
        <w:autoSpaceDN/>
        <w:bidi w:val="0"/>
        <w:adjustRightInd/>
        <w:snapToGrid/>
        <w:spacing w:line="360" w:lineRule="auto"/>
        <w:ind w:left="480" w:hanging="480" w:hangingChars="200"/>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21.3 </w:t>
      </w:r>
      <w:r>
        <w:rPr>
          <w:rFonts w:hint="eastAsia" w:ascii="宋体" w:hAnsi="宋体" w:eastAsia="宋体" w:cs="宋体"/>
          <w:color w:val="auto"/>
          <w:spacing w:val="0"/>
          <w:w w:val="100"/>
          <w:position w:val="0"/>
          <w:sz w:val="24"/>
          <w:szCs w:val="24"/>
          <w:highlight w:val="none"/>
          <w:lang w:val="en-US" w:eastAsia="zh-CN"/>
        </w:rPr>
        <w:t>投标人未在规定时间内使用CA数字证书完成解密投标文件的，</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投标无效。</w:t>
      </w:r>
    </w:p>
    <w:p w14:paraId="0DFE7AE6">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21.4 开标时，采购代理机构将宣读投标人名称、投标</w:t>
      </w:r>
      <w:r>
        <w:rPr>
          <w:rFonts w:hint="eastAsia" w:ascii="宋体" w:hAnsi="宋体" w:eastAsia="宋体" w:cs="宋体"/>
          <w:color w:val="auto"/>
          <w:spacing w:val="0"/>
          <w:w w:val="100"/>
          <w:position w:val="0"/>
          <w:sz w:val="24"/>
          <w:szCs w:val="24"/>
          <w:highlight w:val="none"/>
          <w:lang w:val="en-US" w:eastAsia="zh-CN"/>
        </w:rPr>
        <w:t>报</w:t>
      </w:r>
      <w:r>
        <w:rPr>
          <w:rFonts w:hint="eastAsia" w:ascii="宋体" w:hAnsi="宋体" w:eastAsia="宋体" w:cs="宋体"/>
          <w:color w:val="auto"/>
          <w:spacing w:val="0"/>
          <w:w w:val="100"/>
          <w:position w:val="0"/>
          <w:sz w:val="24"/>
          <w:szCs w:val="24"/>
          <w:highlight w:val="none"/>
          <w:lang w:eastAsia="zh-CN"/>
        </w:rPr>
        <w:t>价以及其</w:t>
      </w:r>
      <w:r>
        <w:rPr>
          <w:rFonts w:hint="eastAsia" w:ascii="宋体" w:hAnsi="宋体" w:eastAsia="宋体" w:cs="宋体"/>
          <w:color w:val="auto"/>
          <w:spacing w:val="0"/>
          <w:w w:val="100"/>
          <w:position w:val="0"/>
          <w:sz w:val="24"/>
          <w:szCs w:val="24"/>
          <w:highlight w:val="none"/>
          <w:lang w:val="en-US" w:eastAsia="zh-CN"/>
        </w:rPr>
        <w:t>他内容。</w:t>
      </w:r>
    </w:p>
    <w:p w14:paraId="5640E2C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638" w:firstLineChars="266"/>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投标人不足</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家的，不得开标。</w:t>
      </w:r>
    </w:p>
    <w:p w14:paraId="1A56B3C9">
      <w:pPr>
        <w:keepNext w:val="0"/>
        <w:keepLines w:val="0"/>
        <w:pageBreakBefore w:val="0"/>
        <w:widowControl w:val="0"/>
        <w:kinsoku w:val="0"/>
        <w:wordWrap/>
        <w:overflowPunct/>
        <w:topLinePunct w:val="0"/>
        <w:autoSpaceDE w:val="0"/>
        <w:autoSpaceDN w:val="0"/>
        <w:bidi w:val="0"/>
        <w:adjustRightInd w:val="0"/>
        <w:snapToGrid w:val="0"/>
        <w:spacing w:line="360" w:lineRule="auto"/>
        <w:ind w:left="638" w:leftChars="0" w:hanging="638" w:hangingChars="266"/>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21.5 开标过程应当由采购代理机构负责记录，并随采购文件一并存档。投标人代表对开标过程和开标记录有疑义，以及认为采购人、采购代理机构相关工作人员有需要回避的情形的，应当场提出询问或者回避申请。采购人、采购代理机构对投标人代表提出的询问或者回避申请应当及时处理。投标人未参加开标的，视同认可开标结</w:t>
      </w:r>
      <w:r>
        <w:rPr>
          <w:rFonts w:hint="eastAsia" w:ascii="宋体" w:hAnsi="宋体" w:eastAsia="宋体" w:cs="宋体"/>
          <w:color w:val="auto"/>
          <w:spacing w:val="0"/>
          <w:w w:val="100"/>
          <w:position w:val="0"/>
          <w:sz w:val="24"/>
          <w:szCs w:val="24"/>
          <w:highlight w:val="none"/>
          <w:lang w:val="en-US" w:eastAsia="zh-CN"/>
        </w:rPr>
        <w:t>果。</w:t>
      </w:r>
    </w:p>
    <w:p w14:paraId="0531720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0" w:beforeLines="50" w:afterAutospacing="0" w:line="480" w:lineRule="auto"/>
        <w:jc w:val="center"/>
        <w:textAlignment w:val="baseline"/>
        <w:outlineLvl w:val="1"/>
        <w:rPr>
          <w:rFonts w:hint="eastAsia" w:ascii="宋体" w:hAnsi="宋体" w:eastAsia="宋体" w:cs="宋体"/>
          <w:color w:val="auto"/>
          <w:spacing w:val="0"/>
          <w:w w:val="100"/>
          <w:position w:val="0"/>
          <w:highlight w:val="none"/>
          <w:lang w:eastAsia="zh-CN"/>
        </w:rPr>
      </w:pPr>
      <w:bookmarkStart w:id="55" w:name="_Toc13614"/>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五、评标</w:t>
      </w:r>
      <w:bookmarkEnd w:id="55"/>
    </w:p>
    <w:p w14:paraId="748106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56" w:name="_Toc119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22.评标</w:t>
      </w:r>
      <w:bookmarkEnd w:id="56"/>
    </w:p>
    <w:p w14:paraId="027DC1AB">
      <w:pPr>
        <w:keepNext w:val="0"/>
        <w:keepLines w:val="0"/>
        <w:pageBreakBefore w:val="0"/>
        <w:widowControl w:val="0"/>
        <w:kinsoku w:val="0"/>
        <w:wordWrap/>
        <w:overflowPunct/>
        <w:topLinePunct w:val="0"/>
        <w:autoSpaceDE w:val="0"/>
        <w:autoSpaceDN w:val="0"/>
        <w:bidi w:val="0"/>
        <w:adjustRightInd w:val="0"/>
        <w:snapToGrid w:val="0"/>
        <w:spacing w:before="47" w:line="360" w:lineRule="auto"/>
        <w:ind w:left="657" w:leftChars="0" w:hanging="657" w:hangingChars="274"/>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22.1 公开招标采购项目开标结束后，采购人或者采购代理机构应当依法对投标人的资格进行审查。</w:t>
      </w:r>
    </w:p>
    <w:p w14:paraId="55614BE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firstLine="657" w:firstLineChars="2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合格投标人不足</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家的，不得评标。</w:t>
      </w:r>
    </w:p>
    <w:p w14:paraId="5B20469C">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lang w:eastAsia="zh-CN"/>
        </w:rPr>
        <w:t>评标委员会</w:t>
      </w:r>
    </w:p>
    <w:p w14:paraId="3435F175">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8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评标由依照有关法规组建的评标委员会负责。</w:t>
      </w:r>
    </w:p>
    <w:p w14:paraId="2F7BD8D5">
      <w:pPr>
        <w:keepNext w:val="0"/>
        <w:keepLines w:val="0"/>
        <w:pageBreakBefore w:val="0"/>
        <w:widowControl w:val="0"/>
        <w:kinsoku w:val="0"/>
        <w:wordWrap/>
        <w:overflowPunct/>
        <w:topLinePunct w:val="0"/>
        <w:autoSpaceDE w:val="0"/>
        <w:autoSpaceDN w:val="0"/>
        <w:bidi w:val="0"/>
        <w:adjustRightInd w:val="0"/>
        <w:snapToGrid w:val="0"/>
        <w:spacing w:before="47"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 xml:space="preserve">3 </w:t>
      </w:r>
      <w:r>
        <w:rPr>
          <w:rFonts w:hint="eastAsia" w:ascii="宋体" w:hAnsi="宋体" w:eastAsia="宋体" w:cs="宋体"/>
          <w:color w:val="auto"/>
          <w:spacing w:val="0"/>
          <w:w w:val="100"/>
          <w:position w:val="0"/>
          <w:sz w:val="24"/>
          <w:szCs w:val="24"/>
          <w:highlight w:val="none"/>
          <w:lang w:eastAsia="zh-CN"/>
        </w:rPr>
        <w:t>评标委员会应当对符合资格的投标人的投标文件进行符合性审查，以确定其是否满足招标文件的实质性要求。</w:t>
      </w:r>
    </w:p>
    <w:p w14:paraId="03710B1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31" w:leftChars="0" w:right="2" w:hanging="62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 xml:space="preserve"> 对于投标文件中含义不明确、同类问题表述不一致或者有明显文字和计算错误的内容，评标委员会应当以书面形式要求投标人做出必要的澄清、说明或者补正。</w:t>
      </w:r>
    </w:p>
    <w:p w14:paraId="7CB963E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80" w:leftChars="27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投标人的澄清、说明或者补正应当采用书面形式，并加盖公章，或者由法定代表人或其授权的代表签字。投标人的澄清、说明或者补正不得超出投标文件的范围或者改变投标文件的实质性内容。</w:t>
      </w:r>
    </w:p>
    <w:p w14:paraId="0CE839BA">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8" w:leftChars="0" w:hanging="638" w:hangingChars="266"/>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 xml:space="preserve">5 </w:t>
      </w:r>
      <w:r>
        <w:rPr>
          <w:rFonts w:hint="eastAsia" w:ascii="宋体" w:hAnsi="宋体" w:eastAsia="宋体" w:cs="宋体"/>
          <w:color w:val="auto"/>
          <w:spacing w:val="0"/>
          <w:w w:val="100"/>
          <w:position w:val="0"/>
          <w:sz w:val="24"/>
          <w:szCs w:val="24"/>
          <w:highlight w:val="none"/>
          <w:lang w:eastAsia="zh-CN"/>
        </w:rPr>
        <w:t>评标委员会应当按照招标文件中规定的评标方法和标准，对符合性审查合格的投标文件进行商务和技术评估，综合比较与评价。</w:t>
      </w:r>
      <w:r>
        <w:rPr>
          <w:rFonts w:hint="eastAsia" w:ascii="宋体" w:hAnsi="宋体" w:eastAsia="宋体" w:cs="宋体"/>
          <w:color w:val="auto"/>
          <w:spacing w:val="0"/>
          <w:position w:val="0"/>
          <w:sz w:val="24"/>
          <w:szCs w:val="24"/>
          <w:highlight w:val="none"/>
          <w:lang w:eastAsia="zh-CN"/>
        </w:rPr>
        <w:t>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电子投标文件的文件创建标识码或上传、编制电子投标文件的机器码等硬件信息相同或属于政府采购法律法规规定的其他恶意串通、视同串通投标情形的，评标委员会应当认定其投标无效。对不同</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上传的电子投标文件计算机的IP地址相同的，评标委员会应当要求相关</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在评审现场合理时间内提供书面说明及必要的证明材料，</w:t>
      </w:r>
      <w:r>
        <w:rPr>
          <w:rFonts w:hint="eastAsia" w:ascii="宋体" w:hAnsi="宋体" w:eastAsia="宋体" w:cs="宋体"/>
          <w:color w:val="auto"/>
          <w:spacing w:val="0"/>
          <w:position w:val="0"/>
          <w:sz w:val="24"/>
          <w:szCs w:val="24"/>
          <w:highlight w:val="none"/>
          <w:lang w:val="en-US" w:eastAsia="zh-CN"/>
        </w:rPr>
        <w:t>投标人</w:t>
      </w:r>
      <w:r>
        <w:rPr>
          <w:rFonts w:hint="eastAsia" w:ascii="宋体" w:hAnsi="宋体" w:eastAsia="宋体" w:cs="宋体"/>
          <w:color w:val="auto"/>
          <w:spacing w:val="0"/>
          <w:position w:val="0"/>
          <w:sz w:val="24"/>
          <w:szCs w:val="24"/>
          <w:highlight w:val="none"/>
          <w:lang w:eastAsia="zh-CN"/>
        </w:rPr>
        <w:t>不能证明其合理性的，评标委员会应当认定其投标无效，并在评审报告中对相关情况予以记录</w:t>
      </w:r>
      <w:r>
        <w:rPr>
          <w:rFonts w:hint="eastAsia" w:ascii="宋体" w:hAnsi="宋体" w:eastAsia="宋体" w:cs="宋体"/>
          <w:color w:val="auto"/>
          <w:spacing w:val="0"/>
          <w:w w:val="100"/>
          <w:position w:val="0"/>
          <w:sz w:val="24"/>
          <w:szCs w:val="24"/>
          <w:highlight w:val="none"/>
          <w:lang w:eastAsia="zh-CN"/>
        </w:rPr>
        <w:t>。</w:t>
      </w:r>
    </w:p>
    <w:p w14:paraId="75353C34">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6</w:t>
      </w:r>
      <w:r>
        <w:rPr>
          <w:rFonts w:hint="eastAsia" w:ascii="宋体" w:hAnsi="宋体" w:eastAsia="宋体" w:cs="宋体"/>
          <w:color w:val="auto"/>
          <w:spacing w:val="0"/>
          <w:w w:val="100"/>
          <w:position w:val="0"/>
          <w:sz w:val="24"/>
          <w:szCs w:val="24"/>
          <w:highlight w:val="none"/>
          <w:lang w:eastAsia="zh-CN"/>
        </w:rPr>
        <w:t xml:space="preserve"> 评标委员会根据全体评标成员签字的原始评标记录和评标结果编写评标报告。</w:t>
      </w:r>
    </w:p>
    <w:p w14:paraId="1899B57A">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631" w:leftChars="5" w:hanging="621" w:hangingChars="25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7</w:t>
      </w:r>
      <w:r>
        <w:rPr>
          <w:rFonts w:hint="eastAsia" w:ascii="宋体" w:hAnsi="宋体" w:eastAsia="宋体" w:cs="宋体"/>
          <w:color w:val="auto"/>
          <w:spacing w:val="0"/>
          <w:w w:val="100"/>
          <w:position w:val="0"/>
          <w:sz w:val="24"/>
          <w:szCs w:val="24"/>
          <w:highlight w:val="none"/>
          <w:lang w:eastAsia="zh-CN"/>
        </w:rPr>
        <w:t xml:space="preserve"> 投标文件报价出现前后不一致的，除招标文件另有规定外，按照下列规定修正：</w:t>
      </w:r>
    </w:p>
    <w:p w14:paraId="1C73EF14">
      <w:pPr>
        <w:keepNext w:val="0"/>
        <w:keepLines w:val="0"/>
        <w:pageBreakBefore w:val="0"/>
        <w:widowControl w:val="0"/>
        <w:kinsoku w:val="0"/>
        <w:wordWrap/>
        <w:overflowPunct/>
        <w:topLinePunct w:val="0"/>
        <w:autoSpaceDE w:val="0"/>
        <w:autoSpaceDN w:val="0"/>
        <w:bidi w:val="0"/>
        <w:adjustRightInd w:val="0"/>
        <w:snapToGrid w:val="0"/>
        <w:spacing w:line="360" w:lineRule="auto"/>
        <w:ind w:left="628" w:leftChars="233" w:hanging="139" w:hangingChars="5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（1）投标文件中开标一览表（报价表）内容与投标文件中相应内容不一致的，以开标一览表（报价表）为准；</w:t>
      </w:r>
    </w:p>
    <w:p w14:paraId="1474517E">
      <w:pPr>
        <w:keepNext w:val="0"/>
        <w:keepLines w:val="0"/>
        <w:pageBreakBefore w:val="0"/>
        <w:widowControl w:val="0"/>
        <w:kinsoku w:val="0"/>
        <w:wordWrap/>
        <w:overflowPunct/>
        <w:topLinePunct w:val="0"/>
        <w:autoSpaceDE w:val="0"/>
        <w:autoSpaceDN w:val="0"/>
        <w:bidi w:val="0"/>
        <w:adjustRightInd w:val="0"/>
        <w:snapToGrid w:val="0"/>
        <w:spacing w:line="360" w:lineRule="auto"/>
        <w:ind w:left="11"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（2）大写金额和小写金额不一致的，以大写金额为准；</w:t>
      </w:r>
    </w:p>
    <w:p w14:paraId="1988EC08">
      <w:pPr>
        <w:keepNext w:val="0"/>
        <w:keepLines w:val="0"/>
        <w:pageBreakBefore w:val="0"/>
        <w:widowControl w:val="0"/>
        <w:kinsoku w:val="0"/>
        <w:wordWrap/>
        <w:overflowPunct/>
        <w:topLinePunct w:val="0"/>
        <w:autoSpaceDE w:val="0"/>
        <w:autoSpaceDN w:val="0"/>
        <w:bidi w:val="0"/>
        <w:adjustRightInd w:val="0"/>
        <w:snapToGrid w:val="0"/>
        <w:spacing w:line="360" w:lineRule="auto"/>
        <w:ind w:left="625" w:leftChars="233" w:hanging="136" w:hangingChars="57"/>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（3）单价金额小数点或者百分比有明显错位的，以开标一览表的总价为准，并修改单价；</w:t>
      </w:r>
    </w:p>
    <w:p w14:paraId="0CFCB065">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11"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（4）总价金额与按单价汇总金额不一致的，以单价金额计算结果为准。</w:t>
      </w:r>
    </w:p>
    <w:p w14:paraId="786526A8">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573" w:leftChars="273"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同时出现两种以上不一致的，按照前款规定的顺序修正。修正后的报价按照投标人的澄清、说明或者补正应当采用书面形式，并加盖公章，或者由法定代表人或其授权的代表签字。投标人的澄清、说明或者补正不得超出投标文件的范围或者改变投标文件的实质性内容的规定经投标人确认后产生约束力，投标人不确认的，其投标无效。</w:t>
      </w:r>
    </w:p>
    <w:p w14:paraId="275D58E0">
      <w:pPr>
        <w:keepNext w:val="0"/>
        <w:keepLines w:val="0"/>
        <w:pageBreakBefore w:val="0"/>
        <w:widowControl w:val="0"/>
        <w:kinsoku w:val="0"/>
        <w:wordWrap/>
        <w:overflowPunct/>
        <w:topLinePunct w:val="0"/>
        <w:autoSpaceDE w:val="0"/>
        <w:autoSpaceDN w:val="0"/>
        <w:bidi w:val="0"/>
        <w:adjustRightInd w:val="0"/>
        <w:snapToGrid w:val="0"/>
        <w:spacing w:before="0" w:beforeAutospacing="0" w:afterAutospacing="0" w:line="360" w:lineRule="auto"/>
        <w:jc w:val="both"/>
        <w:textAlignment w:val="baseline"/>
        <w:rPr>
          <w:rFonts w:hint="eastAsia" w:ascii="宋体" w:hAnsi="宋体" w:eastAsia="宋体" w:cs="宋体"/>
          <w:i w:val="0"/>
          <w:iCs w:val="0"/>
          <w:caps w:val="0"/>
          <w:color w:val="auto"/>
          <w:spacing w:val="0"/>
          <w:sz w:val="24"/>
          <w:szCs w:val="24"/>
          <w:highlight w:val="none"/>
          <w:shd w:val="clear" w:fill="auto"/>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8</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i w:val="0"/>
          <w:iCs w:val="0"/>
          <w:caps w:val="0"/>
          <w:color w:val="auto"/>
          <w:spacing w:val="0"/>
          <w:sz w:val="24"/>
          <w:szCs w:val="24"/>
          <w:highlight w:val="none"/>
          <w:shd w:val="clear" w:fill="auto"/>
          <w:lang w:eastAsia="zh-CN"/>
        </w:rPr>
        <w:t>异常低价审查</w:t>
      </w:r>
    </w:p>
    <w:p w14:paraId="32B57C89">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22.8.1评审中出现下列情形之一的，评审委员会应当启动异常低价投标审查程序：</w:t>
      </w:r>
    </w:p>
    <w:p w14:paraId="6D50C443">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22.8.1.1 投标报价低于全部通过符合性审查投标人投标报价平均值50%的，即投标报价&lt;全部通过符合性审查投标人投标报价平均值×50%；</w:t>
      </w:r>
    </w:p>
    <w:p w14:paraId="5044EE0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22.8.1.2 投标报价低于通过符合性审查的次低报价投标人投标报价50%的，即投标报价&lt;通过符合性审查的次低报价投标人投标报价×50%；</w:t>
      </w:r>
    </w:p>
    <w:p w14:paraId="04BAE47A">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22.8.1.3 投标报价低于采购项目最高限价45%的，即投标报价&lt;采购项目最高限价×45%；</w:t>
      </w:r>
    </w:p>
    <w:p w14:paraId="44FD5DF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22.8.1.4 评审委员会认为投标人报价过低，有可能影响产品质量或者不能诚信履约的其他情形。</w:t>
      </w:r>
    </w:p>
    <w:p w14:paraId="70A03F08">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11" w:right="0" w:firstLine="480" w:firstLineChars="20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相关法律法规对投标人报价有规定的，从其规定。</w:t>
      </w:r>
    </w:p>
    <w:p w14:paraId="5C6AFC92">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0" w:right="0" w:hanging="420" w:hangingChars="175"/>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22.8.2 评审委员会启动异常低价投标审查后，应当要求相关投标人在评审现场合理的时间内对投标价格作出解释，提供项目具体成本测算等与报价合理性相关的书面说明及必要的证明材料。评审委员会结合同类项目的中标价格、在主要电商平台的价格、行业薪资水平等情况，依据专业经验对报价合理性进行判断。投标人不能提供书面说明、证明材料，或者提供的书面说明、证明材料不能证明其报价合理性的，评审委员会应当将其作为无效投标（响应）处理，并在评审报告中记录审查相关情况。</w:t>
      </w:r>
    </w:p>
    <w:p w14:paraId="558112D4">
      <w:pPr>
        <w:keepNext w:val="0"/>
        <w:keepLines w:val="0"/>
        <w:widowControl w:val="0"/>
        <w:suppressLineNumbers w:val="0"/>
        <w:pBdr>
          <w:top w:val="none" w:color="auto" w:sz="0" w:space="0"/>
          <w:left w:val="none" w:color="auto" w:sz="0" w:space="0"/>
          <w:bottom w:val="none" w:color="auto" w:sz="0" w:space="0"/>
          <w:right w:val="none" w:color="auto" w:sz="0" w:space="0"/>
        </w:pBdr>
        <w:shd w:val="clear" w:fill="auto"/>
        <w:spacing w:before="0" w:beforeAutospacing="0" w:after="0" w:afterAutospacing="0" w:line="360" w:lineRule="auto"/>
        <w:ind w:left="420" w:leftChars="200" w:right="0" w:firstLine="0" w:firstLineChars="0"/>
        <w:jc w:val="both"/>
        <w:textAlignment w:val="baseline"/>
        <w:rPr>
          <w:rFonts w:hint="eastAsia" w:ascii="宋体" w:hAnsi="宋体" w:eastAsia="宋体" w:cs="宋体"/>
          <w:i w:val="0"/>
          <w:iCs w:val="0"/>
          <w:caps w:val="0"/>
          <w:color w:val="auto"/>
          <w:spacing w:val="0"/>
          <w:sz w:val="24"/>
          <w:szCs w:val="24"/>
          <w:highlight w:val="none"/>
          <w:lang w:eastAsia="zh-CN"/>
        </w:rPr>
      </w:pPr>
      <w:r>
        <w:rPr>
          <w:rFonts w:hint="eastAsia" w:ascii="宋体" w:hAnsi="宋体" w:eastAsia="宋体" w:cs="宋体"/>
          <w:i w:val="0"/>
          <w:iCs w:val="0"/>
          <w:caps w:val="0"/>
          <w:snapToGrid w:val="0"/>
          <w:color w:val="auto"/>
          <w:spacing w:val="0"/>
          <w:kern w:val="0"/>
          <w:sz w:val="24"/>
          <w:szCs w:val="24"/>
          <w:highlight w:val="none"/>
          <w:shd w:val="clear" w:fill="auto"/>
          <w:vertAlign w:val="baseline"/>
          <w:lang w:val="en-US" w:eastAsia="zh-CN" w:bidi="ar"/>
        </w:rPr>
        <w:t>采购人应当为评审委员会在评审现场及时获取采购项目中标（成交）价格、市场价格水平、行业薪资水平等相关信息资料提供便利。</w:t>
      </w:r>
    </w:p>
    <w:p w14:paraId="2E9F1A5C">
      <w:pPr>
        <w:keepNext w:val="0"/>
        <w:keepLines w:val="0"/>
        <w:pageBreakBefore w:val="0"/>
        <w:widowControl w:val="0"/>
        <w:kinsoku w:val="0"/>
        <w:wordWrap/>
        <w:overflowPunct/>
        <w:topLinePunct w:val="0"/>
        <w:autoSpaceDE w:val="0"/>
        <w:autoSpaceDN w:val="0"/>
        <w:bidi w:val="0"/>
        <w:adjustRightInd w:val="0"/>
        <w:snapToGrid w:val="0"/>
        <w:spacing w:before="0" w:beforeLines="19" w:beforeAutospacing="0" w:line="360" w:lineRule="auto"/>
        <w:ind w:left="1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w:t>
      </w:r>
      <w:r>
        <w:rPr>
          <w:rFonts w:hint="eastAsia" w:ascii="宋体" w:hAnsi="宋体" w:eastAsia="宋体" w:cs="宋体"/>
          <w:color w:val="auto"/>
          <w:spacing w:val="0"/>
          <w:w w:val="100"/>
          <w:position w:val="0"/>
          <w:sz w:val="24"/>
          <w:szCs w:val="24"/>
          <w:highlight w:val="none"/>
          <w:lang w:val="en-US" w:eastAsia="zh-CN"/>
        </w:rPr>
        <w:t>9</w:t>
      </w:r>
      <w:r>
        <w:rPr>
          <w:rFonts w:hint="eastAsia" w:ascii="宋体" w:hAnsi="宋体" w:eastAsia="宋体" w:cs="宋体"/>
          <w:color w:val="auto"/>
          <w:spacing w:val="0"/>
          <w:w w:val="100"/>
          <w:position w:val="0"/>
          <w:sz w:val="24"/>
          <w:szCs w:val="24"/>
          <w:highlight w:val="none"/>
          <w:lang w:eastAsia="zh-CN"/>
        </w:rPr>
        <w:t xml:space="preserve"> 投标人存在下列情况之一的，</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投标无效</w:t>
      </w:r>
      <w:r>
        <w:rPr>
          <w:rFonts w:hint="eastAsia" w:ascii="宋体" w:hAnsi="宋体" w:eastAsia="宋体" w:cs="宋体"/>
          <w:color w:val="auto"/>
          <w:spacing w:val="0"/>
          <w:w w:val="100"/>
          <w:position w:val="0"/>
          <w:sz w:val="24"/>
          <w:szCs w:val="24"/>
          <w:highlight w:val="none"/>
          <w:lang w:eastAsia="zh-CN"/>
        </w:rPr>
        <w:t>：</w:t>
      </w:r>
    </w:p>
    <w:p w14:paraId="3930AF63">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（1）未按照招标文件的规定提交投标保证金的；</w:t>
      </w:r>
    </w:p>
    <w:p w14:paraId="70C1941E">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（2）投标文件未按招标文件要求签署、盖章的；</w:t>
      </w:r>
    </w:p>
    <w:p w14:paraId="2D655F9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559" w:firstLineChars="23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（3）不具备招标文件中规定的资格要求的；</w:t>
      </w:r>
    </w:p>
    <w:p w14:paraId="46219F58">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266"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（4）报价超过招标文件中规定的预算金额或者最高限价的；</w:t>
      </w:r>
    </w:p>
    <w:p w14:paraId="2EA2CF6B">
      <w:pPr>
        <w:keepNext w:val="0"/>
        <w:keepLines w:val="0"/>
        <w:pageBreakBefore w:val="0"/>
        <w:widowControl w:val="0"/>
        <w:kinsoku w:val="0"/>
        <w:wordWrap/>
        <w:overflowPunct/>
        <w:topLinePunct w:val="0"/>
        <w:autoSpaceDE w:val="0"/>
        <w:autoSpaceDN w:val="0"/>
        <w:bidi w:val="0"/>
        <w:adjustRightInd w:val="0"/>
        <w:snapToGrid w:val="0"/>
        <w:spacing w:line="360" w:lineRule="auto"/>
        <w:ind w:left="559" w:leftChars="0" w:firstLine="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（5）投标文件含有采购人不能接受的附加条件的；</w:t>
      </w:r>
    </w:p>
    <w:p w14:paraId="251ED764">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59" w:leftChars="0" w:firstLine="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（6）法律、法规和招标文件规定的其他无效情形。</w:t>
      </w:r>
    </w:p>
    <w:p w14:paraId="30A42370">
      <w:pPr>
        <w:keepNext w:val="0"/>
        <w:keepLines w:val="0"/>
        <w:pageBreakBefore w:val="0"/>
        <w:widowControl w:val="0"/>
        <w:kinsoku w:val="0"/>
        <w:wordWrap/>
        <w:overflowPunct/>
        <w:topLinePunct w:val="0"/>
        <w:autoSpaceDE w:val="0"/>
        <w:autoSpaceDN w:val="0"/>
        <w:bidi w:val="0"/>
        <w:adjustRightInd w:val="0"/>
        <w:snapToGrid w:val="0"/>
        <w:spacing w:before="47" w:beforeAutospacing="0" w:line="360" w:lineRule="auto"/>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0</w:t>
      </w:r>
      <w:r>
        <w:rPr>
          <w:rFonts w:hint="eastAsia" w:ascii="宋体" w:hAnsi="宋体" w:eastAsia="宋体" w:cs="宋体"/>
          <w:color w:val="auto"/>
          <w:spacing w:val="0"/>
          <w:w w:val="100"/>
          <w:position w:val="0"/>
          <w:sz w:val="24"/>
          <w:szCs w:val="24"/>
          <w:highlight w:val="none"/>
          <w:lang w:eastAsia="zh-CN"/>
        </w:rPr>
        <w:t xml:space="preserve"> 在招标采购中，出现下列情形之一的，</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应予废标：</w:t>
      </w:r>
    </w:p>
    <w:p w14:paraId="531B234E">
      <w:pPr>
        <w:keepNext w:val="0"/>
        <w:keepLines w:val="0"/>
        <w:pageBreakBefore w:val="0"/>
        <w:widowControl w:val="0"/>
        <w:kinsoku w:val="0"/>
        <w:wordWrap/>
        <w:overflowPunct/>
        <w:topLinePunct w:val="0"/>
        <w:autoSpaceDE w:val="0"/>
        <w:autoSpaceDN w:val="0"/>
        <w:bidi w:val="0"/>
        <w:adjustRightInd w:val="0"/>
        <w:snapToGrid w:val="0"/>
        <w:spacing w:line="360" w:lineRule="auto"/>
        <w:ind w:left="694" w:leftChars="260" w:hanging="148" w:hangingChars="6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（1）符合专业条件的投标人或者对招标文件作实质响应的投标人不足三家的；</w:t>
      </w:r>
    </w:p>
    <w:p w14:paraId="1E74EEB7">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（2）出现影响采购公正的违法、违规行为的；</w:t>
      </w:r>
    </w:p>
    <w:p w14:paraId="47E6DBE0">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（3）投标人的报价均超过了采购预算，采购人不能支付的；</w:t>
      </w:r>
    </w:p>
    <w:p w14:paraId="3B779DEA">
      <w:pPr>
        <w:keepNext w:val="0"/>
        <w:keepLines w:val="0"/>
        <w:pageBreakBefore w:val="0"/>
        <w:widowControl w:val="0"/>
        <w:kinsoku w:val="0"/>
        <w:wordWrap/>
        <w:overflowPunct/>
        <w:topLinePunct w:val="0"/>
        <w:autoSpaceDE w:val="0"/>
        <w:autoSpaceDN w:val="0"/>
        <w:bidi w:val="0"/>
        <w:adjustRightInd w:val="0"/>
        <w:snapToGrid w:val="0"/>
        <w:spacing w:line="360" w:lineRule="auto"/>
        <w:ind w:left="546" w:leftChars="260" w:firstLine="0" w:firstLineChars="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（4）因重大变故，采购任务取消。</w:t>
      </w:r>
    </w:p>
    <w:p w14:paraId="5695C4AE">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 xml:space="preserve"> 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943D066">
      <w:pPr>
        <w:keepNext w:val="0"/>
        <w:keepLines w:val="0"/>
        <w:pageBreakBefore w:val="0"/>
        <w:widowControl w:val="0"/>
        <w:kinsoku/>
        <w:wordWrap/>
        <w:overflowPunct/>
        <w:topLinePunct w:val="0"/>
        <w:autoSpaceDE w:val="0"/>
        <w:autoSpaceDN w:val="0"/>
        <w:bidi w:val="0"/>
        <w:adjustRightInd w:val="0"/>
        <w:snapToGrid w:val="0"/>
        <w:spacing w:afterAutospacing="0" w:line="500" w:lineRule="atLeast"/>
        <w:ind w:left="726" w:hanging="720" w:hangingChars="300"/>
        <w:jc w:val="both"/>
        <w:textAlignment w:val="auto"/>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22.1</w:t>
      </w:r>
      <w:r>
        <w:rPr>
          <w:rFonts w:hint="eastAsia" w:ascii="宋体" w:hAnsi="宋体" w:eastAsia="宋体" w:cs="宋体"/>
          <w:color w:val="auto"/>
          <w:spacing w:val="0"/>
          <w:w w:val="100"/>
          <w:position w:val="0"/>
          <w:sz w:val="24"/>
          <w:szCs w:val="24"/>
          <w:highlight w:val="none"/>
          <w:lang w:val="en-US" w:eastAsia="zh-CN"/>
        </w:rPr>
        <w:t xml:space="preserve">2 </w:t>
      </w:r>
      <w:r>
        <w:rPr>
          <w:rFonts w:hint="eastAsia" w:ascii="宋体" w:hAnsi="宋体" w:eastAsia="宋体" w:cs="宋体"/>
          <w:color w:val="auto"/>
          <w:spacing w:val="0"/>
          <w:w w:val="100"/>
          <w:position w:val="0"/>
          <w:sz w:val="24"/>
          <w:szCs w:val="24"/>
          <w:highlight w:val="none"/>
        </w:rPr>
        <w:t>评标委员会决定投标的实质性响应，只根据投标本身的真实无误的</w:t>
      </w:r>
      <w:r>
        <w:rPr>
          <w:rFonts w:hint="eastAsia" w:ascii="宋体" w:hAnsi="宋体" w:eastAsia="宋体" w:cs="宋体"/>
          <w:color w:val="auto"/>
          <w:spacing w:val="0"/>
          <w:w w:val="100"/>
          <w:position w:val="0"/>
          <w:sz w:val="24"/>
          <w:szCs w:val="24"/>
          <w:highlight w:val="none"/>
          <w:lang w:val="en-US" w:eastAsia="zh-CN"/>
        </w:rPr>
        <w:t>内</w:t>
      </w:r>
      <w:r>
        <w:rPr>
          <w:rFonts w:hint="eastAsia" w:ascii="宋体" w:hAnsi="宋体" w:eastAsia="宋体" w:cs="宋体"/>
          <w:color w:val="auto"/>
          <w:spacing w:val="0"/>
          <w:w w:val="100"/>
          <w:position w:val="0"/>
          <w:sz w:val="24"/>
          <w:szCs w:val="24"/>
          <w:highlight w:val="none"/>
        </w:rPr>
        <w:t>容，评审工作不依据外部的证据，但投标有不真实不正确的内容时除外。</w:t>
      </w:r>
    </w:p>
    <w:p w14:paraId="54DA8FA5">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textAlignment w:val="baseline"/>
        <w:outlineLvl w:val="1"/>
        <w:rPr>
          <w:rFonts w:hint="eastAsia" w:ascii="宋体" w:hAnsi="宋体" w:eastAsia="宋体" w:cs="宋体"/>
          <w:color w:val="auto"/>
          <w:spacing w:val="0"/>
          <w:w w:val="100"/>
          <w:position w:val="0"/>
          <w:sz w:val="24"/>
          <w:szCs w:val="24"/>
          <w:highlight w:val="none"/>
          <w:lang w:eastAsia="zh-CN"/>
        </w:rPr>
      </w:pPr>
      <w:bookmarkStart w:id="57" w:name="_Toc3170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23.评标方法和评标标准</w:t>
      </w:r>
      <w:bookmarkEnd w:id="57"/>
    </w:p>
    <w:p w14:paraId="63486B2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textAlignment w:val="baseline"/>
        <w:outlineLvl w:val="2"/>
        <w:rPr>
          <w:rFonts w:hint="eastAsia" w:ascii="宋体" w:hAnsi="宋体" w:eastAsia="宋体" w:cs="宋体"/>
          <w:color w:val="auto"/>
          <w:spacing w:val="0"/>
          <w:w w:val="100"/>
          <w:position w:val="0"/>
          <w:sz w:val="24"/>
          <w:szCs w:val="24"/>
          <w:highlight w:val="none"/>
          <w:lang w:eastAsia="zh-CN"/>
        </w:rPr>
      </w:pPr>
      <w:bookmarkStart w:id="58" w:name="_Toc12736"/>
      <w:r>
        <w:rPr>
          <w:rFonts w:hint="eastAsia" w:ascii="宋体" w:hAnsi="宋体" w:eastAsia="宋体" w:cs="宋体"/>
          <w:color w:val="auto"/>
          <w:spacing w:val="0"/>
          <w:w w:val="100"/>
          <w:position w:val="0"/>
          <w:sz w:val="24"/>
          <w:szCs w:val="24"/>
          <w:highlight w:val="none"/>
          <w:lang w:eastAsia="zh-CN"/>
        </w:rPr>
        <w:t>23.1 评标方法，见“投标人须知前附表 ”。</w:t>
      </w:r>
      <w:bookmarkEnd w:id="58"/>
    </w:p>
    <w:p w14:paraId="1B8DF9F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hanging="628" w:hangingChars="26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23.1.1 采用综合评分法的，评标结果按评审后得分由高到低顺序排列。得分相同的，按投标报价由低到高顺序排列；得分且投标报价相同的，按节能产品、环境标志产品金额占投标报价比例（简称“ 比例 ”）由高到低顺序排列；得分、投标报价及比例相同的，由评标委员会随机抽取。</w:t>
      </w:r>
    </w:p>
    <w:p w14:paraId="7DBCB095">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628" w:leftChars="0" w:right="59" w:hanging="628" w:hangingChars="26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23.1.2 采用最低评标价法的，评标结果按投标报价由低到高顺序排列。投标文件满足招标文件全部实质性要求且投标报价最低的投标人为排名第一的中标候选人。投标报价相同的按节能产品、环境标志产品金额占投标报价比例（简称“ 比例 ”）由高到低顺序排列；投标报价及比例相同的，由评标委员会随机抽取。</w:t>
      </w:r>
    </w:p>
    <w:p w14:paraId="431E3BB4">
      <w:pPr>
        <w:keepNext w:val="0"/>
        <w:keepLines w:val="0"/>
        <w:pageBreakBefore w:val="0"/>
        <w:widowControl w:val="0"/>
        <w:kinsoku w:val="0"/>
        <w:wordWrap/>
        <w:overflowPunct/>
        <w:topLinePunct w:val="0"/>
        <w:autoSpaceDE w:val="0"/>
        <w:autoSpaceDN w:val="0"/>
        <w:bidi w:val="0"/>
        <w:adjustRightInd w:val="0"/>
        <w:snapToGrid w:val="0"/>
        <w:spacing w:before="168" w:beforeAutospacing="0" w:afterAutospacing="0" w:line="600" w:lineRule="auto"/>
        <w:textAlignment w:val="baseline"/>
        <w:outlineLvl w:val="2"/>
        <w:rPr>
          <w:rFonts w:hint="eastAsia" w:ascii="宋体" w:hAnsi="宋体" w:eastAsia="宋体" w:cs="宋体"/>
          <w:color w:val="auto"/>
          <w:spacing w:val="0"/>
          <w:w w:val="100"/>
          <w:position w:val="0"/>
          <w:highlight w:val="none"/>
          <w:lang w:eastAsia="zh-CN"/>
        </w:rPr>
      </w:pPr>
      <w:bookmarkStart w:id="59" w:name="_Toc6237"/>
      <w:r>
        <w:rPr>
          <w:rFonts w:hint="eastAsia" w:ascii="宋体" w:hAnsi="宋体" w:eastAsia="宋体" w:cs="宋体"/>
          <w:color w:val="auto"/>
          <w:spacing w:val="0"/>
          <w:w w:val="100"/>
          <w:position w:val="0"/>
          <w:sz w:val="24"/>
          <w:szCs w:val="24"/>
          <w:highlight w:val="none"/>
          <w:lang w:eastAsia="zh-CN"/>
        </w:rPr>
        <w:t>23.2 评标标准。（评标标准详见“第六章评标标准 ”）</w:t>
      </w:r>
      <w:bookmarkEnd w:id="59"/>
    </w:p>
    <w:p w14:paraId="4F608725">
      <w:pPr>
        <w:keepNext w:val="0"/>
        <w:keepLines w:val="0"/>
        <w:pageBreakBefore w:val="0"/>
        <w:widowControl w:val="0"/>
        <w:numPr>
          <w:ilvl w:val="0"/>
          <w:numId w:val="3"/>
        </w:numPr>
        <w:kinsoku w:val="0"/>
        <w:wordWrap/>
        <w:overflowPunct/>
        <w:topLinePunct w:val="0"/>
        <w:autoSpaceDE w:val="0"/>
        <w:autoSpaceDN w:val="0"/>
        <w:bidi w:val="0"/>
        <w:adjustRightInd w:val="0"/>
        <w:snapToGrid w:val="0"/>
        <w:spacing w:beforeAutospacing="0" w:afterAutospacing="0" w:line="360" w:lineRule="auto"/>
        <w:jc w:val="center"/>
        <w:textAlignment w:val="baseline"/>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60" w:name="_Toc3163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意外情况的情形和处理</w:t>
      </w:r>
      <w:bookmarkEnd w:id="60"/>
    </w:p>
    <w:p w14:paraId="7AE07B5B">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highlight w:val="none"/>
          <w:lang w:eastAsia="zh-CN"/>
        </w:rPr>
      </w:pPr>
      <w:bookmarkStart w:id="61" w:name="_Toc15604"/>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24.意外情况的情形</w:t>
      </w:r>
      <w:bookmarkEnd w:id="61"/>
    </w:p>
    <w:p w14:paraId="7352CE62">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554" w:leftChars="0" w:hanging="554" w:hangingChars="231"/>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62" w:name="_Toc26424"/>
      <w:r>
        <w:rPr>
          <w:rFonts w:hint="eastAsia" w:ascii="宋体" w:hAnsi="宋体" w:eastAsia="宋体" w:cs="宋体"/>
          <w:color w:val="auto"/>
          <w:spacing w:val="0"/>
          <w:w w:val="100"/>
          <w:position w:val="0"/>
          <w:sz w:val="24"/>
          <w:szCs w:val="24"/>
          <w:highlight w:val="none"/>
          <w:lang w:val="en-US" w:eastAsia="zh-CN"/>
        </w:rPr>
        <w:t xml:space="preserve">24.1 </w:t>
      </w:r>
      <w:r>
        <w:rPr>
          <w:rFonts w:hint="eastAsia" w:ascii="宋体" w:hAnsi="宋体" w:eastAsia="宋体" w:cs="宋体"/>
          <w:color w:val="auto"/>
          <w:spacing w:val="0"/>
          <w:w w:val="100"/>
          <w:position w:val="0"/>
          <w:sz w:val="24"/>
          <w:szCs w:val="24"/>
          <w:highlight w:val="none"/>
          <w:lang w:eastAsia="zh-CN"/>
        </w:rPr>
        <w:t>因客观原因造成电子化政府采购系统无法正常运行或者无法保证采购活动信息安全，应采取意外情况的处理措施。意外情况包括以下情形：</w:t>
      </w:r>
      <w:bookmarkEnd w:id="62"/>
    </w:p>
    <w:p w14:paraId="7CB3F144">
      <w:pPr>
        <w:keepNext w:val="0"/>
        <w:keepLines w:val="0"/>
        <w:pageBreakBefore w:val="0"/>
        <w:widowControl w:val="0"/>
        <w:kinsoku w:val="0"/>
        <w:wordWrap/>
        <w:overflowPunct/>
        <w:topLinePunct w:val="0"/>
        <w:autoSpaceDE w:val="0"/>
        <w:autoSpaceDN w:val="0"/>
        <w:bidi w:val="0"/>
        <w:adjustRightInd w:val="0"/>
        <w:snapToGrid w:val="0"/>
        <w:spacing w:line="360" w:lineRule="auto"/>
        <w:ind w:left="553" w:leftChars="228" w:hanging="74" w:hangingChars="31"/>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63" w:name="_Toc20218"/>
      <w:r>
        <w:rPr>
          <w:rFonts w:hint="eastAsia" w:ascii="宋体" w:hAnsi="宋体" w:eastAsia="宋体" w:cs="宋体"/>
          <w:color w:val="auto"/>
          <w:spacing w:val="0"/>
          <w:w w:val="100"/>
          <w:position w:val="0"/>
          <w:sz w:val="24"/>
          <w:szCs w:val="24"/>
          <w:highlight w:val="none"/>
          <w:lang w:eastAsia="zh-CN"/>
        </w:rPr>
        <w:t>（1）网络系统及其他设备发生故障，导致无法访问网站或无法使用电子化政府采购系统的；</w:t>
      </w:r>
      <w:bookmarkEnd w:id="63"/>
    </w:p>
    <w:p w14:paraId="729643CD">
      <w:pPr>
        <w:keepNext w:val="0"/>
        <w:keepLines w:val="0"/>
        <w:pageBreakBefore w:val="0"/>
        <w:widowControl w:val="0"/>
        <w:kinsoku w:val="0"/>
        <w:wordWrap/>
        <w:overflowPunct/>
        <w:topLinePunct w:val="0"/>
        <w:autoSpaceDE w:val="0"/>
        <w:autoSpaceDN w:val="0"/>
        <w:bidi w:val="0"/>
        <w:adjustRightInd w:val="0"/>
        <w:snapToGrid w:val="0"/>
        <w:spacing w:line="360" w:lineRule="auto"/>
        <w:ind w:left="551" w:leftChars="228" w:hanging="72" w:hangingChars="30"/>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64" w:name="_Toc3833"/>
      <w:r>
        <w:rPr>
          <w:rFonts w:hint="eastAsia" w:ascii="宋体" w:hAnsi="宋体" w:eastAsia="宋体" w:cs="宋体"/>
          <w:color w:val="auto"/>
          <w:spacing w:val="0"/>
          <w:w w:val="100"/>
          <w:position w:val="0"/>
          <w:sz w:val="24"/>
          <w:szCs w:val="24"/>
          <w:highlight w:val="none"/>
          <w:lang w:eastAsia="zh-CN"/>
        </w:rPr>
        <w:t>（2）电子化政府采购系统的软件或网络数据库出现错误，导致无法正常操作的；</w:t>
      </w:r>
      <w:bookmarkEnd w:id="64"/>
    </w:p>
    <w:p w14:paraId="077CB45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65" w:name="_Toc10328"/>
      <w:r>
        <w:rPr>
          <w:rFonts w:hint="eastAsia" w:ascii="宋体" w:hAnsi="宋体" w:eastAsia="宋体" w:cs="宋体"/>
          <w:color w:val="auto"/>
          <w:spacing w:val="0"/>
          <w:w w:val="100"/>
          <w:position w:val="0"/>
          <w:sz w:val="24"/>
          <w:szCs w:val="24"/>
          <w:highlight w:val="none"/>
          <w:lang w:eastAsia="zh-CN"/>
        </w:rPr>
        <w:t>（3）电子化政府采购系统发现有安全漏洞，有潜在泄密危险的；</w:t>
      </w:r>
      <w:bookmarkEnd w:id="65"/>
    </w:p>
    <w:p w14:paraId="4910ABEB">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outlineLvl w:val="1"/>
        <w:rPr>
          <w:rFonts w:hint="eastAsia" w:ascii="宋体" w:hAnsi="宋体" w:eastAsia="宋体" w:cs="宋体"/>
          <w:color w:val="auto"/>
          <w:spacing w:val="0"/>
          <w:w w:val="100"/>
          <w:position w:val="0"/>
          <w:highlight w:val="none"/>
          <w:lang w:eastAsia="zh-CN"/>
        </w:rPr>
      </w:pPr>
      <w:bookmarkStart w:id="66" w:name="_Toc21138"/>
      <w:r>
        <w:rPr>
          <w:rFonts w:hint="eastAsia" w:ascii="宋体" w:hAnsi="宋体" w:eastAsia="宋体" w:cs="宋体"/>
          <w:color w:val="auto"/>
          <w:spacing w:val="0"/>
          <w:w w:val="100"/>
          <w:position w:val="0"/>
          <w:sz w:val="24"/>
          <w:szCs w:val="24"/>
          <w:highlight w:val="none"/>
          <w:lang w:eastAsia="zh-CN"/>
        </w:rPr>
        <w:t>（4）其他无法保证采购活动正常进行的。</w:t>
      </w:r>
      <w:bookmarkEnd w:id="66"/>
    </w:p>
    <w:p w14:paraId="49CEBA44">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360" w:lineRule="auto"/>
        <w:textAlignment w:val="baseline"/>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67" w:name="_Toc10642"/>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25.</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意外情况的处理</w:t>
      </w:r>
      <w:bookmarkEnd w:id="67"/>
    </w:p>
    <w:p w14:paraId="43655197">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jc w:val="both"/>
        <w:textAlignment w:val="baseline"/>
        <w:outlineLvl w:val="1"/>
        <w:rPr>
          <w:rFonts w:hint="eastAsia" w:ascii="宋体" w:hAnsi="宋体" w:eastAsia="宋体" w:cs="宋体"/>
          <w:color w:val="auto"/>
          <w:spacing w:val="0"/>
          <w:w w:val="100"/>
          <w:position w:val="0"/>
          <w:sz w:val="24"/>
          <w:szCs w:val="24"/>
          <w:highlight w:val="none"/>
          <w:lang w:eastAsia="zh-CN"/>
        </w:rPr>
      </w:pPr>
      <w:bookmarkStart w:id="68" w:name="_Toc14716"/>
      <w:r>
        <w:rPr>
          <w:rFonts w:hint="eastAsia" w:ascii="宋体" w:hAnsi="宋体" w:eastAsia="宋体" w:cs="宋体"/>
          <w:color w:val="auto"/>
          <w:spacing w:val="0"/>
          <w:w w:val="100"/>
          <w:position w:val="0"/>
          <w:sz w:val="24"/>
          <w:szCs w:val="24"/>
          <w:highlight w:val="none"/>
          <w:lang w:val="en-US" w:eastAsia="zh-CN"/>
        </w:rPr>
        <w:t xml:space="preserve">25.1 </w:t>
      </w:r>
      <w:r>
        <w:rPr>
          <w:rFonts w:hint="eastAsia" w:ascii="宋体" w:hAnsi="宋体" w:eastAsia="宋体" w:cs="宋体"/>
          <w:color w:val="auto"/>
          <w:spacing w:val="0"/>
          <w:w w:val="100"/>
          <w:position w:val="0"/>
          <w:sz w:val="24"/>
          <w:szCs w:val="24"/>
          <w:highlight w:val="none"/>
          <w:lang w:eastAsia="zh-CN"/>
        </w:rPr>
        <w:t>出现</w:t>
      </w:r>
      <w:r>
        <w:rPr>
          <w:rFonts w:hint="eastAsia" w:ascii="宋体" w:hAnsi="宋体" w:eastAsia="宋体" w:cs="宋体"/>
          <w:color w:val="auto"/>
          <w:spacing w:val="0"/>
          <w:w w:val="100"/>
          <w:position w:val="0"/>
          <w:sz w:val="24"/>
          <w:szCs w:val="24"/>
          <w:highlight w:val="none"/>
          <w:lang w:val="en-US" w:eastAsia="zh-CN"/>
        </w:rPr>
        <w:t>24.1</w:t>
      </w:r>
      <w:r>
        <w:rPr>
          <w:rFonts w:hint="eastAsia" w:ascii="宋体" w:hAnsi="宋体" w:eastAsia="宋体" w:cs="宋体"/>
          <w:color w:val="auto"/>
          <w:spacing w:val="0"/>
          <w:w w:val="100"/>
          <w:position w:val="0"/>
          <w:sz w:val="24"/>
          <w:szCs w:val="24"/>
          <w:highlight w:val="none"/>
          <w:lang w:eastAsia="zh-CN"/>
        </w:rPr>
        <w:t>情况，故障当日（工作时间内）可排除的，电子化政府采购恢复进行；如故障当日无法排除的，采购活动终止，重新组织采购活动。</w:t>
      </w:r>
      <w:bookmarkEnd w:id="68"/>
    </w:p>
    <w:p w14:paraId="2645A1DD">
      <w:pPr>
        <w:keepNext w:val="0"/>
        <w:keepLines w:val="0"/>
        <w:pageBreakBefore w:val="0"/>
        <w:widowControl w:val="0"/>
        <w:kinsoku w:val="0"/>
        <w:wordWrap/>
        <w:overflowPunct/>
        <w:topLinePunct w:val="0"/>
        <w:autoSpaceDE w:val="0"/>
        <w:autoSpaceDN w:val="0"/>
        <w:bidi w:val="0"/>
        <w:adjustRightInd w:val="0"/>
        <w:snapToGrid w:val="0"/>
        <w:spacing w:before="60" w:beforeAutospacing="0" w:afterAutospacing="0" w:line="360" w:lineRule="auto"/>
        <w:ind w:left="479" w:leftChars="228" w:firstLine="0" w:firstLineChars="0"/>
        <w:jc w:val="both"/>
        <w:textAlignment w:val="baseline"/>
        <w:outlineLvl w:val="9"/>
        <w:rPr>
          <w:rFonts w:hint="eastAsia" w:ascii="宋体" w:hAnsi="宋体" w:eastAsia="宋体" w:cs="宋体"/>
          <w:color w:val="auto"/>
          <w:spacing w:val="0"/>
          <w:w w:val="100"/>
          <w:position w:val="0"/>
          <w:sz w:val="24"/>
          <w:szCs w:val="24"/>
          <w:highlight w:val="none"/>
          <w:lang w:eastAsia="zh-CN"/>
        </w:rPr>
      </w:pPr>
    </w:p>
    <w:p w14:paraId="703D0007">
      <w:pPr>
        <w:keepNext w:val="0"/>
        <w:keepLines w:val="0"/>
        <w:pageBreakBefore w:val="0"/>
        <w:widowControl w:val="0"/>
        <w:kinsoku w:val="0"/>
        <w:wordWrap/>
        <w:overflowPunct/>
        <w:topLinePunct w:val="0"/>
        <w:autoSpaceDE w:val="0"/>
        <w:autoSpaceDN w:val="0"/>
        <w:bidi w:val="0"/>
        <w:adjustRightInd w:val="0"/>
        <w:snapToGrid w:val="0"/>
        <w:spacing w:before="60" w:beforeAutospacing="0" w:after="0" w:afterLines="100" w:afterAutospacing="0" w:line="360" w:lineRule="auto"/>
        <w:ind w:left="479" w:leftChars="228" w:firstLine="0" w:firstLineChars="0"/>
        <w:jc w:val="center"/>
        <w:textAlignment w:val="baseline"/>
        <w:outlineLvl w:val="1"/>
        <w:rPr>
          <w:rFonts w:hint="eastAsia" w:ascii="宋体" w:hAnsi="宋体" w:eastAsia="宋体" w:cs="宋体"/>
          <w:color w:val="auto"/>
          <w:spacing w:val="0"/>
          <w:w w:val="100"/>
          <w:position w:val="0"/>
          <w:highlight w:val="none"/>
          <w:lang w:eastAsia="zh-CN"/>
        </w:rPr>
      </w:pPr>
      <w:bookmarkStart w:id="69" w:name="_Toc1873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七、中标和合同</w:t>
      </w:r>
      <w:bookmarkEnd w:id="69"/>
    </w:p>
    <w:p w14:paraId="1368179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4"/>
        <w:textAlignment w:val="baseline"/>
        <w:outlineLvl w:val="1"/>
        <w:rPr>
          <w:rFonts w:hint="eastAsia" w:ascii="宋体" w:hAnsi="宋体" w:eastAsia="宋体" w:cs="宋体"/>
          <w:color w:val="auto"/>
          <w:spacing w:val="0"/>
          <w:w w:val="100"/>
          <w:position w:val="0"/>
          <w:highlight w:val="none"/>
          <w:lang w:eastAsia="zh-CN"/>
        </w:rPr>
      </w:pPr>
      <w:bookmarkStart w:id="70" w:name="_Toc849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26.中标人的确定</w:t>
      </w:r>
      <w:bookmarkEnd w:id="70"/>
    </w:p>
    <w:p w14:paraId="4FE4B78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26.1 采购人应当自收到评标报告之日起5个工作日内，在评标报告确定的中标候选人名单</w:t>
      </w:r>
      <w:r>
        <w:rPr>
          <w:rFonts w:hint="eastAsia" w:ascii="宋体" w:hAnsi="宋体" w:eastAsia="宋体" w:cs="宋体"/>
          <w:color w:val="auto"/>
          <w:spacing w:val="0"/>
          <w:w w:val="100"/>
          <w:position w:val="0"/>
          <w:sz w:val="24"/>
          <w:szCs w:val="24"/>
          <w:highlight w:val="none"/>
          <w:lang w:val="en-US" w:eastAsia="zh-CN"/>
        </w:rPr>
        <w:t>中按顺序确定中标人。</w:t>
      </w:r>
    </w:p>
    <w:p w14:paraId="79CB144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11"/>
        <w:textAlignment w:val="baseline"/>
        <w:outlineLvl w:val="1"/>
        <w:rPr>
          <w:rFonts w:hint="eastAsia" w:ascii="宋体" w:hAnsi="宋体" w:eastAsia="宋体" w:cs="宋体"/>
          <w:color w:val="auto"/>
          <w:spacing w:val="0"/>
          <w:w w:val="100"/>
          <w:position w:val="0"/>
          <w:sz w:val="24"/>
          <w:szCs w:val="24"/>
          <w:highlight w:val="none"/>
          <w:lang w:eastAsia="zh-CN"/>
        </w:rPr>
      </w:pPr>
      <w:bookmarkStart w:id="71" w:name="_Toc2959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27.中标结果公告</w:t>
      </w:r>
      <w:bookmarkEnd w:id="71"/>
    </w:p>
    <w:p w14:paraId="7A10788C">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480" w:right="80" w:hanging="480" w:hangingChars="20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val="en-US" w:eastAsia="zh-CN"/>
        </w:rPr>
        <w:t>27.1</w:t>
      </w:r>
      <w:r>
        <w:rPr>
          <w:rFonts w:hint="eastAsia" w:ascii="宋体" w:hAnsi="宋体" w:eastAsia="宋体" w:cs="宋体"/>
          <w:color w:val="auto"/>
          <w:spacing w:val="0"/>
          <w:w w:val="100"/>
          <w:position w:val="0"/>
          <w:sz w:val="24"/>
          <w:szCs w:val="24"/>
          <w:highlight w:val="none"/>
          <w:lang w:eastAsia="zh-CN"/>
        </w:rPr>
        <w:t>中标人确定后，采购代理机构在江西省公共资源交易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 xml:space="preserve">（网址 </w:t>
      </w:r>
      <w:r>
        <w:rPr>
          <w:rFonts w:hint="eastAsia" w:ascii="宋体" w:hAnsi="宋体" w:eastAsia="宋体" w:cs="宋体"/>
          <w:color w:val="auto"/>
          <w:spacing w:val="0"/>
          <w:w w:val="100"/>
          <w:position w:val="0"/>
          <w:sz w:val="24"/>
          <w:szCs w:val="24"/>
          <w:highlight w:val="none"/>
          <w:u w:val="single"/>
          <w:lang w:val="en-US" w:eastAsia="zh-CN"/>
        </w:rPr>
        <w:t>https://www.jxsggzy.cn</w:t>
      </w:r>
      <w:r>
        <w:rPr>
          <w:rFonts w:hint="eastAsia" w:ascii="宋体" w:hAnsi="宋体" w:eastAsia="宋体" w:cs="宋体"/>
          <w:color w:val="auto"/>
          <w:spacing w:val="0"/>
          <w:w w:val="100"/>
          <w:position w:val="0"/>
          <w:sz w:val="24"/>
          <w:szCs w:val="24"/>
          <w:highlight w:val="none"/>
          <w:lang w:eastAsia="zh-CN"/>
        </w:rPr>
        <w:t xml:space="preserve"> ）和江西省政府采购</w:t>
      </w:r>
      <w:r>
        <w:rPr>
          <w:rFonts w:hint="eastAsia" w:ascii="宋体" w:hAnsi="宋体" w:eastAsia="宋体" w:cs="宋体"/>
          <w:color w:val="auto"/>
          <w:spacing w:val="0"/>
          <w:w w:val="100"/>
          <w:position w:val="0"/>
          <w:sz w:val="24"/>
          <w:szCs w:val="24"/>
          <w:highlight w:val="none"/>
          <w:lang w:val="en-US" w:eastAsia="zh-CN"/>
        </w:rPr>
        <w:t>网</w:t>
      </w:r>
      <w:r>
        <w:rPr>
          <w:rFonts w:hint="eastAsia" w:ascii="宋体" w:hAnsi="宋体" w:eastAsia="宋体" w:cs="宋体"/>
          <w:color w:val="auto"/>
          <w:spacing w:val="0"/>
          <w:w w:val="100"/>
          <w:position w:val="0"/>
          <w:sz w:val="24"/>
          <w:szCs w:val="24"/>
          <w:highlight w:val="none"/>
          <w:lang w:eastAsia="zh-CN"/>
        </w:rPr>
        <w:t>（网址：</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highlight w:val="none"/>
          <w:u w:val="single"/>
        </w:rPr>
        <w:fldChar w:fldCharType="begin"/>
      </w:r>
      <w:r>
        <w:rPr>
          <w:rFonts w:hint="eastAsia" w:ascii="宋体" w:hAnsi="宋体" w:eastAsia="宋体" w:cs="宋体"/>
          <w:color w:val="auto"/>
          <w:spacing w:val="0"/>
          <w:w w:val="100"/>
          <w:position w:val="0"/>
          <w:highlight w:val="none"/>
          <w:u w:val="single"/>
        </w:rPr>
        <w:instrText xml:space="preserve"> HYPERLINK "http://www.ccgp-jiangxi.gov.cn/web/" </w:instrText>
      </w:r>
      <w:r>
        <w:rPr>
          <w:rFonts w:hint="eastAsia" w:ascii="宋体" w:hAnsi="宋体" w:eastAsia="宋体" w:cs="宋体"/>
          <w:color w:val="auto"/>
          <w:spacing w:val="0"/>
          <w:w w:val="100"/>
          <w:position w:val="0"/>
          <w:highlight w:val="none"/>
          <w:u w:val="single"/>
        </w:rPr>
        <w:fldChar w:fldCharType="separate"/>
      </w:r>
      <w:r>
        <w:rPr>
          <w:rFonts w:hint="eastAsia" w:ascii="宋体" w:hAnsi="宋体" w:eastAsia="宋体" w:cs="宋体"/>
          <w:color w:val="auto"/>
          <w:spacing w:val="0"/>
          <w:w w:val="100"/>
          <w:position w:val="0"/>
          <w:sz w:val="24"/>
          <w:szCs w:val="24"/>
          <w:highlight w:val="none"/>
          <w:u w:val="single"/>
          <w:lang w:eastAsia="zh-CN"/>
        </w:rPr>
        <w:t>http://www.ccgp-jiangxi.gov.cn/web/</w:t>
      </w:r>
      <w:r>
        <w:rPr>
          <w:rFonts w:hint="eastAsia" w:ascii="宋体" w:hAnsi="宋体" w:eastAsia="宋体" w:cs="宋体"/>
          <w:color w:val="auto"/>
          <w:spacing w:val="0"/>
          <w:w w:val="100"/>
          <w:position w:val="0"/>
          <w:sz w:val="24"/>
          <w:szCs w:val="24"/>
          <w:highlight w:val="none"/>
          <w:u w:val="single"/>
          <w:lang w:eastAsia="zh-CN"/>
        </w:rPr>
        <w:fldChar w:fldCharType="end"/>
      </w:r>
      <w:r>
        <w:rPr>
          <w:rFonts w:hint="eastAsia" w:ascii="宋体" w:hAnsi="宋体" w:eastAsia="宋体" w:cs="宋体"/>
          <w:color w:val="auto"/>
          <w:spacing w:val="0"/>
          <w:w w:val="100"/>
          <w:position w:val="0"/>
          <w:sz w:val="24"/>
          <w:szCs w:val="24"/>
          <w:highlight w:val="none"/>
          <w:lang w:eastAsia="zh-CN"/>
        </w:rPr>
        <w:t>）上公告中标结果，中标公告期限为 1 个工作日。</w:t>
      </w:r>
    </w:p>
    <w:p w14:paraId="4BA557CE">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14"/>
        <w:textAlignment w:val="baseline"/>
        <w:outlineLvl w:val="1"/>
        <w:rPr>
          <w:rFonts w:hint="eastAsia" w:ascii="宋体" w:hAnsi="宋体" w:eastAsia="宋体" w:cs="宋体"/>
          <w:color w:val="auto"/>
          <w:spacing w:val="0"/>
          <w:w w:val="100"/>
          <w:position w:val="0"/>
          <w:sz w:val="24"/>
          <w:szCs w:val="24"/>
          <w:highlight w:val="none"/>
          <w:lang w:eastAsia="zh-CN"/>
        </w:rPr>
      </w:pPr>
      <w:bookmarkStart w:id="72" w:name="_Toc2409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28.履约保证金</w:t>
      </w:r>
      <w:bookmarkEnd w:id="72"/>
    </w:p>
    <w:p w14:paraId="18791B19">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603" w:leftChars="0" w:right="56" w:hanging="589"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28.1</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中标人在与采购人签订采购合同时，应向采购人提交“投标人须知前附表”规定的履约保证金。</w:t>
      </w:r>
    </w:p>
    <w:p w14:paraId="745012D6">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0" w:leftChars="0" w:firstLine="0" w:firstLineChars="0"/>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28.2</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履约保证金用于补偿因中标人不能完成其合同义务而使采购人蒙受的损失。</w:t>
      </w:r>
    </w:p>
    <w:p w14:paraId="21F02C39">
      <w:pPr>
        <w:keepNext w:val="0"/>
        <w:keepLines w:val="0"/>
        <w:pageBreakBefore w:val="0"/>
        <w:widowControl w:val="0"/>
        <w:kinsoku w:val="0"/>
        <w:wordWrap/>
        <w:overflowPunct/>
        <w:topLinePunct w:val="0"/>
        <w:autoSpaceDE w:val="0"/>
        <w:autoSpaceDN w:val="0"/>
        <w:bidi w:val="0"/>
        <w:adjustRightInd w:val="0"/>
        <w:snapToGrid w:val="0"/>
        <w:spacing w:before="79" w:line="360" w:lineRule="auto"/>
        <w:ind w:left="14"/>
        <w:textAlignment w:val="baseline"/>
        <w:outlineLvl w:val="1"/>
        <w:rPr>
          <w:rFonts w:hint="eastAsia" w:ascii="宋体" w:hAnsi="宋体" w:eastAsia="宋体" w:cs="宋体"/>
          <w:color w:val="auto"/>
          <w:spacing w:val="0"/>
          <w:w w:val="100"/>
          <w:position w:val="0"/>
          <w:sz w:val="24"/>
          <w:szCs w:val="24"/>
          <w:highlight w:val="none"/>
          <w:lang w:eastAsia="zh-CN"/>
        </w:rPr>
      </w:pPr>
      <w:bookmarkStart w:id="73" w:name="_Toc2625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29.签订合同</w:t>
      </w:r>
      <w:bookmarkEnd w:id="73"/>
    </w:p>
    <w:p w14:paraId="7F245260">
      <w:pPr>
        <w:keepNext w:val="0"/>
        <w:keepLines w:val="0"/>
        <w:pageBreakBefore w:val="0"/>
        <w:widowControl w:val="0"/>
        <w:kinsoku w:val="0"/>
        <w:wordWrap/>
        <w:overflowPunct/>
        <w:topLinePunct w:val="0"/>
        <w:autoSpaceDE w:val="0"/>
        <w:autoSpaceDN w:val="0"/>
        <w:bidi w:val="0"/>
        <w:adjustRightInd w:val="0"/>
        <w:snapToGrid w:val="0"/>
        <w:spacing w:line="360" w:lineRule="auto"/>
        <w:ind w:left="641" w:leftChars="6" w:right="80" w:hanging="628" w:hangingChars="262"/>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29.1</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中标人应按中标通知书规定的时间与采购人签订合同，否则按拒绝签订合同处理。</w:t>
      </w:r>
    </w:p>
    <w:p w14:paraId="2A9C0C84">
      <w:pPr>
        <w:keepNext w:val="0"/>
        <w:keepLines w:val="0"/>
        <w:pageBreakBefore w:val="0"/>
        <w:widowControl w:val="0"/>
        <w:kinsoku w:val="0"/>
        <w:wordWrap/>
        <w:overflowPunct/>
        <w:topLinePunct w:val="0"/>
        <w:autoSpaceDE w:val="0"/>
        <w:autoSpaceDN w:val="0"/>
        <w:bidi w:val="0"/>
        <w:adjustRightInd w:val="0"/>
        <w:snapToGrid w:val="0"/>
        <w:spacing w:line="360" w:lineRule="auto"/>
        <w:ind w:left="651" w:leftChars="6" w:hanging="638" w:hangingChars="266"/>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29.2 招标文件、中标人的投标文件及评标过程中有关澄清文件均为签订合同的依据。</w:t>
      </w:r>
    </w:p>
    <w:p w14:paraId="7D35989A">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29.3 中标通知书是合同的一个组成部分。</w:t>
      </w:r>
    </w:p>
    <w:p w14:paraId="24FB9817">
      <w:pPr>
        <w:keepNext w:val="0"/>
        <w:keepLines w:val="0"/>
        <w:pageBreakBefore w:val="0"/>
        <w:widowControl w:val="0"/>
        <w:kinsoku w:val="0"/>
        <w:wordWrap/>
        <w:overflowPunct/>
        <w:topLinePunct w:val="0"/>
        <w:autoSpaceDE w:val="0"/>
        <w:autoSpaceDN w:val="0"/>
        <w:bidi w:val="0"/>
        <w:adjustRightInd w:val="0"/>
        <w:snapToGrid w:val="0"/>
        <w:spacing w:line="360" w:lineRule="auto"/>
        <w:ind w:left="1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29.4 采购人与中标人应当根据合同的约定依法履行合同义务。</w:t>
      </w:r>
    </w:p>
    <w:p w14:paraId="7AA22A56">
      <w:pPr>
        <w:keepNext w:val="0"/>
        <w:keepLines w:val="0"/>
        <w:pageBreakBefore w:val="0"/>
        <w:widowControl w:val="0"/>
        <w:kinsoku w:val="0"/>
        <w:wordWrap/>
        <w:overflowPunct/>
        <w:topLinePunct w:val="0"/>
        <w:autoSpaceDE w:val="0"/>
        <w:autoSpaceDN w:val="0"/>
        <w:bidi w:val="0"/>
        <w:adjustRightInd w:val="0"/>
        <w:snapToGrid w:val="0"/>
        <w:spacing w:line="360" w:lineRule="auto"/>
        <w:ind w:left="630" w:leftChars="300" w:firstLine="0" w:firstLineChars="0"/>
        <w:jc w:val="lef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政府采购合同的履行、违约责任和解决争议的方法等适用《中华人民共和国民法典》。</w:t>
      </w:r>
    </w:p>
    <w:p w14:paraId="06C824FC">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29.5 采购人应当加强对中标人的履约管理，并按照采购合同约定，及时向中标人支付采购资金。对于中标人违反采购合同约定的行为，采购人应当及时处理，依法追究其违约责任。</w:t>
      </w:r>
    </w:p>
    <w:p w14:paraId="5C1E23F6">
      <w:pPr>
        <w:keepNext w:val="0"/>
        <w:keepLines w:val="0"/>
        <w:pageBreakBefore w:val="0"/>
        <w:widowControl w:val="0"/>
        <w:kinsoku w:val="0"/>
        <w:wordWrap/>
        <w:overflowPunct/>
        <w:topLinePunct w:val="0"/>
        <w:autoSpaceDE w:val="0"/>
        <w:autoSpaceDN w:val="0"/>
        <w:bidi w:val="0"/>
        <w:adjustRightInd w:val="0"/>
        <w:snapToGrid w:val="0"/>
        <w:spacing w:line="360" w:lineRule="auto"/>
        <w:ind w:left="570" w:leftChars="0" w:hanging="570" w:firstLineChars="0"/>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29.6 合同履行中，采购人需追加与合同标的相同的货物的，在不改变合同其他条款的前提下，可以与中标人协商签订补充合同，但所有补充合同的采购金额不得超过原合同采购金额的百分之十。</w:t>
      </w:r>
    </w:p>
    <w:p w14:paraId="68CDDB1C">
      <w:pPr>
        <w:keepNext w:val="0"/>
        <w:keepLines w:val="0"/>
        <w:pageBreakBefore w:val="0"/>
        <w:widowControl w:val="0"/>
        <w:kinsoku w:val="0"/>
        <w:wordWrap/>
        <w:overflowPunct/>
        <w:topLinePunct w:val="0"/>
        <w:autoSpaceDE w:val="0"/>
        <w:autoSpaceDN w:val="0"/>
        <w:bidi w:val="0"/>
        <w:adjustRightInd w:val="0"/>
        <w:snapToGrid w:val="0"/>
        <w:spacing w:line="360" w:lineRule="auto"/>
        <w:ind w:left="585" w:leftChars="0" w:hanging="585" w:hangingChars="24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29.7 中标人拒绝与采购人签订合同的，采购人可以按照评审报告推荐的中标候选人名单排序，确定下一候选人为中标人，也可以重新开展政府采购活动；拒绝签订政府采购合同的中标人视为撤销投标文件，不予退还其交纳的投标保证金。</w:t>
      </w:r>
    </w:p>
    <w:p w14:paraId="72D689AA">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585" w:leftChars="0" w:hanging="585" w:hangingChars="244"/>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29.</w:t>
      </w:r>
      <w:r>
        <w:rPr>
          <w:rFonts w:hint="eastAsia" w:ascii="宋体" w:hAnsi="宋体" w:eastAsia="宋体" w:cs="宋体"/>
          <w:color w:val="auto"/>
          <w:spacing w:val="0"/>
          <w:w w:val="100"/>
          <w:position w:val="0"/>
          <w:sz w:val="24"/>
          <w:szCs w:val="24"/>
          <w:highlight w:val="none"/>
          <w:lang w:val="en-US" w:eastAsia="zh-CN"/>
        </w:rPr>
        <w:t>8</w:t>
      </w:r>
      <w:r>
        <w:rPr>
          <w:rFonts w:hint="eastAsia" w:ascii="宋体" w:hAnsi="宋体" w:eastAsia="宋体" w:cs="宋体"/>
          <w:color w:val="auto"/>
          <w:spacing w:val="0"/>
          <w:w w:val="100"/>
          <w:position w:val="0"/>
          <w:sz w:val="24"/>
          <w:szCs w:val="24"/>
          <w:highlight w:val="none"/>
          <w:lang w:eastAsia="zh-CN"/>
        </w:rPr>
        <w:t xml:space="preserve"> 中标人与采购人签订合同</w:t>
      </w:r>
      <w:r>
        <w:rPr>
          <w:rFonts w:hint="eastAsia" w:ascii="宋体" w:hAnsi="宋体" w:eastAsia="宋体" w:cs="宋体"/>
          <w:color w:val="auto"/>
          <w:spacing w:val="0"/>
          <w:w w:val="100"/>
          <w:position w:val="0"/>
          <w:sz w:val="24"/>
          <w:szCs w:val="24"/>
          <w:highlight w:val="none"/>
          <w:lang w:val="en-US" w:eastAsia="zh-CN"/>
        </w:rPr>
        <w:t>后两个工作日内</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将采购合同彩色扫描件交予采购代理机构，以便退还投标保证金</w:t>
      </w:r>
      <w:r>
        <w:rPr>
          <w:rFonts w:hint="eastAsia" w:ascii="宋体" w:hAnsi="宋体" w:eastAsia="宋体" w:cs="宋体"/>
          <w:color w:val="auto"/>
          <w:spacing w:val="0"/>
          <w:w w:val="100"/>
          <w:position w:val="0"/>
          <w:sz w:val="24"/>
          <w:szCs w:val="24"/>
          <w:highlight w:val="none"/>
          <w:lang w:eastAsia="zh-CN"/>
        </w:rPr>
        <w:t>。</w:t>
      </w:r>
    </w:p>
    <w:p w14:paraId="0AB867D7">
      <w:pPr>
        <w:keepNext w:val="0"/>
        <w:keepLines w:val="0"/>
        <w:pageBreakBefore w:val="0"/>
        <w:widowControl w:val="0"/>
        <w:kinsoku w:val="0"/>
        <w:wordWrap/>
        <w:overflowPunct/>
        <w:topLinePunct w:val="0"/>
        <w:autoSpaceDE w:val="0"/>
        <w:autoSpaceDN w:val="0"/>
        <w:bidi w:val="0"/>
        <w:adjustRightInd w:val="0"/>
        <w:snapToGrid w:val="0"/>
        <w:spacing w:beforeAutospacing="0" w:after="0" w:afterLines="100" w:afterAutospacing="0" w:line="500" w:lineRule="atLeast"/>
        <w:ind w:left="3150" w:leftChars="0" w:firstLine="0" w:firstLineChars="0"/>
        <w:textAlignment w:val="baseline"/>
        <w:outlineLvl w:val="1"/>
        <w:rPr>
          <w:rFonts w:hint="eastAsia" w:ascii="宋体" w:hAnsi="宋体" w:eastAsia="宋体" w:cs="宋体"/>
          <w:color w:val="auto"/>
          <w:spacing w:val="0"/>
          <w:w w:val="100"/>
          <w:position w:val="0"/>
          <w:highlight w:val="none"/>
          <w:lang w:eastAsia="zh-CN"/>
        </w:rPr>
      </w:pPr>
      <w:bookmarkStart w:id="74" w:name="_Toc2805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八、询问和质疑</w:t>
      </w:r>
      <w:bookmarkEnd w:id="74"/>
    </w:p>
    <w:p w14:paraId="0001E32B">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left="1"/>
        <w:textAlignment w:val="baseline"/>
        <w:outlineLvl w:val="1"/>
        <w:rPr>
          <w:rFonts w:hint="eastAsia" w:ascii="宋体" w:hAnsi="宋体" w:eastAsia="宋体" w:cs="宋体"/>
          <w:color w:val="auto"/>
          <w:spacing w:val="0"/>
          <w:w w:val="100"/>
          <w:position w:val="0"/>
          <w:sz w:val="24"/>
          <w:szCs w:val="24"/>
          <w:highlight w:val="none"/>
          <w:lang w:eastAsia="zh-CN"/>
        </w:rPr>
      </w:pPr>
      <w:bookmarkStart w:id="75" w:name="_Toc1998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30.询问</w:t>
      </w:r>
      <w:bookmarkEnd w:id="75"/>
    </w:p>
    <w:p w14:paraId="6E0A5D1C">
      <w:pPr>
        <w:keepNext w:val="0"/>
        <w:keepLines w:val="0"/>
        <w:pageBreakBefore w:val="0"/>
        <w:widowControl w:val="0"/>
        <w:kinsoku w:val="0"/>
        <w:wordWrap/>
        <w:overflowPunct/>
        <w:topLinePunct w:val="0"/>
        <w:autoSpaceDE w:val="0"/>
        <w:autoSpaceDN w:val="0"/>
        <w:bidi w:val="0"/>
        <w:adjustRightInd w:val="0"/>
        <w:snapToGrid w:val="0"/>
        <w:spacing w:before="1" w:afterAutospacing="0" w:line="360" w:lineRule="auto"/>
        <w:ind w:left="631" w:leftChars="0" w:hanging="631" w:hangingChars="263"/>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30.1 投标人对政府采购活动事项有疑问的，可以向采购人或者采购代理机构提出询问，采</w:t>
      </w:r>
      <w:r>
        <w:rPr>
          <w:rFonts w:hint="eastAsia" w:ascii="宋体" w:hAnsi="宋体" w:eastAsia="宋体" w:cs="宋体"/>
          <w:color w:val="auto"/>
          <w:spacing w:val="0"/>
          <w:w w:val="100"/>
          <w:position w:val="0"/>
          <w:sz w:val="24"/>
          <w:szCs w:val="24"/>
          <w:highlight w:val="none"/>
          <w:lang w:val="en-US" w:eastAsia="zh-CN"/>
        </w:rPr>
        <w:t>购代理机构应当在3个工作日内对投标人依法提出的询问做出答复。</w:t>
      </w:r>
      <w:bookmarkStart w:id="76" w:name="bookmark49"/>
      <w:bookmarkEnd w:id="76"/>
    </w:p>
    <w:p w14:paraId="37A1C0B8">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31</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质疑</w:t>
      </w:r>
    </w:p>
    <w:p w14:paraId="5D09D2C4">
      <w:pPr>
        <w:keepNext w:val="0"/>
        <w:keepLines w:val="0"/>
        <w:pageBreakBefore w:val="0"/>
        <w:widowControl w:val="0"/>
        <w:kinsoku w:val="0"/>
        <w:wordWrap/>
        <w:overflowPunct/>
        <w:topLinePunct w:val="0"/>
        <w:autoSpaceDE w:val="0"/>
        <w:autoSpaceDN w:val="0"/>
        <w:bidi w:val="0"/>
        <w:adjustRightInd w:val="0"/>
        <w:snapToGrid w:val="0"/>
        <w:spacing w:line="360" w:lineRule="auto"/>
        <w:ind w:left="480" w:leftChars="0" w:right="2" w:hanging="480" w:hanging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31.1 投标人认为招标文件、招标过程、中标结果使自己的权益受到损害的，可以在知道或者应知其权益受到损害之日起7个工作日内，以书面形式向采购人、采购代理机构提出质疑。</w:t>
      </w:r>
    </w:p>
    <w:p w14:paraId="3A1BB394">
      <w:pPr>
        <w:keepNext w:val="0"/>
        <w:keepLines w:val="0"/>
        <w:pageBreakBefore w:val="0"/>
        <w:widowControl w:val="0"/>
        <w:kinsoku w:val="0"/>
        <w:wordWrap/>
        <w:overflowPunct/>
        <w:topLinePunct w:val="0"/>
        <w:autoSpaceDE w:val="0"/>
        <w:autoSpaceDN w:val="0"/>
        <w:bidi w:val="0"/>
        <w:adjustRightInd w:val="0"/>
        <w:snapToGrid w:val="0"/>
        <w:spacing w:line="360" w:lineRule="auto"/>
        <w:ind w:left="539" w:leftChars="232" w:hanging="52" w:hangingChars="2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对可以质疑的招标文件提出质疑的，为收到招标文件之日或者招标文件公告期限届满之日起7个工作日内；</w:t>
      </w:r>
    </w:p>
    <w:p w14:paraId="0D3DE5F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526" w:leftChars="136" w:hanging="240" w:hangingChars="1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  （2）</w:t>
      </w:r>
      <w:r>
        <w:rPr>
          <w:rFonts w:hint="eastAsia" w:ascii="宋体" w:hAnsi="宋体" w:eastAsia="宋体" w:cs="宋体"/>
          <w:color w:val="auto"/>
          <w:spacing w:val="0"/>
          <w:w w:val="100"/>
          <w:position w:val="0"/>
          <w:sz w:val="24"/>
          <w:szCs w:val="24"/>
          <w:highlight w:val="none"/>
          <w:lang w:eastAsia="zh-CN"/>
        </w:rPr>
        <w:t>对招标过程提出质疑的，为各招标程序环节结束之日起7个工作日内；</w:t>
      </w:r>
    </w:p>
    <w:p w14:paraId="1398071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604" w:leftChars="250" w:hanging="79" w:hangingChars="3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）对中标结果提出质疑的，为中标结果公告期限届满之日起7个工作日内。</w:t>
      </w:r>
    </w:p>
    <w:p w14:paraId="30873F90">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31.2 投标人应在法定质疑期内一次性提出针对同一采购程序环节的质疑。</w:t>
      </w:r>
    </w:p>
    <w:p w14:paraId="5FACAE69">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31.3 提出质疑的投标人应当是参与所质疑项目采购活动的投标人。</w:t>
      </w:r>
    </w:p>
    <w:p w14:paraId="61A53F95">
      <w:pPr>
        <w:keepNext w:val="0"/>
        <w:keepLines w:val="0"/>
        <w:pageBreakBefore w:val="0"/>
        <w:widowControl w:val="0"/>
        <w:kinsoku w:val="0"/>
        <w:wordWrap/>
        <w:overflowPunct/>
        <w:topLinePunct w:val="0"/>
        <w:autoSpaceDE w:val="0"/>
        <w:autoSpaceDN w:val="0"/>
        <w:bidi w:val="0"/>
        <w:adjustRightInd w:val="0"/>
        <w:snapToGrid w:val="0"/>
        <w:spacing w:line="360" w:lineRule="auto"/>
        <w:ind w:left="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31.4 潜在投标人已依法获取其可质疑的招标文件的，可以对该文件提出质疑。</w:t>
      </w:r>
    </w:p>
    <w:p w14:paraId="36F41D96">
      <w:pPr>
        <w:keepNext w:val="0"/>
        <w:keepLines w:val="0"/>
        <w:pageBreakBefore w:val="0"/>
        <w:widowControl w:val="0"/>
        <w:kinsoku w:val="0"/>
        <w:wordWrap/>
        <w:overflowPunct/>
        <w:topLinePunct w:val="0"/>
        <w:autoSpaceDE w:val="0"/>
        <w:autoSpaceDN w:val="0"/>
        <w:bidi w:val="0"/>
        <w:adjustRightInd w:val="0"/>
        <w:snapToGrid w:val="0"/>
        <w:spacing w:line="360" w:lineRule="auto"/>
        <w:ind w:left="602" w:leftChars="0" w:hanging="602" w:hangingChars="25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31.5 投标人提出质疑应当提交质疑函和必要的证明材料。质疑函应当包括下列内容</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根据当地监管部门要求调整</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要求）：</w:t>
      </w:r>
    </w:p>
    <w:p w14:paraId="5934EBF5">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（一）投标人的姓名或者名称、地址、邮编、联系人及联系电话；</w:t>
      </w:r>
    </w:p>
    <w:p w14:paraId="735718F8">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（二）质疑项目的名称、编号；</w:t>
      </w:r>
    </w:p>
    <w:p w14:paraId="06973E5D">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（三）具体、明确的质疑事项和与质疑事项相关的请求；</w:t>
      </w:r>
    </w:p>
    <w:p w14:paraId="62E4967A">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（四）事实依据；</w:t>
      </w:r>
    </w:p>
    <w:p w14:paraId="29FA3953">
      <w:pPr>
        <w:keepNext w:val="0"/>
        <w:keepLines w:val="0"/>
        <w:pageBreakBefore w:val="0"/>
        <w:widowControl w:val="0"/>
        <w:kinsoku w:val="0"/>
        <w:wordWrap/>
        <w:overflowPunct/>
        <w:topLinePunct w:val="0"/>
        <w:autoSpaceDE w:val="0"/>
        <w:autoSpaceDN w:val="0"/>
        <w:bidi w:val="0"/>
        <w:adjustRightInd w:val="0"/>
        <w:snapToGrid w:val="0"/>
        <w:spacing w:line="360" w:lineRule="auto"/>
        <w:ind w:left="49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（五）必要的法律依据；</w:t>
      </w:r>
    </w:p>
    <w:p w14:paraId="244E7CEB">
      <w:pPr>
        <w:keepNext w:val="0"/>
        <w:keepLines w:val="0"/>
        <w:pageBreakBefore w:val="0"/>
        <w:widowControl w:val="0"/>
        <w:kinsoku w:val="0"/>
        <w:wordWrap/>
        <w:overflowPunct/>
        <w:topLinePunct w:val="0"/>
        <w:autoSpaceDE w:val="0"/>
        <w:autoSpaceDN w:val="0"/>
        <w:bidi w:val="0"/>
        <w:adjustRightInd w:val="0"/>
        <w:snapToGrid w:val="0"/>
        <w:spacing w:line="360" w:lineRule="auto"/>
        <w:ind w:left="492"/>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（六）提出质疑的日期。</w:t>
      </w:r>
    </w:p>
    <w:p w14:paraId="3EB08FBC">
      <w:pPr>
        <w:keepNext w:val="0"/>
        <w:keepLines w:val="0"/>
        <w:pageBreakBefore w:val="0"/>
        <w:widowControl w:val="0"/>
        <w:kinsoku w:val="0"/>
        <w:wordWrap/>
        <w:overflowPunct/>
        <w:topLinePunct w:val="0"/>
        <w:autoSpaceDE w:val="0"/>
        <w:autoSpaceDN w:val="0"/>
        <w:bidi w:val="0"/>
        <w:adjustRightInd w:val="0"/>
        <w:snapToGrid w:val="0"/>
        <w:spacing w:line="360" w:lineRule="auto"/>
        <w:ind w:left="491" w:leftChars="234"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投标人为自然人的，应当由本人签字；投标人为法人或者其他组织的，应当由法定代表人、主要负责人，或者其授权代表签字或者盖章，并加盖公章。</w:t>
      </w:r>
      <w:r>
        <w:rPr>
          <w:rFonts w:hint="eastAsia" w:ascii="宋体" w:hAnsi="宋体" w:eastAsia="宋体" w:cs="宋体"/>
          <w:color w:val="auto"/>
          <w:spacing w:val="0"/>
          <w:w w:val="100"/>
          <w:position w:val="0"/>
          <w:sz w:val="24"/>
          <w:szCs w:val="24"/>
          <w:highlight w:val="none"/>
          <w:lang w:val="en-US" w:eastAsia="zh-CN"/>
        </w:rPr>
        <w:t>并</w:t>
      </w:r>
      <w:r>
        <w:rPr>
          <w:rFonts w:hint="eastAsia" w:ascii="宋体" w:hAnsi="宋体" w:eastAsia="宋体" w:cs="宋体"/>
          <w:color w:val="auto"/>
          <w:spacing w:val="0"/>
          <w:w w:val="100"/>
          <w:position w:val="0"/>
          <w:sz w:val="24"/>
          <w:szCs w:val="24"/>
          <w:highlight w:val="none"/>
          <w:lang w:eastAsia="zh-CN"/>
        </w:rPr>
        <w:t>同时提供下载招标文件的凭证。</w:t>
      </w:r>
    </w:p>
    <w:p w14:paraId="5F40E10B">
      <w:pPr>
        <w:keepNext w:val="0"/>
        <w:keepLines w:val="0"/>
        <w:pageBreakBefore w:val="0"/>
        <w:widowControl w:val="0"/>
        <w:kinsoku w:val="0"/>
        <w:wordWrap/>
        <w:overflowPunct/>
        <w:topLinePunct w:val="0"/>
        <w:autoSpaceDE w:val="0"/>
        <w:autoSpaceDN w:val="0"/>
        <w:bidi w:val="0"/>
        <w:adjustRightInd w:val="0"/>
        <w:snapToGrid w:val="0"/>
        <w:spacing w:line="360" w:lineRule="auto"/>
        <w:ind w:left="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31.6 质疑函接收方式</w:t>
      </w:r>
    </w:p>
    <w:p w14:paraId="562F74DD">
      <w:pPr>
        <w:pageBreakBefore w:val="0"/>
        <w:widowControl w:val="0"/>
        <w:wordWrap/>
        <w:overflowPunct/>
        <w:topLinePunct w:val="0"/>
        <w:bidi w:val="0"/>
        <w:spacing w:before="47" w:afterAutospacing="0" w:line="219" w:lineRule="auto"/>
        <w:ind w:left="525" w:leftChars="250" w:firstLine="0" w:firstLineChars="0"/>
        <w:jc w:val="both"/>
        <w:outlineLvl w:val="1"/>
        <w:rPr>
          <w:rFonts w:hint="eastAsia" w:ascii="宋体" w:hAnsi="宋体" w:eastAsia="宋体" w:cs="宋体"/>
          <w:color w:val="auto"/>
          <w:spacing w:val="0"/>
          <w:w w:val="100"/>
          <w:position w:val="0"/>
          <w:sz w:val="24"/>
          <w:szCs w:val="24"/>
          <w:highlight w:val="none"/>
          <w:lang w:val="en-US" w:eastAsia="zh-CN"/>
        </w:rPr>
      </w:pPr>
      <w:bookmarkStart w:id="77" w:name="_Toc2061"/>
      <w:r>
        <w:rPr>
          <w:rFonts w:hint="eastAsia" w:ascii="宋体" w:hAnsi="宋体" w:eastAsia="宋体" w:cs="宋体"/>
          <w:color w:val="auto"/>
          <w:spacing w:val="0"/>
          <w:w w:val="100"/>
          <w:position w:val="0"/>
          <w:sz w:val="24"/>
          <w:szCs w:val="24"/>
          <w:highlight w:val="none"/>
          <w:lang w:val="en-US" w:eastAsia="zh-CN"/>
        </w:rPr>
        <w:t>详见“投标人须知前附表”</w:t>
      </w:r>
      <w:bookmarkEnd w:id="77"/>
      <w:bookmarkStart w:id="78" w:name="bookmark41"/>
      <w:bookmarkEnd w:id="78"/>
    </w:p>
    <w:p w14:paraId="78709A01">
      <w:pPr>
        <w:pageBreakBefore w:val="0"/>
        <w:widowControl w:val="0"/>
        <w:wordWrap/>
        <w:overflowPunct/>
        <w:topLinePunct w:val="0"/>
        <w:bidi w:val="0"/>
        <w:spacing w:before="0" w:beforeLines="150" w:beforeAutospacing="0" w:afterAutospacing="0" w:line="219" w:lineRule="auto"/>
        <w:jc w:val="center"/>
        <w:outlineLvl w:val="1"/>
        <w:rPr>
          <w:rFonts w:hint="eastAsia" w:ascii="宋体" w:hAnsi="宋体" w:eastAsia="宋体" w:cs="宋体"/>
          <w:color w:val="auto"/>
          <w:spacing w:val="0"/>
          <w:w w:val="100"/>
          <w:position w:val="0"/>
          <w:highlight w:val="none"/>
          <w:lang w:eastAsia="zh-CN"/>
        </w:rPr>
      </w:pPr>
      <w:bookmarkStart w:id="79" w:name="_Toc778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九、</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其他事项</w:t>
      </w:r>
      <w:bookmarkEnd w:id="79"/>
    </w:p>
    <w:p w14:paraId="2FD29534">
      <w:pPr>
        <w:keepNext w:val="0"/>
        <w:keepLines w:val="0"/>
        <w:pageBreakBefore w:val="0"/>
        <w:widowControl w:val="0"/>
        <w:kinsoku w:val="0"/>
        <w:wordWrap/>
        <w:overflowPunct/>
        <w:topLinePunct w:val="0"/>
        <w:autoSpaceDE w:val="0"/>
        <w:autoSpaceDN w:val="0"/>
        <w:bidi w:val="0"/>
        <w:adjustRightInd w:val="0"/>
        <w:snapToGrid w:val="0"/>
        <w:spacing w:before="0" w:beforeLines="100" w:beforeAutospacing="0" w:afterAutospacing="0" w:line="360" w:lineRule="auto"/>
        <w:textAlignment w:val="baseline"/>
        <w:outlineLvl w:val="1"/>
        <w:rPr>
          <w:rFonts w:hint="eastAsia" w:ascii="宋体" w:hAnsi="宋体" w:eastAsia="宋体" w:cs="宋体"/>
          <w:color w:val="auto"/>
          <w:spacing w:val="0"/>
          <w:w w:val="100"/>
          <w:position w:val="0"/>
          <w:sz w:val="24"/>
          <w:szCs w:val="24"/>
          <w:highlight w:val="none"/>
          <w:lang w:eastAsia="zh-CN"/>
        </w:rPr>
      </w:pPr>
      <w:bookmarkStart w:id="80" w:name="_Toc884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32.采购代理服务费</w:t>
      </w:r>
      <w:bookmarkEnd w:id="80"/>
    </w:p>
    <w:p w14:paraId="16C4E50D">
      <w:pPr>
        <w:keepNext w:val="0"/>
        <w:keepLines w:val="0"/>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ind w:left="525" w:leftChars="0" w:hanging="525" w:hangingChars="219"/>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32.1 如为中标人支付采购代理服务费，中标人在领取中标通知书时须按“投标人须知前附表”规定的收费标准，向采购代理机构缴纳采购代理服务费。</w:t>
      </w:r>
    </w:p>
    <w:p w14:paraId="2FA1DE89">
      <w:pPr>
        <w:keepNext w:val="0"/>
        <w:keepLines w:val="0"/>
        <w:pageBreakBefore w:val="0"/>
        <w:widowControl w:val="0"/>
        <w:kinsoku w:val="0"/>
        <w:wordWrap/>
        <w:overflowPunct/>
        <w:topLinePunct w:val="0"/>
        <w:autoSpaceDE w:val="0"/>
        <w:autoSpaceDN w:val="0"/>
        <w:bidi w:val="0"/>
        <w:adjustRightInd w:val="0"/>
        <w:snapToGrid w:val="0"/>
        <w:spacing w:before="48" w:beforeAutospacing="0" w:afterAutospacing="0" w:line="360" w:lineRule="auto"/>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32.2 采购代理服务费采用银行转账、支票、汇票、本票等非现金形式交纳。</w:t>
      </w:r>
    </w:p>
    <w:p w14:paraId="42DF6B24">
      <w:pPr>
        <w:keepNext w:val="0"/>
        <w:keepLines w:val="0"/>
        <w:pageBreakBefore w:val="0"/>
        <w:widowControl w:val="0"/>
        <w:kinsoku w:val="0"/>
        <w:wordWrap/>
        <w:overflowPunct/>
        <w:topLinePunct w:val="0"/>
        <w:autoSpaceDE w:val="0"/>
        <w:autoSpaceDN w:val="0"/>
        <w:bidi w:val="0"/>
        <w:adjustRightInd w:val="0"/>
        <w:snapToGrid w:val="0"/>
        <w:spacing w:before="78" w:beforeAutospacing="0" w:afterAutospacing="0" w:line="360" w:lineRule="auto"/>
        <w:ind w:left="480" w:leftChars="0" w:hanging="480" w:hanging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32.3 中标人如未按本须知“第 32.1 条 ”规定办理，采购代理机构将按本须知“第 16.5 </w:t>
      </w:r>
      <w:bookmarkStart w:id="81" w:name="bookmark52"/>
      <w:bookmarkEnd w:id="81"/>
      <w:r>
        <w:rPr>
          <w:rFonts w:hint="eastAsia" w:ascii="宋体" w:hAnsi="宋体" w:eastAsia="宋体" w:cs="宋体"/>
          <w:color w:val="auto"/>
          <w:spacing w:val="0"/>
          <w:w w:val="100"/>
          <w:position w:val="0"/>
          <w:sz w:val="24"/>
          <w:szCs w:val="24"/>
          <w:highlight w:val="none"/>
          <w:lang w:eastAsia="zh-CN"/>
        </w:rPr>
        <w:t>条 ”规定不予退还其投标保证金。</w:t>
      </w:r>
    </w:p>
    <w:p w14:paraId="2734C3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textAlignment w:val="baseline"/>
        <w:outlineLvl w:val="1"/>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82" w:name="_Toc25073"/>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33.适用法律</w:t>
      </w:r>
      <w:bookmarkEnd w:id="82"/>
    </w:p>
    <w:p w14:paraId="6D807FC7">
      <w:pPr>
        <w:pStyle w:val="10"/>
        <w:keepNext w:val="0"/>
        <w:keepLines w:val="0"/>
        <w:pageBreakBefore w:val="0"/>
        <w:widowControl w:val="0"/>
        <w:kinsoku w:val="0"/>
        <w:wordWrap/>
        <w:overflowPunct/>
        <w:topLinePunct w:val="0"/>
        <w:autoSpaceDE w:val="0"/>
        <w:autoSpaceDN w:val="0"/>
        <w:bidi w:val="0"/>
        <w:adjustRightInd w:val="0"/>
        <w:snapToGrid w:val="0"/>
        <w:spacing w:line="360" w:lineRule="auto"/>
        <w:ind w:left="600" w:leftChars="0" w:hanging="600" w:hangingChars="250"/>
        <w:jc w:val="left"/>
        <w:textAlignment w:val="baseline"/>
        <w:rPr>
          <w:rFonts w:hint="eastAsia" w:ascii="宋体" w:hAnsi="宋体" w:eastAsia="宋体" w:cs="宋体"/>
          <w:bCs/>
          <w:color w:val="auto"/>
          <w:spacing w:val="0"/>
          <w:w w:val="100"/>
          <w:position w:val="0"/>
          <w:sz w:val="24"/>
          <w:szCs w:val="24"/>
          <w:highlight w:val="none"/>
        </w:rPr>
      </w:pPr>
      <w:r>
        <w:rPr>
          <w:rFonts w:hint="eastAsia" w:ascii="宋体" w:hAnsi="宋体" w:eastAsia="宋体" w:cs="宋体"/>
          <w:bCs/>
          <w:color w:val="auto"/>
          <w:spacing w:val="0"/>
          <w:w w:val="100"/>
          <w:position w:val="0"/>
          <w:sz w:val="24"/>
          <w:szCs w:val="24"/>
          <w:highlight w:val="none"/>
          <w:lang w:val="en-US" w:eastAsia="zh-CN"/>
        </w:rPr>
        <w:t xml:space="preserve">33.1 </w:t>
      </w:r>
      <w:r>
        <w:rPr>
          <w:rFonts w:hint="eastAsia" w:ascii="宋体" w:hAnsi="宋体" w:eastAsia="宋体" w:cs="宋体"/>
          <w:bCs/>
          <w:color w:val="auto"/>
          <w:spacing w:val="0"/>
          <w:w w:val="100"/>
          <w:position w:val="0"/>
          <w:sz w:val="24"/>
          <w:szCs w:val="24"/>
          <w:highlight w:val="none"/>
        </w:rPr>
        <w:t>采购代理机构及投标人的一切招标投标活动均适用于《中华人民共和国政府采购</w:t>
      </w:r>
      <w:r>
        <w:rPr>
          <w:rFonts w:hint="eastAsia" w:ascii="宋体" w:hAnsi="宋体" w:eastAsia="宋体" w:cs="宋体"/>
          <w:bCs/>
          <w:color w:val="auto"/>
          <w:spacing w:val="0"/>
          <w:w w:val="100"/>
          <w:position w:val="0"/>
          <w:sz w:val="24"/>
          <w:szCs w:val="24"/>
          <w:highlight w:val="none"/>
          <w:lang w:val="en-US" w:eastAsia="zh-CN"/>
        </w:rPr>
        <w:t>法</w:t>
      </w:r>
      <w:r>
        <w:rPr>
          <w:rFonts w:hint="eastAsia" w:ascii="宋体" w:hAnsi="宋体" w:eastAsia="宋体" w:cs="宋体"/>
          <w:bCs/>
          <w:color w:val="auto"/>
          <w:spacing w:val="0"/>
          <w:w w:val="100"/>
          <w:position w:val="0"/>
          <w:sz w:val="24"/>
          <w:szCs w:val="24"/>
          <w:highlight w:val="none"/>
        </w:rPr>
        <w:t>》及相关规定。</w:t>
      </w:r>
    </w:p>
    <w:p w14:paraId="49073A2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textAlignment w:val="baseline"/>
        <w:outlineLvl w:val="1"/>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bookmarkStart w:id="83" w:name="_Toc7006"/>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34.解释权</w:t>
      </w:r>
      <w:bookmarkEnd w:id="83"/>
    </w:p>
    <w:p w14:paraId="095159F9">
      <w:pPr>
        <w:pStyle w:val="7"/>
        <w:keepNext w:val="0"/>
        <w:keepLines w:val="0"/>
        <w:pageBreakBefore w:val="0"/>
        <w:widowControl w:val="0"/>
        <w:kinsoku w:val="0"/>
        <w:wordWrap/>
        <w:overflowPunct/>
        <w:topLinePunct w:val="0"/>
        <w:autoSpaceDE w:val="0"/>
        <w:autoSpaceDN w:val="0"/>
        <w:bidi w:val="0"/>
        <w:adjustRightInd w:val="0"/>
        <w:snapToGrid w:val="0"/>
        <w:spacing w:after="0" w:line="360" w:lineRule="auto"/>
        <w:ind w:left="631" w:leftChars="0" w:hanging="631" w:hangingChars="263"/>
        <w:textAlignment w:val="baseline"/>
        <w:rPr>
          <w:rFonts w:hint="eastAsia" w:ascii="宋体" w:hAnsi="宋体" w:eastAsia="宋体" w:cs="宋体"/>
          <w:color w:val="auto"/>
          <w:spacing w:val="0"/>
          <w:w w:val="100"/>
          <w:position w:val="0"/>
          <w:highlight w:val="none"/>
          <w:u w:val="single"/>
          <w:lang w:val="en-US" w:eastAsia="zh-CN"/>
        </w:rPr>
        <w:sectPr>
          <w:footerReference r:id="rId5" w:type="default"/>
          <w:pgSz w:w="11906" w:h="16839"/>
          <w:pgMar w:top="1440" w:right="1706" w:bottom="1440" w:left="1706" w:header="0" w:footer="1200" w:gutter="0"/>
          <w:cols w:space="720" w:num="1"/>
        </w:sectPr>
      </w:pPr>
      <w:r>
        <w:rPr>
          <w:rFonts w:hint="eastAsia" w:ascii="宋体" w:hAnsi="宋体" w:eastAsia="宋体" w:cs="宋体"/>
          <w:bCs/>
          <w:color w:val="auto"/>
          <w:spacing w:val="0"/>
          <w:w w:val="100"/>
          <w:position w:val="0"/>
          <w:sz w:val="24"/>
          <w:szCs w:val="24"/>
          <w:highlight w:val="none"/>
          <w:lang w:val="en-US" w:eastAsia="zh-CN"/>
        </w:rPr>
        <w:t xml:space="preserve">34.1 </w:t>
      </w:r>
      <w:r>
        <w:rPr>
          <w:rFonts w:hint="eastAsia" w:ascii="宋体" w:hAnsi="宋体" w:eastAsia="宋体" w:cs="宋体"/>
          <w:bCs/>
          <w:color w:val="auto"/>
          <w:spacing w:val="0"/>
          <w:w w:val="100"/>
          <w:position w:val="0"/>
          <w:sz w:val="24"/>
          <w:szCs w:val="24"/>
          <w:highlight w:val="none"/>
        </w:rPr>
        <w:t>本招标文件是根据国家有关法律、法规以及政府采购管理有关规定编制，招标文件的最终解释权</w:t>
      </w:r>
      <w:bookmarkStart w:id="84" w:name="_Hlk99122309"/>
      <w:r>
        <w:rPr>
          <w:rFonts w:hint="eastAsia" w:ascii="宋体" w:hAnsi="宋体" w:eastAsia="宋体" w:cs="宋体"/>
          <w:bCs/>
          <w:color w:val="auto"/>
          <w:spacing w:val="0"/>
          <w:w w:val="100"/>
          <w:position w:val="0"/>
          <w:sz w:val="24"/>
          <w:szCs w:val="24"/>
          <w:highlight w:val="none"/>
        </w:rPr>
        <w:t>属于采购人、采购代理机构。</w:t>
      </w:r>
      <w:bookmarkEnd w:id="84"/>
    </w:p>
    <w:p w14:paraId="038FA601">
      <w:pPr>
        <w:pageBreakBefore w:val="0"/>
        <w:widowControl w:val="0"/>
        <w:numPr>
          <w:ilvl w:val="0"/>
          <w:numId w:val="4"/>
        </w:numPr>
        <w:wordWrap/>
        <w:overflowPunct/>
        <w:topLinePunct w:val="0"/>
        <w:bidi w:val="0"/>
        <w:spacing w:before="83" w:line="224" w:lineRule="auto"/>
        <w:jc w:val="center"/>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bookmarkStart w:id="85" w:name="bookmark51"/>
      <w:bookmarkEnd w:id="85"/>
      <w:bookmarkStart w:id="86" w:name="bookmark53"/>
      <w:bookmarkEnd w:id="86"/>
      <w:r>
        <w:rPr>
          <w:rFonts w:hint="eastAsia" w:ascii="宋体" w:hAnsi="宋体" w:eastAsia="宋体" w:cs="宋体"/>
          <w:color w:val="auto"/>
          <w:spacing w:val="0"/>
          <w:w w:val="100"/>
          <w:position w:val="0"/>
          <w:sz w:val="31"/>
          <w:szCs w:val="31"/>
          <w:highlight w:val="none"/>
          <w:lang w:eastAsia="zh-CN"/>
        </w:rPr>
        <w:t xml:space="preserve"> </w:t>
      </w:r>
      <w:bookmarkStart w:id="87" w:name="_Toc14012"/>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拟签订的合同文本（</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参考格式</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w:t>
      </w:r>
      <w:bookmarkEnd w:id="87"/>
    </w:p>
    <w:p w14:paraId="0997B231">
      <w:pPr>
        <w:adjustRightInd w:val="0"/>
        <w:snapToGrid w:val="0"/>
        <w:spacing w:beforeLines="50" w:afterLines="50" w:line="440" w:lineRule="exact"/>
        <w:jc w:val="center"/>
        <w:outlineLvl w:val="1"/>
        <w:rPr>
          <w:rFonts w:hint="eastAsia" w:ascii="宋体" w:hAnsi="宋体" w:eastAsia="宋体" w:cs="宋体"/>
          <w:b/>
          <w:color w:val="auto"/>
          <w:sz w:val="32"/>
          <w:szCs w:val="32"/>
          <w:highlight w:val="none"/>
          <w:u w:val="single"/>
        </w:rPr>
      </w:pPr>
      <w:r>
        <w:rPr>
          <w:rFonts w:hint="eastAsia" w:ascii="宋体" w:hAnsi="宋体" w:eastAsia="宋体" w:cs="宋体"/>
          <w:b/>
          <w:color w:val="auto"/>
          <w:sz w:val="32"/>
          <w:szCs w:val="32"/>
          <w:highlight w:val="none"/>
          <w:u w:val="single"/>
        </w:rPr>
        <w:t xml:space="preserve">   </w:t>
      </w:r>
      <w:bookmarkStart w:id="88" w:name="_Toc16992"/>
      <w:r>
        <w:rPr>
          <w:rFonts w:hint="eastAsia" w:ascii="宋体" w:hAnsi="宋体" w:eastAsia="宋体" w:cs="宋体"/>
          <w:b/>
          <w:color w:val="auto"/>
          <w:sz w:val="32"/>
          <w:szCs w:val="32"/>
          <w:highlight w:val="none"/>
          <w:u w:val="single"/>
        </w:rPr>
        <w:t xml:space="preserve">项目名称   </w:t>
      </w:r>
      <w:r>
        <w:rPr>
          <w:rFonts w:hint="eastAsia" w:ascii="宋体" w:hAnsi="宋体" w:eastAsia="宋体" w:cs="宋体"/>
          <w:b/>
          <w:color w:val="auto"/>
          <w:sz w:val="32"/>
          <w:szCs w:val="32"/>
          <w:highlight w:val="none"/>
        </w:rPr>
        <w:t>合同</w:t>
      </w:r>
      <w:bookmarkEnd w:id="88"/>
    </w:p>
    <w:p w14:paraId="6754C170">
      <w:pPr>
        <w:adjustRightInd w:val="0"/>
        <w:snapToGrid w:val="0"/>
        <w:spacing w:beforeLines="50" w:afterLines="50" w:line="440" w:lineRule="exac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甲方：东华理工大学                      合同编号：</w:t>
      </w:r>
    </w:p>
    <w:p w14:paraId="36A84E33">
      <w:pPr>
        <w:adjustRightInd w:val="0"/>
        <w:snapToGrid w:val="0"/>
        <w:spacing w:beforeLines="50" w:afterLines="50" w:line="440" w:lineRule="exact"/>
        <w:rPr>
          <w:rFonts w:hint="eastAsia" w:ascii="宋体" w:hAnsi="宋体" w:eastAsia="宋体" w:cs="宋体"/>
          <w:b/>
          <w:color w:val="auto"/>
          <w:sz w:val="24"/>
          <w:highlight w:val="none"/>
        </w:rPr>
      </w:pPr>
      <w:r>
        <w:rPr>
          <w:rFonts w:hint="eastAsia" w:ascii="宋体" w:hAnsi="宋体" w:eastAsia="宋体" w:cs="宋体"/>
          <w:b/>
          <w:color w:val="auto"/>
          <w:sz w:val="24"/>
          <w:highlight w:val="none"/>
        </w:rPr>
        <w:t>乙方：</w:t>
      </w:r>
      <w:bookmarkStart w:id="89" w:name="OLE_LINK3"/>
      <w:r>
        <w:rPr>
          <w:rFonts w:hint="eastAsia" w:ascii="宋体" w:hAnsi="宋体" w:eastAsia="宋体" w:cs="宋体"/>
          <w:b/>
          <w:color w:val="auto"/>
          <w:sz w:val="24"/>
          <w:highlight w:val="none"/>
        </w:rPr>
        <w:t xml:space="preserve"> </w:t>
      </w:r>
      <w:bookmarkEnd w:id="89"/>
      <w:r>
        <w:rPr>
          <w:rFonts w:hint="eastAsia" w:ascii="宋体" w:hAnsi="宋体" w:eastAsia="宋体" w:cs="宋体"/>
          <w:b/>
          <w:color w:val="auto"/>
          <w:sz w:val="24"/>
          <w:highlight w:val="none"/>
        </w:rPr>
        <w:t xml:space="preserve">                                 签订时间：    年   月   日</w:t>
      </w:r>
    </w:p>
    <w:p w14:paraId="26E8F2DC">
      <w:pPr>
        <w:adjustRightInd w:val="0"/>
        <w:snapToGrid w:val="0"/>
        <w:spacing w:line="440" w:lineRule="exact"/>
        <w:ind w:firstLine="482" w:firstLineChars="200"/>
        <w:rPr>
          <w:rFonts w:hint="eastAsia" w:ascii="宋体" w:hAnsi="宋体" w:eastAsia="宋体" w:cs="宋体"/>
          <w:color w:val="auto"/>
          <w:sz w:val="24"/>
          <w:highlight w:val="none"/>
        </w:rPr>
      </w:pPr>
      <w:r>
        <w:rPr>
          <w:rFonts w:hint="eastAsia" w:ascii="宋体" w:hAnsi="宋体" w:eastAsia="宋体" w:cs="宋体"/>
          <w:b/>
          <w:color w:val="auto"/>
          <w:sz w:val="24"/>
          <w:highlight w:val="none"/>
          <w:u w:val="single"/>
        </w:rPr>
        <w:t>东华理工大学</w:t>
      </w:r>
      <w:r>
        <w:rPr>
          <w:rFonts w:hint="eastAsia" w:ascii="宋体" w:hAnsi="宋体" w:eastAsia="宋体" w:cs="宋体"/>
          <w:color w:val="auto"/>
          <w:sz w:val="24"/>
          <w:highlight w:val="none"/>
        </w:rPr>
        <w:t>（甲方）</w:t>
      </w:r>
      <w:r>
        <w:rPr>
          <w:rFonts w:hint="eastAsia" w:ascii="宋体" w:hAnsi="宋体" w:eastAsia="宋体" w:cs="宋体"/>
          <w:color w:val="auto"/>
          <w:sz w:val="24"/>
          <w:highlight w:val="none"/>
          <w:u w:val="single"/>
        </w:rPr>
        <w:t xml:space="preserve">             （采购编号：    ）</w:t>
      </w:r>
      <w:r>
        <w:rPr>
          <w:rFonts w:hint="eastAsia" w:ascii="宋体" w:hAnsi="宋体" w:eastAsia="宋体" w:cs="宋体"/>
          <w:color w:val="auto"/>
          <w:sz w:val="24"/>
          <w:highlight w:val="none"/>
        </w:rPr>
        <w:t>中所需</w:t>
      </w:r>
      <w:r>
        <w:rPr>
          <w:rFonts w:hint="eastAsia" w:ascii="宋体" w:hAnsi="宋体" w:eastAsia="宋体" w:cs="宋体"/>
          <w:color w:val="auto"/>
          <w:sz w:val="24"/>
          <w:highlight w:val="none"/>
          <w:u w:val="single"/>
        </w:rPr>
        <w:t xml:space="preserve"> 货物 </w:t>
      </w:r>
      <w:r>
        <w:rPr>
          <w:rFonts w:hint="eastAsia" w:ascii="宋体" w:hAnsi="宋体" w:eastAsia="宋体" w:cs="宋体"/>
          <w:color w:val="auto"/>
          <w:sz w:val="24"/>
          <w:highlight w:val="none"/>
        </w:rPr>
        <w:t>经</w:t>
      </w:r>
      <w:r>
        <w:rPr>
          <w:rFonts w:hint="eastAsia" w:ascii="宋体" w:hAnsi="宋体" w:eastAsia="宋体" w:cs="宋体"/>
          <w:color w:val="auto"/>
          <w:sz w:val="24"/>
          <w:highlight w:val="none"/>
          <w:u w:val="single"/>
        </w:rPr>
        <w:t xml:space="preserve">      （采购代理机构）</w:t>
      </w:r>
      <w:r>
        <w:rPr>
          <w:rFonts w:hint="eastAsia" w:ascii="宋体" w:hAnsi="宋体" w:eastAsia="宋体" w:cs="宋体"/>
          <w:color w:val="auto"/>
          <w:sz w:val="24"/>
          <w:highlight w:val="none"/>
        </w:rPr>
        <w:t>以(</w:t>
      </w:r>
      <w:bookmarkStart w:id="90" w:name="OLE_LINK4"/>
      <w:r>
        <w:rPr>
          <w:rFonts w:hint="eastAsia" w:ascii="宋体" w:hAnsi="宋体" w:eastAsia="宋体" w:cs="宋体"/>
          <w:color w:val="auto"/>
          <w:sz w:val="24"/>
          <w:highlight w:val="none"/>
        </w:rPr>
        <w:t>□</w:t>
      </w:r>
      <w:bookmarkEnd w:id="90"/>
      <w:r>
        <w:rPr>
          <w:rFonts w:hint="eastAsia" w:ascii="宋体" w:hAnsi="宋体" w:eastAsia="宋体" w:cs="宋体"/>
          <w:color w:val="auto"/>
          <w:sz w:val="24"/>
          <w:highlight w:val="none"/>
        </w:rPr>
        <w:t>公开招标、□竞争性谈判、□竞争性磋商、□单一来源、□校内公开比选、□校内单一来源)采购文件进行政府（校内）采购程序。经评审专家小组评定，</w:t>
      </w:r>
      <w:r>
        <w:rPr>
          <w:rFonts w:hint="eastAsia" w:ascii="宋体" w:hAnsi="宋体" w:eastAsia="宋体" w:cs="宋体"/>
          <w:b/>
          <w:color w:val="auto"/>
          <w:sz w:val="24"/>
          <w:highlight w:val="none"/>
          <w:u w:val="single"/>
        </w:rPr>
        <w:t xml:space="preserve">  </w:t>
      </w:r>
      <w:r>
        <w:rPr>
          <w:rFonts w:hint="eastAsia" w:ascii="宋体" w:hAnsi="宋体" w:eastAsia="宋体" w:cs="宋体"/>
          <w:color w:val="auto"/>
          <w:sz w:val="24"/>
          <w:highlight w:val="none"/>
        </w:rPr>
        <w:t>（乙方）为成交供应商。</w:t>
      </w:r>
    </w:p>
    <w:p w14:paraId="04089426">
      <w:pPr>
        <w:adjustRightInd w:val="0"/>
        <w:snapToGrid w:val="0"/>
        <w:spacing w:line="440" w:lineRule="exact"/>
        <w:ind w:firstLine="480" w:firstLineChars="200"/>
        <w:rPr>
          <w:rFonts w:hint="eastAsia" w:ascii="宋体" w:hAnsi="宋体" w:eastAsia="宋体" w:cs="宋体"/>
          <w:strike/>
          <w:color w:val="auto"/>
          <w:sz w:val="24"/>
          <w:highlight w:val="none"/>
        </w:rPr>
      </w:pPr>
      <w:r>
        <w:rPr>
          <w:rFonts w:hint="eastAsia" w:ascii="宋体" w:hAnsi="宋体" w:eastAsia="宋体" w:cs="宋体"/>
          <w:color w:val="auto"/>
          <w:sz w:val="24"/>
          <w:highlight w:val="none"/>
        </w:rPr>
        <w:t>甲乙双方根据《中华人民共和国政府采购法》、《中华人民共和国民法典》及其他相关法律法规的规定，遵循平等、自愿、公平和诚实信用的原则，就甲方购买乙方货物相关事宜友好协商订立本合同，供双方共同恪守。</w:t>
      </w:r>
    </w:p>
    <w:p w14:paraId="23690537">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1" w:name="_Toc10277"/>
      <w:r>
        <w:rPr>
          <w:rFonts w:hint="eastAsia" w:ascii="宋体" w:hAnsi="宋体" w:eastAsia="宋体" w:cs="宋体"/>
          <w:b/>
          <w:bCs/>
          <w:color w:val="auto"/>
          <w:sz w:val="24"/>
          <w:highlight w:val="none"/>
        </w:rPr>
        <w:t>一、货物配置及价格清单</w:t>
      </w:r>
      <w:bookmarkEnd w:id="91"/>
    </w:p>
    <w:tbl>
      <w:tblPr>
        <w:tblStyle w:val="1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709"/>
        <w:gridCol w:w="1238"/>
        <w:gridCol w:w="1536"/>
        <w:gridCol w:w="864"/>
        <w:gridCol w:w="1483"/>
        <w:gridCol w:w="1133"/>
        <w:gridCol w:w="1296"/>
      </w:tblGrid>
      <w:tr w14:paraId="08571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00" w:hRule="atLeast"/>
          <w:jc w:val="center"/>
        </w:trPr>
        <w:tc>
          <w:tcPr>
            <w:tcW w:w="709" w:type="dxa"/>
            <w:noWrap w:val="0"/>
            <w:vAlign w:val="center"/>
          </w:tcPr>
          <w:p w14:paraId="0D9C2645">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序号</w:t>
            </w:r>
          </w:p>
        </w:tc>
        <w:tc>
          <w:tcPr>
            <w:tcW w:w="1238" w:type="dxa"/>
            <w:noWrap w:val="0"/>
            <w:vAlign w:val="center"/>
          </w:tcPr>
          <w:p w14:paraId="4912669F">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货物</w:t>
            </w:r>
          </w:p>
          <w:p w14:paraId="6C793EF2">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名称</w:t>
            </w:r>
          </w:p>
        </w:tc>
        <w:tc>
          <w:tcPr>
            <w:tcW w:w="1536" w:type="dxa"/>
            <w:noWrap w:val="0"/>
            <w:vAlign w:val="center"/>
          </w:tcPr>
          <w:p w14:paraId="6A95B740">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品牌/规格</w:t>
            </w:r>
          </w:p>
          <w:p w14:paraId="1B27CDD5">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型号</w:t>
            </w:r>
          </w:p>
        </w:tc>
        <w:tc>
          <w:tcPr>
            <w:tcW w:w="864" w:type="dxa"/>
            <w:noWrap w:val="0"/>
            <w:vAlign w:val="center"/>
          </w:tcPr>
          <w:p w14:paraId="70B12757">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数量/单位</w:t>
            </w:r>
          </w:p>
        </w:tc>
        <w:tc>
          <w:tcPr>
            <w:tcW w:w="1483" w:type="dxa"/>
            <w:noWrap w:val="0"/>
            <w:vAlign w:val="center"/>
          </w:tcPr>
          <w:p w14:paraId="78F6B9DE">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制造商</w:t>
            </w:r>
          </w:p>
          <w:p w14:paraId="695DDB97">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名称</w:t>
            </w:r>
          </w:p>
        </w:tc>
        <w:tc>
          <w:tcPr>
            <w:tcW w:w="1133" w:type="dxa"/>
            <w:noWrap w:val="0"/>
            <w:vAlign w:val="center"/>
          </w:tcPr>
          <w:p w14:paraId="7B11091B">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单价（元）</w:t>
            </w:r>
          </w:p>
        </w:tc>
        <w:tc>
          <w:tcPr>
            <w:tcW w:w="1296" w:type="dxa"/>
            <w:noWrap w:val="0"/>
            <w:vAlign w:val="center"/>
          </w:tcPr>
          <w:p w14:paraId="5B2FBCF8">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总价（元）</w:t>
            </w:r>
          </w:p>
        </w:tc>
      </w:tr>
      <w:tr w14:paraId="66741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8" w:hRule="atLeast"/>
          <w:jc w:val="center"/>
        </w:trPr>
        <w:tc>
          <w:tcPr>
            <w:tcW w:w="709" w:type="dxa"/>
            <w:noWrap w:val="0"/>
            <w:vAlign w:val="center"/>
          </w:tcPr>
          <w:p w14:paraId="009372FA">
            <w:pPr>
              <w:adjustRightInd w:val="0"/>
              <w:snapToGrid w:val="0"/>
              <w:spacing w:line="440" w:lineRule="exact"/>
              <w:jc w:val="center"/>
              <w:rPr>
                <w:rFonts w:hint="eastAsia" w:ascii="宋体" w:hAnsi="宋体" w:eastAsia="宋体" w:cs="宋体"/>
                <w:color w:val="auto"/>
                <w:sz w:val="24"/>
                <w:highlight w:val="none"/>
              </w:rPr>
            </w:pPr>
            <w:r>
              <w:rPr>
                <w:rFonts w:hint="eastAsia" w:ascii="宋体" w:hAnsi="宋体" w:eastAsia="宋体" w:cs="宋体"/>
                <w:color w:val="auto"/>
                <w:sz w:val="24"/>
                <w:highlight w:val="none"/>
              </w:rPr>
              <w:t>1</w:t>
            </w:r>
          </w:p>
        </w:tc>
        <w:tc>
          <w:tcPr>
            <w:tcW w:w="1238" w:type="dxa"/>
            <w:noWrap w:val="0"/>
            <w:vAlign w:val="center"/>
          </w:tcPr>
          <w:p w14:paraId="771EFF95">
            <w:pPr>
              <w:adjustRightInd w:val="0"/>
              <w:snapToGrid w:val="0"/>
              <w:spacing w:line="440" w:lineRule="exact"/>
              <w:jc w:val="center"/>
              <w:rPr>
                <w:rFonts w:hint="eastAsia" w:ascii="宋体" w:hAnsi="宋体" w:eastAsia="宋体" w:cs="宋体"/>
                <w:color w:val="auto"/>
                <w:sz w:val="24"/>
                <w:highlight w:val="none"/>
              </w:rPr>
            </w:pPr>
          </w:p>
        </w:tc>
        <w:tc>
          <w:tcPr>
            <w:tcW w:w="1536" w:type="dxa"/>
            <w:noWrap w:val="0"/>
            <w:vAlign w:val="center"/>
          </w:tcPr>
          <w:p w14:paraId="310BC662">
            <w:pPr>
              <w:adjustRightInd w:val="0"/>
              <w:snapToGrid w:val="0"/>
              <w:spacing w:line="440" w:lineRule="exact"/>
              <w:jc w:val="center"/>
              <w:rPr>
                <w:rFonts w:hint="eastAsia" w:ascii="宋体" w:hAnsi="宋体" w:eastAsia="宋体" w:cs="宋体"/>
                <w:color w:val="auto"/>
                <w:sz w:val="24"/>
                <w:highlight w:val="none"/>
              </w:rPr>
            </w:pPr>
          </w:p>
        </w:tc>
        <w:tc>
          <w:tcPr>
            <w:tcW w:w="864" w:type="dxa"/>
            <w:noWrap w:val="0"/>
            <w:vAlign w:val="center"/>
          </w:tcPr>
          <w:p w14:paraId="49E95E9F">
            <w:pPr>
              <w:adjustRightInd w:val="0"/>
              <w:snapToGrid w:val="0"/>
              <w:spacing w:line="440" w:lineRule="exact"/>
              <w:jc w:val="center"/>
              <w:rPr>
                <w:rFonts w:hint="eastAsia" w:ascii="宋体" w:hAnsi="宋体" w:eastAsia="宋体" w:cs="宋体"/>
                <w:color w:val="auto"/>
                <w:sz w:val="24"/>
                <w:highlight w:val="none"/>
              </w:rPr>
            </w:pPr>
          </w:p>
        </w:tc>
        <w:tc>
          <w:tcPr>
            <w:tcW w:w="1483" w:type="dxa"/>
            <w:noWrap w:val="0"/>
            <w:vAlign w:val="center"/>
          </w:tcPr>
          <w:p w14:paraId="06AA8883">
            <w:pPr>
              <w:adjustRightInd w:val="0"/>
              <w:snapToGrid w:val="0"/>
              <w:spacing w:line="440" w:lineRule="exact"/>
              <w:jc w:val="center"/>
              <w:rPr>
                <w:rFonts w:hint="eastAsia" w:ascii="宋体" w:hAnsi="宋体" w:eastAsia="宋体" w:cs="宋体"/>
                <w:color w:val="auto"/>
                <w:sz w:val="24"/>
                <w:highlight w:val="none"/>
              </w:rPr>
            </w:pPr>
          </w:p>
        </w:tc>
        <w:tc>
          <w:tcPr>
            <w:tcW w:w="1133" w:type="dxa"/>
            <w:noWrap w:val="0"/>
            <w:vAlign w:val="center"/>
          </w:tcPr>
          <w:p w14:paraId="5FD42329">
            <w:pPr>
              <w:adjustRightInd w:val="0"/>
              <w:snapToGrid w:val="0"/>
              <w:spacing w:line="440" w:lineRule="exact"/>
              <w:jc w:val="center"/>
              <w:rPr>
                <w:rFonts w:hint="eastAsia" w:ascii="宋体" w:hAnsi="宋体" w:eastAsia="宋体" w:cs="宋体"/>
                <w:color w:val="auto"/>
                <w:sz w:val="24"/>
                <w:highlight w:val="none"/>
              </w:rPr>
            </w:pPr>
          </w:p>
        </w:tc>
        <w:tc>
          <w:tcPr>
            <w:tcW w:w="1296" w:type="dxa"/>
            <w:noWrap w:val="0"/>
            <w:vAlign w:val="center"/>
          </w:tcPr>
          <w:p w14:paraId="17DD7C3D">
            <w:pPr>
              <w:adjustRightInd w:val="0"/>
              <w:snapToGrid w:val="0"/>
              <w:spacing w:line="440" w:lineRule="exact"/>
              <w:jc w:val="center"/>
              <w:rPr>
                <w:rFonts w:hint="eastAsia" w:ascii="宋体" w:hAnsi="宋体" w:eastAsia="宋体" w:cs="宋体"/>
                <w:color w:val="auto"/>
                <w:sz w:val="24"/>
                <w:highlight w:val="none"/>
              </w:rPr>
            </w:pPr>
          </w:p>
        </w:tc>
      </w:tr>
      <w:tr w14:paraId="478A8B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9" w:hRule="atLeast"/>
          <w:jc w:val="center"/>
        </w:trPr>
        <w:tc>
          <w:tcPr>
            <w:tcW w:w="709" w:type="dxa"/>
            <w:noWrap w:val="0"/>
            <w:vAlign w:val="center"/>
          </w:tcPr>
          <w:p w14:paraId="78652326">
            <w:pPr>
              <w:adjustRightInd w:val="0"/>
              <w:snapToGrid w:val="0"/>
              <w:spacing w:line="440" w:lineRule="exact"/>
              <w:jc w:val="center"/>
              <w:rPr>
                <w:rFonts w:hint="eastAsia" w:ascii="宋体" w:hAnsi="宋体" w:eastAsia="宋体" w:cs="宋体"/>
                <w:color w:val="auto"/>
                <w:kern w:val="0"/>
                <w:sz w:val="24"/>
                <w:highlight w:val="none"/>
              </w:rPr>
            </w:pPr>
            <w:r>
              <w:rPr>
                <w:rFonts w:hint="eastAsia" w:ascii="宋体" w:hAnsi="宋体" w:eastAsia="宋体" w:cs="宋体"/>
                <w:color w:val="auto"/>
                <w:kern w:val="0"/>
                <w:sz w:val="24"/>
                <w:highlight w:val="none"/>
              </w:rPr>
              <w:t>2</w:t>
            </w:r>
          </w:p>
        </w:tc>
        <w:tc>
          <w:tcPr>
            <w:tcW w:w="1238" w:type="dxa"/>
            <w:noWrap w:val="0"/>
            <w:vAlign w:val="center"/>
          </w:tcPr>
          <w:p w14:paraId="4554F242">
            <w:pPr>
              <w:adjustRightInd w:val="0"/>
              <w:snapToGrid w:val="0"/>
              <w:spacing w:line="440" w:lineRule="exact"/>
              <w:jc w:val="center"/>
              <w:rPr>
                <w:rFonts w:hint="eastAsia" w:ascii="宋体" w:hAnsi="宋体" w:eastAsia="宋体" w:cs="宋体"/>
                <w:color w:val="auto"/>
                <w:kern w:val="0"/>
                <w:sz w:val="24"/>
                <w:highlight w:val="none"/>
              </w:rPr>
            </w:pPr>
          </w:p>
        </w:tc>
        <w:tc>
          <w:tcPr>
            <w:tcW w:w="1536" w:type="dxa"/>
            <w:noWrap w:val="0"/>
            <w:vAlign w:val="center"/>
          </w:tcPr>
          <w:p w14:paraId="2691CB9C">
            <w:pPr>
              <w:adjustRightInd w:val="0"/>
              <w:snapToGrid w:val="0"/>
              <w:spacing w:line="440" w:lineRule="exact"/>
              <w:jc w:val="center"/>
              <w:rPr>
                <w:rFonts w:hint="eastAsia" w:ascii="宋体" w:hAnsi="宋体" w:eastAsia="宋体" w:cs="宋体"/>
                <w:color w:val="auto"/>
                <w:kern w:val="0"/>
                <w:sz w:val="24"/>
                <w:highlight w:val="none"/>
              </w:rPr>
            </w:pPr>
          </w:p>
        </w:tc>
        <w:tc>
          <w:tcPr>
            <w:tcW w:w="864" w:type="dxa"/>
            <w:noWrap w:val="0"/>
            <w:vAlign w:val="center"/>
          </w:tcPr>
          <w:p w14:paraId="6EDF598A">
            <w:pPr>
              <w:adjustRightInd w:val="0"/>
              <w:snapToGrid w:val="0"/>
              <w:spacing w:line="440" w:lineRule="exact"/>
              <w:jc w:val="center"/>
              <w:rPr>
                <w:rFonts w:hint="eastAsia" w:ascii="宋体" w:hAnsi="宋体" w:eastAsia="宋体" w:cs="宋体"/>
                <w:color w:val="auto"/>
                <w:kern w:val="0"/>
                <w:sz w:val="24"/>
                <w:highlight w:val="none"/>
              </w:rPr>
            </w:pPr>
          </w:p>
        </w:tc>
        <w:tc>
          <w:tcPr>
            <w:tcW w:w="1483" w:type="dxa"/>
            <w:noWrap w:val="0"/>
            <w:vAlign w:val="center"/>
          </w:tcPr>
          <w:p w14:paraId="16EBD8C3">
            <w:pPr>
              <w:adjustRightInd w:val="0"/>
              <w:snapToGrid w:val="0"/>
              <w:spacing w:line="440" w:lineRule="exact"/>
              <w:jc w:val="center"/>
              <w:rPr>
                <w:rFonts w:hint="eastAsia" w:ascii="宋体" w:hAnsi="宋体" w:eastAsia="宋体" w:cs="宋体"/>
                <w:color w:val="auto"/>
                <w:kern w:val="0"/>
                <w:sz w:val="24"/>
                <w:highlight w:val="none"/>
              </w:rPr>
            </w:pPr>
          </w:p>
        </w:tc>
        <w:tc>
          <w:tcPr>
            <w:tcW w:w="1133" w:type="dxa"/>
            <w:noWrap w:val="0"/>
            <w:vAlign w:val="center"/>
          </w:tcPr>
          <w:p w14:paraId="4EF5AF36">
            <w:pPr>
              <w:adjustRightInd w:val="0"/>
              <w:snapToGrid w:val="0"/>
              <w:spacing w:line="440" w:lineRule="exact"/>
              <w:jc w:val="center"/>
              <w:rPr>
                <w:rFonts w:hint="eastAsia" w:ascii="宋体" w:hAnsi="宋体" w:eastAsia="宋体" w:cs="宋体"/>
                <w:color w:val="auto"/>
                <w:kern w:val="0"/>
                <w:sz w:val="24"/>
                <w:highlight w:val="none"/>
              </w:rPr>
            </w:pPr>
          </w:p>
        </w:tc>
        <w:tc>
          <w:tcPr>
            <w:tcW w:w="1296" w:type="dxa"/>
            <w:noWrap w:val="0"/>
            <w:vAlign w:val="center"/>
          </w:tcPr>
          <w:p w14:paraId="62E03F21">
            <w:pPr>
              <w:adjustRightInd w:val="0"/>
              <w:snapToGrid w:val="0"/>
              <w:spacing w:line="440" w:lineRule="exact"/>
              <w:jc w:val="center"/>
              <w:rPr>
                <w:rFonts w:hint="eastAsia" w:ascii="宋体" w:hAnsi="宋体" w:eastAsia="宋体" w:cs="宋体"/>
                <w:color w:val="auto"/>
                <w:kern w:val="0"/>
                <w:sz w:val="24"/>
                <w:highlight w:val="none"/>
              </w:rPr>
            </w:pPr>
          </w:p>
        </w:tc>
      </w:tr>
      <w:tr w14:paraId="1859B4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8259" w:type="dxa"/>
            <w:gridSpan w:val="7"/>
            <w:noWrap w:val="0"/>
            <w:vAlign w:val="top"/>
          </w:tcPr>
          <w:p w14:paraId="3EFB0FAF">
            <w:pPr>
              <w:adjustRightInd w:val="0"/>
              <w:snapToGrid w:val="0"/>
              <w:spacing w:line="440" w:lineRule="exact"/>
              <w:rPr>
                <w:rFonts w:hint="eastAsia" w:ascii="宋体" w:hAnsi="宋体" w:eastAsia="宋体" w:cs="宋体"/>
                <w:color w:val="auto"/>
                <w:sz w:val="24"/>
                <w:highlight w:val="none"/>
              </w:rPr>
            </w:pPr>
            <w:r>
              <w:rPr>
                <w:rFonts w:hint="eastAsia" w:ascii="宋体" w:hAnsi="宋体" w:eastAsia="宋体" w:cs="宋体"/>
                <w:color w:val="auto"/>
                <w:sz w:val="24"/>
                <w:highlight w:val="none"/>
              </w:rPr>
              <w:t>合计：</w:t>
            </w:r>
            <w:bookmarkStart w:id="92" w:name="OLE_LINK2"/>
            <w:r>
              <w:rPr>
                <w:rFonts w:hint="eastAsia" w:ascii="宋体" w:hAnsi="宋体" w:eastAsia="宋体" w:cs="宋体"/>
                <w:b/>
                <w:color w:val="auto"/>
                <w:sz w:val="24"/>
                <w:highlight w:val="none"/>
                <w:u w:val="single"/>
              </w:rPr>
              <w:t xml:space="preserve">         元整</w:t>
            </w:r>
            <w:r>
              <w:rPr>
                <w:rFonts w:hint="eastAsia" w:ascii="宋体" w:hAnsi="宋体" w:eastAsia="宋体" w:cs="宋体"/>
                <w:b/>
                <w:color w:val="auto"/>
                <w:sz w:val="24"/>
                <w:highlight w:val="none"/>
              </w:rPr>
              <w:t>（￥      元整）</w:t>
            </w:r>
            <w:bookmarkEnd w:id="92"/>
            <w:r>
              <w:rPr>
                <w:rFonts w:hint="eastAsia" w:ascii="宋体" w:hAnsi="宋体" w:eastAsia="宋体" w:cs="宋体"/>
                <w:color w:val="auto"/>
                <w:sz w:val="24"/>
                <w:highlight w:val="none"/>
              </w:rPr>
              <w:t>（以上价格均为含税价）</w:t>
            </w:r>
          </w:p>
        </w:tc>
      </w:tr>
    </w:tbl>
    <w:p w14:paraId="3F49CC6F">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3" w:name="_Toc14068"/>
      <w:r>
        <w:rPr>
          <w:rFonts w:hint="eastAsia" w:ascii="宋体" w:hAnsi="宋体" w:eastAsia="宋体" w:cs="宋体"/>
          <w:b/>
          <w:bCs/>
          <w:color w:val="auto"/>
          <w:sz w:val="24"/>
          <w:highlight w:val="none"/>
        </w:rPr>
        <w:t>二、质量标准</w:t>
      </w:r>
      <w:bookmarkEnd w:id="93"/>
    </w:p>
    <w:p w14:paraId="482CA31E">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对于软、硬件货物，乙方应保证货物是全新、未使用过的，完全符合招标采购文件、投标（响应）文件和合同中规定的品牌质量、规格和性能的要求，否则由乙方承担一切后果。</w:t>
      </w:r>
    </w:p>
    <w:p w14:paraId="57CD3EBE">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乙方应保证所提供的货物经正确安装、正常运行和保养，在其使用寿命期内应具有应具备的稳定性能。在货物质量保证期之内，乙方应对由于设计、工艺或材料等缺陷而发生的任何不足或故障负责。</w:t>
      </w:r>
    </w:p>
    <w:p w14:paraId="7E001EA5">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4" w:name="_Toc31646"/>
      <w:r>
        <w:rPr>
          <w:rFonts w:hint="eastAsia" w:ascii="宋体" w:hAnsi="宋体" w:eastAsia="宋体" w:cs="宋体"/>
          <w:b/>
          <w:bCs/>
          <w:color w:val="auto"/>
          <w:sz w:val="24"/>
          <w:highlight w:val="none"/>
        </w:rPr>
        <w:t>三、合同金额</w:t>
      </w:r>
      <w:bookmarkEnd w:id="94"/>
    </w:p>
    <w:p w14:paraId="4A27C07D">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合同总额为：</w:t>
      </w:r>
      <w:r>
        <w:rPr>
          <w:rFonts w:hint="eastAsia" w:ascii="宋体" w:hAnsi="宋体" w:eastAsia="宋体" w:cs="宋体"/>
          <w:b/>
          <w:color w:val="auto"/>
          <w:sz w:val="24"/>
          <w:highlight w:val="none"/>
          <w:u w:val="single"/>
        </w:rPr>
        <w:t xml:space="preserve">             </w:t>
      </w:r>
      <w:r>
        <w:rPr>
          <w:rFonts w:hint="eastAsia" w:ascii="宋体" w:hAnsi="宋体" w:eastAsia="宋体" w:cs="宋体"/>
          <w:b/>
          <w:color w:val="auto"/>
          <w:sz w:val="24"/>
          <w:highlight w:val="none"/>
        </w:rPr>
        <w:t>元整（￥</w:t>
      </w:r>
      <w:r>
        <w:rPr>
          <w:rFonts w:hint="eastAsia" w:ascii="宋体" w:hAnsi="宋体" w:eastAsia="宋体" w:cs="宋体"/>
          <w:b/>
          <w:color w:val="auto"/>
          <w:sz w:val="24"/>
          <w:highlight w:val="none"/>
          <w:u w:val="single"/>
        </w:rPr>
        <w:t xml:space="preserve">         </w:t>
      </w:r>
      <w:r>
        <w:rPr>
          <w:rFonts w:hint="eastAsia" w:ascii="宋体" w:hAnsi="宋体" w:eastAsia="宋体" w:cs="宋体"/>
          <w:b/>
          <w:color w:val="auto"/>
          <w:sz w:val="24"/>
          <w:highlight w:val="none"/>
        </w:rPr>
        <w:t>元整）。</w:t>
      </w:r>
    </w:p>
    <w:p w14:paraId="3D0CE437">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本项目为交钥匙项目，所有货物、材料、运输、转运、辅材、安装、施工、调试、验收、培训、税金、保险等相关一切费用均包含在合同总额中。除支付合同金额外，甲方无需支付其他任何费用。</w:t>
      </w:r>
    </w:p>
    <w:p w14:paraId="70B3B3B5">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5" w:name="_Toc1547"/>
      <w:r>
        <w:rPr>
          <w:rFonts w:hint="eastAsia" w:ascii="宋体" w:hAnsi="宋体" w:eastAsia="宋体" w:cs="宋体"/>
          <w:b/>
          <w:bCs/>
          <w:color w:val="auto"/>
          <w:sz w:val="24"/>
          <w:highlight w:val="none"/>
        </w:rPr>
        <w:t>四、交货、履约保证金及付款方式</w:t>
      </w:r>
      <w:bookmarkEnd w:id="95"/>
    </w:p>
    <w:p w14:paraId="3100928F">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交货时间：</w:t>
      </w:r>
      <w:r>
        <w:rPr>
          <w:rFonts w:hint="eastAsia" w:ascii="宋体" w:hAnsi="宋体" w:eastAsia="宋体" w:cs="宋体"/>
          <w:b/>
          <w:color w:val="auto"/>
          <w:sz w:val="24"/>
          <w:highlight w:val="none"/>
        </w:rPr>
        <w:t>合同签订后</w:t>
      </w:r>
      <w:r>
        <w:rPr>
          <w:rFonts w:hint="eastAsia" w:ascii="宋体" w:hAnsi="宋体" w:eastAsia="宋体" w:cs="宋体"/>
          <w:b/>
          <w:color w:val="auto"/>
          <w:sz w:val="24"/>
          <w:highlight w:val="none"/>
          <w:u w:val="single"/>
        </w:rPr>
        <w:t xml:space="preserve">    </w:t>
      </w:r>
      <w:r>
        <w:rPr>
          <w:rFonts w:hint="eastAsia" w:ascii="宋体" w:hAnsi="宋体" w:eastAsia="宋体" w:cs="宋体"/>
          <w:b/>
          <w:color w:val="auto"/>
          <w:sz w:val="24"/>
          <w:highlight w:val="none"/>
        </w:rPr>
        <w:t>天内到货安装调试完毕</w:t>
      </w:r>
      <w:r>
        <w:rPr>
          <w:rFonts w:hint="eastAsia" w:ascii="宋体" w:hAnsi="宋体" w:eastAsia="宋体" w:cs="宋体"/>
          <w:color w:val="auto"/>
          <w:sz w:val="24"/>
          <w:highlight w:val="none"/>
        </w:rPr>
        <w:t>，并及时按《东华理工大学货物和服务类物资验收管理办法》进行验收。</w:t>
      </w:r>
    </w:p>
    <w:p w14:paraId="0CB8DC0E">
      <w:pPr>
        <w:adjustRightInd w:val="0"/>
        <w:snapToGrid w:val="0"/>
        <w:spacing w:line="440" w:lineRule="exact"/>
        <w:ind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交货地点：</w:t>
      </w:r>
      <w:r>
        <w:rPr>
          <w:rFonts w:hint="eastAsia" w:ascii="宋体" w:hAnsi="宋体" w:eastAsia="宋体" w:cs="宋体"/>
          <w:color w:val="auto"/>
          <w:sz w:val="24"/>
          <w:highlight w:val="none"/>
          <w:u w:val="single"/>
        </w:rPr>
        <w:t xml:space="preserve">     </w:t>
      </w:r>
      <w:r>
        <w:rPr>
          <w:rFonts w:hint="eastAsia" w:ascii="宋体" w:hAnsi="宋体" w:eastAsia="宋体" w:cs="宋体"/>
          <w:b/>
          <w:bCs/>
          <w:color w:val="auto"/>
          <w:sz w:val="24"/>
          <w:highlight w:val="none"/>
          <w:u w:val="single"/>
        </w:rPr>
        <w:t>据实填写</w:t>
      </w:r>
      <w:r>
        <w:rPr>
          <w:rFonts w:hint="eastAsia" w:ascii="宋体" w:hAnsi="宋体" w:eastAsia="宋体" w:cs="宋体"/>
          <w:color w:val="auto"/>
          <w:sz w:val="24"/>
          <w:highlight w:val="none"/>
          <w:u w:val="single"/>
        </w:rPr>
        <w:t xml:space="preserve">     </w:t>
      </w:r>
    </w:p>
    <w:p w14:paraId="64CFE2C6">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履约保证金：签订合同后5个工作日内，乙方向甲方支付合同金额5%履约保证金，履约保证金形式包括支票、汇票、本票或者金融机构、担保机构出具的保函等非现金形式。货物验收合格后，由乙方向甲方提出退还履约保证金申请，甲方收到乙方申请后依据合同条款一次性退还（不计利息）。</w:t>
      </w:r>
    </w:p>
    <w:p w14:paraId="6601234F">
      <w:pPr>
        <w:adjustRightInd w:val="0"/>
        <w:snapToGrid w:val="0"/>
        <w:spacing w:line="44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 w:val="24"/>
          <w:highlight w:val="none"/>
        </w:rPr>
        <w:t>付款方式：货物验收合格后，乙方应开具符合甲方财务制度要求的合法、等额的增值税发票，甲方收到发票后30日内一次性付清合同款项的100%，否则甲方有权拒绝付款并无需承担违约责任。</w:t>
      </w:r>
    </w:p>
    <w:p w14:paraId="50BB2541">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6" w:name="_Toc6772"/>
      <w:r>
        <w:rPr>
          <w:rFonts w:hint="eastAsia" w:ascii="宋体" w:hAnsi="宋体" w:eastAsia="宋体" w:cs="宋体"/>
          <w:b/>
          <w:bCs/>
          <w:color w:val="auto"/>
          <w:sz w:val="24"/>
          <w:highlight w:val="none"/>
        </w:rPr>
        <w:t>五、</w:t>
      </w:r>
      <w:bookmarkStart w:id="97" w:name="OLE_LINK6"/>
      <w:bookmarkStart w:id="98" w:name="OLE_LINK5"/>
      <w:r>
        <w:rPr>
          <w:rFonts w:hint="eastAsia" w:ascii="宋体" w:hAnsi="宋体" w:eastAsia="宋体" w:cs="宋体"/>
          <w:b/>
          <w:bCs/>
          <w:color w:val="auto"/>
          <w:sz w:val="24"/>
          <w:highlight w:val="none"/>
        </w:rPr>
        <w:t>安装调试</w:t>
      </w:r>
      <w:bookmarkEnd w:id="97"/>
      <w:bookmarkEnd w:id="98"/>
      <w:r>
        <w:rPr>
          <w:rFonts w:hint="eastAsia" w:ascii="宋体" w:hAnsi="宋体" w:eastAsia="宋体" w:cs="宋体"/>
          <w:b/>
          <w:bCs/>
          <w:color w:val="auto"/>
          <w:sz w:val="24"/>
          <w:highlight w:val="none"/>
        </w:rPr>
        <w:t>及验收</w:t>
      </w:r>
      <w:bookmarkEnd w:id="96"/>
    </w:p>
    <w:p w14:paraId="7897CFC9">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1、运输按照《商品包装政府采购需求标准（试行）》及《快递包装政府采购需求标准（试行）》执行。甲方在必要时可以要求乙方出具商品包装和快递包装材料检测报告。因运输原因导致货物及包装遗失、破损的，甲方应妥善保留相应货物及证据，并及时通知乙方，由乙方负责相应赔偿损失。</w:t>
      </w:r>
    </w:p>
    <w:p w14:paraId="57302D04">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2、乙方在送达货物后应派熟练工程师进行设备的安装、调试、测试，直至设备正常运行。如果甲方发现乙方所交货物不符合本合同货物配置及价格清单约定，或任一项指标不符合招标文件、投标（响应）文件要求的情况，应及时保留证据并一次性书面向乙方提出整改要求，乙方在收到整改通知后3天内对硬件进行免费更换或对软件进行修改完善，乙方承担因此而产生的一切费用。</w:t>
      </w:r>
    </w:p>
    <w:p w14:paraId="4C8C22F3">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如乙方更换货物后质量仍然不符合本合同货物配置及价格清单约定的或不满足软件验收标准的，甲方有权解除合同，乙方所支付的履约保证金作为惩罚性违约金不予退还。</w:t>
      </w:r>
    </w:p>
    <w:p w14:paraId="224C8376">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所有货物的拆箱、安装调试等工作由乙方负责，但必须在甲方使用部门指定人员的参与下进行。货物到达甲方指定地点后，由乙方负责进行安装调试、试运行直至达到验收指标。</w:t>
      </w:r>
    </w:p>
    <w:p w14:paraId="03950BD7">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3、在本项目执行过程中，从货物的包装、运输、装卸、交付到验收合格前，乙方需全面负责并承担在此期间涉及人员、货物的一切安全风险，包括但不限于货物损坏、灭失、变质，以及因货物导致的第三方人身与财产损失等相关问题。</w:t>
      </w:r>
    </w:p>
    <w:p w14:paraId="5EBEABB9">
      <w:pPr>
        <w:adjustRightInd w:val="0"/>
        <w:snapToGrid w:val="0"/>
        <w:spacing w:line="440" w:lineRule="exact"/>
        <w:ind w:firstLine="480" w:firstLineChars="200"/>
        <w:jc w:val="left"/>
        <w:rPr>
          <w:rFonts w:hint="eastAsia" w:ascii="宋体" w:hAnsi="宋体" w:eastAsia="宋体" w:cs="宋体"/>
          <w:color w:val="auto"/>
          <w:sz w:val="24"/>
          <w:highlight w:val="none"/>
        </w:rPr>
      </w:pPr>
      <w:r>
        <w:rPr>
          <w:rFonts w:hint="eastAsia" w:ascii="宋体" w:hAnsi="宋体" w:eastAsia="宋体" w:cs="宋体"/>
          <w:color w:val="auto"/>
          <w:sz w:val="24"/>
          <w:highlight w:val="none"/>
        </w:rPr>
        <w:t>4、按照招标文件、投标(响应)文件以及合同要求并满足各项技术参数，货物试运行无故障，使用部门按照《东华理工大学货物和服务类物资验收管理办法》进行验收。</w:t>
      </w:r>
    </w:p>
    <w:p w14:paraId="56385D3E">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5、货物的各项指标和参数应符合验收标准，甲方有权委托具有检测资质的单位或机构对所提供的设备进行检测(验），由此产生的一切费用由乙方承担。</w:t>
      </w:r>
    </w:p>
    <w:p w14:paraId="786983C0">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6、所有跟货物相关的水、电、气等配套设施及产生的费用应由乙方承担。</w:t>
      </w:r>
    </w:p>
    <w:p w14:paraId="78174E6A">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99" w:name="_Toc19288"/>
      <w:r>
        <w:rPr>
          <w:rFonts w:hint="eastAsia" w:ascii="宋体" w:hAnsi="宋体" w:eastAsia="宋体" w:cs="宋体"/>
          <w:b/>
          <w:bCs/>
          <w:color w:val="auto"/>
          <w:sz w:val="24"/>
          <w:highlight w:val="none"/>
        </w:rPr>
        <w:t>六、培训</w:t>
      </w:r>
      <w:bookmarkEnd w:id="99"/>
    </w:p>
    <w:p w14:paraId="51217B07">
      <w:pPr>
        <w:adjustRightInd w:val="0"/>
        <w:snapToGrid w:val="0"/>
        <w:spacing w:line="440" w:lineRule="exact"/>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    根据实际情况填写。</w:t>
      </w:r>
    </w:p>
    <w:p w14:paraId="4EA59415">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0" w:name="_Toc4802"/>
      <w:r>
        <w:rPr>
          <w:rFonts w:hint="eastAsia" w:ascii="宋体" w:hAnsi="宋体" w:eastAsia="宋体" w:cs="宋体"/>
          <w:b/>
          <w:bCs/>
          <w:color w:val="auto"/>
          <w:sz w:val="24"/>
          <w:highlight w:val="none"/>
        </w:rPr>
        <w:t>七、售后服务</w:t>
      </w:r>
      <w:bookmarkEnd w:id="100"/>
    </w:p>
    <w:p w14:paraId="254B97E2">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1、乙方所售出货物在验收合格后提供</w:t>
      </w:r>
      <w:r>
        <w:rPr>
          <w:rFonts w:hint="eastAsia" w:ascii="宋体" w:hAnsi="宋体" w:eastAsia="宋体" w:cs="宋体"/>
          <w:color w:val="auto"/>
          <w:sz w:val="24"/>
          <w:highlight w:val="none"/>
          <w:u w:val="single"/>
        </w:rPr>
        <w:t xml:space="preserve">     </w:t>
      </w:r>
      <w:r>
        <w:rPr>
          <w:rFonts w:hint="eastAsia" w:ascii="宋体" w:hAnsi="宋体" w:eastAsia="宋体" w:cs="宋体"/>
          <w:color w:val="auto"/>
          <w:sz w:val="24"/>
          <w:highlight w:val="none"/>
        </w:rPr>
        <w:t>年质保，质保期内乙方免费提供硬件保修及软件维护升级服务，质保期自验收通过之日算起。</w:t>
      </w:r>
    </w:p>
    <w:p w14:paraId="799EB336">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2、质保期内，乙方应在收到甲方求助信息后</w:t>
      </w:r>
      <w:r>
        <w:rPr>
          <w:rFonts w:hint="eastAsia" w:ascii="宋体" w:hAnsi="宋体" w:eastAsia="宋体" w:cs="宋体"/>
          <w:color w:val="auto"/>
          <w:sz w:val="24"/>
          <w:highlight w:val="none"/>
          <w:u w:val="single"/>
        </w:rPr>
        <w:t>1</w:t>
      </w:r>
      <w:r>
        <w:rPr>
          <w:rFonts w:hint="eastAsia" w:ascii="宋体" w:hAnsi="宋体" w:eastAsia="宋体" w:cs="宋体"/>
          <w:color w:val="auto"/>
          <w:sz w:val="24"/>
          <w:highlight w:val="none"/>
        </w:rPr>
        <w:t>个工作日内响应并最晚</w:t>
      </w:r>
      <w:r>
        <w:rPr>
          <w:rFonts w:hint="eastAsia" w:ascii="宋体" w:hAnsi="宋体" w:eastAsia="宋体" w:cs="宋体"/>
          <w:color w:val="auto"/>
          <w:sz w:val="24"/>
          <w:highlight w:val="none"/>
          <w:u w:val="single"/>
        </w:rPr>
        <w:t>3</w:t>
      </w:r>
      <w:r>
        <w:rPr>
          <w:rFonts w:hint="eastAsia" w:ascii="宋体" w:hAnsi="宋体" w:eastAsia="宋体" w:cs="宋体"/>
          <w:color w:val="auto"/>
          <w:sz w:val="24"/>
          <w:highlight w:val="none"/>
        </w:rPr>
        <w:t>个工作日内完成相应服务并确保甲方硬件及软件恢复正常。</w:t>
      </w:r>
    </w:p>
    <w:p w14:paraId="4D3129D8">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若乙方怠于履行前述保修义务的，甲方可另请其他方代为履行，由此产生的一切费用由乙方承担，甲方可不经乙方同意，直接扣划履约保证金冲抵，履约保证金不足以冲抵该笔费用的，甲方有权向乙方追索。由于甲方责任（需乙方提供专业鉴定报告举证）及不可抗力造成的故障不在免费维修范围之内。</w:t>
      </w:r>
    </w:p>
    <w:p w14:paraId="57E68012">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3、质保期满，乙方对所售出的货物提供有偿售后服务，服务价格及零配件价格不得高于市场价，具体价格由甲方使用部门和乙方进行商议。</w:t>
      </w:r>
    </w:p>
    <w:p w14:paraId="5D6677EF">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4、乙方投标（响应）文件技术参数及服务承诺（见附件）优于招标（采购）文件的，以乙方投标（响应）文件技术参数及服务承诺为准。</w:t>
      </w:r>
    </w:p>
    <w:p w14:paraId="3BCBCB8F">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1" w:name="_Toc246"/>
      <w:r>
        <w:rPr>
          <w:rFonts w:hint="eastAsia" w:ascii="宋体" w:hAnsi="宋体" w:eastAsia="宋体" w:cs="宋体"/>
          <w:b/>
          <w:bCs/>
          <w:color w:val="auto"/>
          <w:sz w:val="24"/>
          <w:highlight w:val="none"/>
        </w:rPr>
        <w:t>八、所有权及知识产权</w:t>
      </w:r>
      <w:bookmarkEnd w:id="101"/>
    </w:p>
    <w:p w14:paraId="3DD96E21">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1、乙方保证其提供的软件未侵犯其他方之著作权、商标权、专利权等知识产权，不会侵犯任何其他方的商业秘密或对任何其他方构成不正当竞争，如因此与其他方形成争议、诉讼或仲裁案件，由乙方承担全部责任，并负责赔偿甲方由此而遭受的全部损失；同时乙方需提供全力支持，防止因上述侵权给甲方带来的直接和预期的损失，包括但不限于提供甲方继续使用本合同内的硬件、软件而需取得的其他方授权、修改本合同内软件、更换本合同内硬件，使其至少在功能上可以替代原技术、提供功能上相等的使甲方可以达到本合同目的的其他硬件、软件，并承担因此而产生的所有费用。</w:t>
      </w:r>
    </w:p>
    <w:p w14:paraId="4323878F">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2、任何一方不因本合同磋商、签订及履行而获得明示或暗示的使用对方（包括其子、分公司）的商标、商号、标识、标志或其他名称、或技术或业务的资料、信息、数据、文件、流程的权利，除非事先获得对方的书面授权。</w:t>
      </w:r>
    </w:p>
    <w:p w14:paraId="7DF07A99">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2" w:name="_Toc12533"/>
      <w:r>
        <w:rPr>
          <w:rFonts w:hint="eastAsia" w:ascii="宋体" w:hAnsi="宋体" w:eastAsia="宋体" w:cs="宋体"/>
          <w:b/>
          <w:bCs/>
          <w:color w:val="auto"/>
          <w:sz w:val="24"/>
          <w:highlight w:val="none"/>
        </w:rPr>
        <w:t>九、违约责任</w:t>
      </w:r>
      <w:bookmarkEnd w:id="102"/>
    </w:p>
    <w:p w14:paraId="2FF9008B">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在甲方验收合格前，乙方所提供货物不符合本合同货物配置及价格清单约定的，硬件由乙方负责调换，软件由乙方负责修改完善，由此产生的一切费用由乙方承担。</w:t>
      </w:r>
    </w:p>
    <w:p w14:paraId="261C5160">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如由乙方原因所造成的延期交付，乙方应向甲方偿付合同总金额每天5‰（千分之五）的违约金，甲方有权从履约保证金中扣除；如果违约金的总额超过本合同总金额的5%（百分之五），</w:t>
      </w:r>
      <w:bookmarkStart w:id="103" w:name="OLE_LINK7"/>
      <w:r>
        <w:rPr>
          <w:rFonts w:hint="eastAsia" w:ascii="宋体" w:hAnsi="宋体" w:eastAsia="宋体" w:cs="宋体"/>
          <w:color w:val="auto"/>
          <w:sz w:val="24"/>
          <w:highlight w:val="none"/>
        </w:rPr>
        <w:t>履约保证金</w:t>
      </w:r>
      <w:bookmarkEnd w:id="103"/>
      <w:r>
        <w:rPr>
          <w:rFonts w:hint="eastAsia" w:ascii="宋体" w:hAnsi="宋体" w:eastAsia="宋体" w:cs="宋体"/>
          <w:color w:val="auto"/>
          <w:sz w:val="24"/>
          <w:highlight w:val="none"/>
        </w:rPr>
        <w:t>不足弥补损失的，甲方可继续向乙方索赔，并可单方面终止合同。</w:t>
      </w:r>
    </w:p>
    <w:p w14:paraId="358B099F">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4" w:name="_Toc6484"/>
      <w:r>
        <w:rPr>
          <w:rFonts w:hint="eastAsia" w:ascii="宋体" w:hAnsi="宋体" w:eastAsia="宋体" w:cs="宋体"/>
          <w:b/>
          <w:bCs/>
          <w:color w:val="auto"/>
          <w:sz w:val="24"/>
          <w:highlight w:val="none"/>
        </w:rPr>
        <w:t>十、不可抗力</w:t>
      </w:r>
      <w:bookmarkEnd w:id="104"/>
    </w:p>
    <w:p w14:paraId="7BE45C4F">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甲乙双方任何一方由于不可抗拒的原因，包括战争、水灾、火灾、台风、地震及疫情等，不能履行合同时，应及时向对方通报不能履行或不能完全履行的理由并在合理的期限内提供证明。在取得对方的同意及谅解后，允许本合同延期履行、部分履行或终止合同，并根据情况可部分或全部免除责任。</w:t>
      </w:r>
    </w:p>
    <w:p w14:paraId="475EC421">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5" w:name="_Toc32406"/>
      <w:r>
        <w:rPr>
          <w:rFonts w:hint="eastAsia" w:ascii="宋体" w:hAnsi="宋体" w:eastAsia="宋体" w:cs="宋体"/>
          <w:b/>
          <w:bCs/>
          <w:color w:val="auto"/>
          <w:sz w:val="24"/>
          <w:highlight w:val="none"/>
        </w:rPr>
        <w:t>十一、合同附件</w:t>
      </w:r>
      <w:bookmarkEnd w:id="105"/>
    </w:p>
    <w:p w14:paraId="51DDE96A">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所有经双方或多方签署确认的文件（包括会议纪要、补充协议、往来信函）、招标文件和投标（响应）文件、投标承诺文件、合同的附件及《中标通知书》均为本合同不可分割的有效组成部分，与本合同具有同等的法律效力和履约义务，其生效日期为签字盖章确认之日起。</w:t>
      </w:r>
    </w:p>
    <w:p w14:paraId="6F926083">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6" w:name="_Toc7523"/>
      <w:r>
        <w:rPr>
          <w:rFonts w:hint="eastAsia" w:ascii="宋体" w:hAnsi="宋体" w:eastAsia="宋体" w:cs="宋体"/>
          <w:b/>
          <w:bCs/>
          <w:color w:val="auto"/>
          <w:sz w:val="24"/>
          <w:highlight w:val="none"/>
        </w:rPr>
        <w:t>十二、合同争议</w:t>
      </w:r>
      <w:bookmarkEnd w:id="106"/>
    </w:p>
    <w:p w14:paraId="0EA0EB86">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本合同在执行中如发生争议或纠纷，甲乙双方应协商解决，解决不了时，可向合同签订地人民法院提起诉讼。</w:t>
      </w:r>
    </w:p>
    <w:p w14:paraId="2023B228">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本合同一式</w:t>
      </w:r>
      <w:r>
        <w:rPr>
          <w:rFonts w:hint="eastAsia" w:ascii="宋体" w:hAnsi="宋体" w:eastAsia="宋体" w:cs="宋体"/>
          <w:color w:val="auto"/>
          <w:sz w:val="24"/>
          <w:highlight w:val="none"/>
          <w:u w:val="single"/>
        </w:rPr>
        <w:t xml:space="preserve"> 捌 </w:t>
      </w:r>
      <w:r>
        <w:rPr>
          <w:rFonts w:hint="eastAsia" w:ascii="宋体" w:hAnsi="宋体" w:eastAsia="宋体" w:cs="宋体"/>
          <w:color w:val="auto"/>
          <w:sz w:val="24"/>
          <w:highlight w:val="none"/>
        </w:rPr>
        <w:t>份，甲方执</w:t>
      </w:r>
      <w:r>
        <w:rPr>
          <w:rFonts w:hint="eastAsia" w:ascii="宋体" w:hAnsi="宋体" w:eastAsia="宋体" w:cs="宋体"/>
          <w:color w:val="auto"/>
          <w:sz w:val="24"/>
          <w:highlight w:val="none"/>
          <w:u w:val="single"/>
        </w:rPr>
        <w:t>肆</w:t>
      </w:r>
      <w:r>
        <w:rPr>
          <w:rFonts w:hint="eastAsia" w:ascii="宋体" w:hAnsi="宋体" w:eastAsia="宋体" w:cs="宋体"/>
          <w:color w:val="auto"/>
          <w:sz w:val="24"/>
          <w:highlight w:val="none"/>
        </w:rPr>
        <w:t>份，乙方执</w:t>
      </w:r>
      <w:r>
        <w:rPr>
          <w:rFonts w:hint="eastAsia" w:ascii="宋体" w:hAnsi="宋体" w:eastAsia="宋体" w:cs="宋体"/>
          <w:color w:val="auto"/>
          <w:sz w:val="24"/>
          <w:highlight w:val="none"/>
          <w:u w:val="single"/>
        </w:rPr>
        <w:t>肆</w:t>
      </w:r>
      <w:r>
        <w:rPr>
          <w:rFonts w:hint="eastAsia" w:ascii="宋体" w:hAnsi="宋体" w:eastAsia="宋体" w:cs="宋体"/>
          <w:color w:val="auto"/>
          <w:sz w:val="24"/>
          <w:highlight w:val="none"/>
        </w:rPr>
        <w:t>份，经甲、乙双方盖章、签字后生效。</w:t>
      </w:r>
    </w:p>
    <w:p w14:paraId="2BD97F2A">
      <w:pPr>
        <w:adjustRightInd w:val="0"/>
        <w:snapToGrid w:val="0"/>
        <w:spacing w:line="440" w:lineRule="exact"/>
        <w:ind w:firstLine="482" w:firstLineChars="200"/>
        <w:outlineLvl w:val="1"/>
        <w:rPr>
          <w:rFonts w:hint="eastAsia" w:ascii="宋体" w:hAnsi="宋体" w:eastAsia="宋体" w:cs="宋体"/>
          <w:b/>
          <w:bCs/>
          <w:color w:val="auto"/>
          <w:sz w:val="24"/>
          <w:highlight w:val="none"/>
        </w:rPr>
      </w:pPr>
      <w:bookmarkStart w:id="107" w:name="_Toc6191"/>
      <w:r>
        <w:rPr>
          <w:rFonts w:hint="eastAsia" w:ascii="宋体" w:hAnsi="宋体" w:eastAsia="宋体" w:cs="宋体"/>
          <w:b/>
          <w:bCs/>
          <w:color w:val="auto"/>
          <w:sz w:val="24"/>
          <w:highlight w:val="none"/>
        </w:rPr>
        <w:t>十三、合同签订地</w:t>
      </w:r>
      <w:bookmarkEnd w:id="107"/>
    </w:p>
    <w:p w14:paraId="13F52F22">
      <w:pPr>
        <w:adjustRightInd w:val="0"/>
        <w:snapToGrid w:val="0"/>
        <w:spacing w:line="440" w:lineRule="exact"/>
        <w:ind w:firstLine="480" w:firstLineChars="200"/>
        <w:rPr>
          <w:rFonts w:hint="eastAsia" w:ascii="宋体" w:hAnsi="宋体" w:eastAsia="宋体" w:cs="宋体"/>
          <w:color w:val="auto"/>
          <w:sz w:val="24"/>
          <w:highlight w:val="none"/>
          <w:u w:val="single"/>
        </w:rPr>
      </w:pPr>
      <w:r>
        <w:rPr>
          <w:rFonts w:hint="eastAsia" w:ascii="宋体" w:hAnsi="宋体" w:eastAsia="宋体" w:cs="宋体"/>
          <w:color w:val="auto"/>
          <w:sz w:val="24"/>
          <w:highlight w:val="none"/>
        </w:rPr>
        <w:t>东华理工大学（南昌校区），江西省南昌市经济技术开发区广兰大道418号。</w:t>
      </w:r>
    </w:p>
    <w:tbl>
      <w:tblPr>
        <w:tblStyle w:val="18"/>
        <w:tblpPr w:leftFromText="180" w:rightFromText="180" w:vertAnchor="text" w:horzAnchor="page" w:tblpXSpec="center" w:tblpY="428"/>
        <w:tblW w:w="9180" w:type="dxa"/>
        <w:tblInd w:w="0" w:type="dxa"/>
        <w:tblLayout w:type="autofit"/>
        <w:tblCellMar>
          <w:top w:w="0" w:type="dxa"/>
          <w:left w:w="108" w:type="dxa"/>
          <w:bottom w:w="0" w:type="dxa"/>
          <w:right w:w="108" w:type="dxa"/>
        </w:tblCellMar>
      </w:tblPr>
      <w:tblGrid>
        <w:gridCol w:w="4473"/>
        <w:gridCol w:w="4707"/>
      </w:tblGrid>
      <w:tr w14:paraId="3FDE3C5D">
        <w:tblPrEx>
          <w:tblCellMar>
            <w:top w:w="0" w:type="dxa"/>
            <w:left w:w="108" w:type="dxa"/>
            <w:bottom w:w="0" w:type="dxa"/>
            <w:right w:w="108" w:type="dxa"/>
          </w:tblCellMar>
        </w:tblPrEx>
        <w:trPr>
          <w:trHeight w:val="170" w:hRule="atLeast"/>
        </w:trPr>
        <w:tc>
          <w:tcPr>
            <w:tcW w:w="4473" w:type="dxa"/>
            <w:noWrap w:val="0"/>
            <w:vAlign w:val="top"/>
          </w:tcPr>
          <w:p w14:paraId="43B333D3">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甲方名称：东华理工大学</w:t>
            </w:r>
          </w:p>
        </w:tc>
        <w:tc>
          <w:tcPr>
            <w:tcW w:w="4707" w:type="dxa"/>
            <w:noWrap w:val="0"/>
            <w:vAlign w:val="top"/>
          </w:tcPr>
          <w:p w14:paraId="2B831469">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乙方名称：</w:t>
            </w:r>
          </w:p>
        </w:tc>
      </w:tr>
      <w:tr w14:paraId="6D255982">
        <w:tblPrEx>
          <w:tblCellMar>
            <w:top w:w="0" w:type="dxa"/>
            <w:left w:w="108" w:type="dxa"/>
            <w:bottom w:w="0" w:type="dxa"/>
            <w:right w:w="108" w:type="dxa"/>
          </w:tblCellMar>
        </w:tblPrEx>
        <w:trPr>
          <w:trHeight w:val="170" w:hRule="atLeast"/>
        </w:trPr>
        <w:tc>
          <w:tcPr>
            <w:tcW w:w="4473" w:type="dxa"/>
            <w:noWrap w:val="0"/>
            <w:vAlign w:val="top"/>
          </w:tcPr>
          <w:p w14:paraId="1D6DEDFE">
            <w:pPr>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单位地址：南昌市经济技术开发区</w:t>
            </w:r>
          </w:p>
          <w:p w14:paraId="7D7B23BC">
            <w:pPr>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广兰大道418号</w:t>
            </w:r>
          </w:p>
        </w:tc>
        <w:tc>
          <w:tcPr>
            <w:tcW w:w="4707" w:type="dxa"/>
            <w:noWrap w:val="0"/>
            <w:vAlign w:val="top"/>
          </w:tcPr>
          <w:p w14:paraId="6F8372EB">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单位地址：</w:t>
            </w:r>
          </w:p>
        </w:tc>
      </w:tr>
      <w:tr w14:paraId="44634396">
        <w:tblPrEx>
          <w:tblCellMar>
            <w:top w:w="0" w:type="dxa"/>
            <w:left w:w="108" w:type="dxa"/>
            <w:bottom w:w="0" w:type="dxa"/>
            <w:right w:w="108" w:type="dxa"/>
          </w:tblCellMar>
        </w:tblPrEx>
        <w:trPr>
          <w:trHeight w:val="594" w:hRule="atLeast"/>
        </w:trPr>
        <w:tc>
          <w:tcPr>
            <w:tcW w:w="4473" w:type="dxa"/>
            <w:noWrap w:val="0"/>
            <w:vAlign w:val="top"/>
          </w:tcPr>
          <w:p w14:paraId="5402CD44">
            <w:pPr>
              <w:adjustRightInd w:val="0"/>
              <w:snapToGrid w:val="0"/>
              <w:spacing w:line="440" w:lineRule="exact"/>
              <w:ind w:firstLine="480" w:firstLineChars="200"/>
              <w:rPr>
                <w:rFonts w:hint="eastAsia" w:ascii="宋体" w:hAnsi="宋体" w:eastAsia="宋体" w:cs="宋体"/>
                <w:color w:val="auto"/>
                <w:highlight w:val="none"/>
              </w:rPr>
            </w:pPr>
            <w:r>
              <w:rPr>
                <w:rFonts w:hint="eastAsia" w:ascii="宋体" w:hAnsi="宋体" w:eastAsia="宋体" w:cs="宋体"/>
                <w:color w:val="auto"/>
                <w:sz w:val="24"/>
                <w:highlight w:val="none"/>
              </w:rPr>
              <w:t>负责人或代理人：</w:t>
            </w:r>
          </w:p>
        </w:tc>
        <w:tc>
          <w:tcPr>
            <w:tcW w:w="4707" w:type="dxa"/>
            <w:noWrap w:val="0"/>
            <w:vAlign w:val="top"/>
          </w:tcPr>
          <w:p w14:paraId="0A91BEAF">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负责人或代理人：</w:t>
            </w:r>
          </w:p>
        </w:tc>
      </w:tr>
      <w:tr w14:paraId="57DE25C0">
        <w:tblPrEx>
          <w:tblCellMar>
            <w:top w:w="0" w:type="dxa"/>
            <w:left w:w="108" w:type="dxa"/>
            <w:bottom w:w="0" w:type="dxa"/>
            <w:right w:w="108" w:type="dxa"/>
          </w:tblCellMar>
        </w:tblPrEx>
        <w:trPr>
          <w:trHeight w:val="170" w:hRule="atLeast"/>
        </w:trPr>
        <w:tc>
          <w:tcPr>
            <w:tcW w:w="4473" w:type="dxa"/>
            <w:noWrap w:val="0"/>
            <w:vAlign w:val="top"/>
          </w:tcPr>
          <w:p w14:paraId="1FF71851">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电    话：0791-83879342</w:t>
            </w:r>
          </w:p>
        </w:tc>
        <w:tc>
          <w:tcPr>
            <w:tcW w:w="4707" w:type="dxa"/>
            <w:noWrap w:val="0"/>
            <w:vAlign w:val="top"/>
          </w:tcPr>
          <w:p w14:paraId="46AD54EA">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电    话：</w:t>
            </w:r>
          </w:p>
        </w:tc>
      </w:tr>
      <w:tr w14:paraId="30CEF919">
        <w:tblPrEx>
          <w:tblCellMar>
            <w:top w:w="0" w:type="dxa"/>
            <w:left w:w="108" w:type="dxa"/>
            <w:bottom w:w="0" w:type="dxa"/>
            <w:right w:w="108" w:type="dxa"/>
          </w:tblCellMar>
        </w:tblPrEx>
        <w:trPr>
          <w:trHeight w:val="170" w:hRule="atLeast"/>
        </w:trPr>
        <w:tc>
          <w:tcPr>
            <w:tcW w:w="4473" w:type="dxa"/>
            <w:noWrap w:val="0"/>
            <w:vAlign w:val="top"/>
          </w:tcPr>
          <w:p w14:paraId="62DF0394">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邮    箱：</w:t>
            </w:r>
          </w:p>
        </w:tc>
        <w:tc>
          <w:tcPr>
            <w:tcW w:w="4707" w:type="dxa"/>
            <w:noWrap w:val="0"/>
            <w:vAlign w:val="top"/>
          </w:tcPr>
          <w:p w14:paraId="7A7C21C8">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邮    箱：</w:t>
            </w:r>
          </w:p>
        </w:tc>
      </w:tr>
      <w:tr w14:paraId="77724559">
        <w:tblPrEx>
          <w:tblCellMar>
            <w:top w:w="0" w:type="dxa"/>
            <w:left w:w="108" w:type="dxa"/>
            <w:bottom w:w="0" w:type="dxa"/>
            <w:right w:w="108" w:type="dxa"/>
          </w:tblCellMar>
        </w:tblPrEx>
        <w:trPr>
          <w:trHeight w:val="590" w:hRule="atLeast"/>
        </w:trPr>
        <w:tc>
          <w:tcPr>
            <w:tcW w:w="4473" w:type="dxa"/>
            <w:noWrap w:val="0"/>
            <w:vAlign w:val="top"/>
          </w:tcPr>
          <w:p w14:paraId="6C4F186C">
            <w:pPr>
              <w:adjustRightInd w:val="0"/>
              <w:snapToGrid w:val="0"/>
              <w:spacing w:line="440" w:lineRule="exact"/>
              <w:rPr>
                <w:rFonts w:hint="eastAsia" w:ascii="宋体" w:hAnsi="宋体" w:eastAsia="宋体" w:cs="宋体"/>
                <w:color w:val="auto"/>
                <w:sz w:val="24"/>
                <w:highlight w:val="none"/>
              </w:rPr>
            </w:pPr>
            <w:r>
              <w:rPr>
                <w:rFonts w:hint="eastAsia" w:ascii="宋体" w:hAnsi="宋体" w:eastAsia="宋体" w:cs="宋体"/>
                <w:color w:val="auto"/>
                <w:sz w:val="24"/>
                <w:highlight w:val="none"/>
              </w:rPr>
              <w:t>开户行：中国建设银行抚州东华支行</w:t>
            </w:r>
          </w:p>
        </w:tc>
        <w:tc>
          <w:tcPr>
            <w:tcW w:w="4707" w:type="dxa"/>
            <w:noWrap w:val="0"/>
            <w:vAlign w:val="top"/>
          </w:tcPr>
          <w:p w14:paraId="5063E35A">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开 户 行： </w:t>
            </w:r>
          </w:p>
        </w:tc>
      </w:tr>
      <w:tr w14:paraId="76E930D0">
        <w:tblPrEx>
          <w:tblCellMar>
            <w:top w:w="0" w:type="dxa"/>
            <w:left w:w="108" w:type="dxa"/>
            <w:bottom w:w="0" w:type="dxa"/>
            <w:right w:w="108" w:type="dxa"/>
          </w:tblCellMar>
        </w:tblPrEx>
        <w:trPr>
          <w:trHeight w:val="170" w:hRule="atLeast"/>
        </w:trPr>
        <w:tc>
          <w:tcPr>
            <w:tcW w:w="4473" w:type="dxa"/>
            <w:noWrap w:val="0"/>
            <w:vAlign w:val="top"/>
          </w:tcPr>
          <w:p w14:paraId="34E0ACBA">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户    名：东华理工大学</w:t>
            </w:r>
          </w:p>
        </w:tc>
        <w:tc>
          <w:tcPr>
            <w:tcW w:w="4707" w:type="dxa"/>
            <w:noWrap w:val="0"/>
            <w:vAlign w:val="top"/>
          </w:tcPr>
          <w:p w14:paraId="0681B8F0">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 xml:space="preserve">户    名： </w:t>
            </w:r>
          </w:p>
        </w:tc>
      </w:tr>
      <w:tr w14:paraId="164B2459">
        <w:tblPrEx>
          <w:tblCellMar>
            <w:top w:w="0" w:type="dxa"/>
            <w:left w:w="108" w:type="dxa"/>
            <w:bottom w:w="0" w:type="dxa"/>
            <w:right w:w="108" w:type="dxa"/>
          </w:tblCellMar>
        </w:tblPrEx>
        <w:trPr>
          <w:trHeight w:val="170" w:hRule="atLeast"/>
        </w:trPr>
        <w:tc>
          <w:tcPr>
            <w:tcW w:w="4473" w:type="dxa"/>
            <w:noWrap w:val="0"/>
            <w:vAlign w:val="top"/>
          </w:tcPr>
          <w:p w14:paraId="1A5B06B3">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账    号：36001550120050000056</w:t>
            </w:r>
          </w:p>
        </w:tc>
        <w:tc>
          <w:tcPr>
            <w:tcW w:w="4707" w:type="dxa"/>
            <w:noWrap w:val="0"/>
            <w:vAlign w:val="top"/>
          </w:tcPr>
          <w:p w14:paraId="1AEA901D">
            <w:pPr>
              <w:adjustRightInd w:val="0"/>
              <w:snapToGrid w:val="0"/>
              <w:spacing w:line="440" w:lineRule="exact"/>
              <w:ind w:firstLine="480" w:firstLineChars="200"/>
              <w:rPr>
                <w:rFonts w:hint="eastAsia" w:ascii="宋体" w:hAnsi="宋体" w:eastAsia="宋体" w:cs="宋体"/>
                <w:color w:val="auto"/>
                <w:sz w:val="24"/>
                <w:highlight w:val="none"/>
              </w:rPr>
            </w:pPr>
            <w:r>
              <w:rPr>
                <w:rFonts w:hint="eastAsia" w:ascii="宋体" w:hAnsi="宋体" w:eastAsia="宋体" w:cs="宋体"/>
                <w:color w:val="auto"/>
                <w:sz w:val="24"/>
                <w:highlight w:val="none"/>
              </w:rPr>
              <w:t>账    号：</w:t>
            </w:r>
          </w:p>
        </w:tc>
      </w:tr>
    </w:tbl>
    <w:p w14:paraId="6EF9868A">
      <w:pPr>
        <w:pStyle w:val="7"/>
        <w:keepNext w:val="0"/>
        <w:keepLines w:val="0"/>
        <w:pageBreakBefore w:val="0"/>
        <w:kinsoku w:val="0"/>
        <w:wordWrap/>
        <w:overflowPunct/>
        <w:topLinePunct w:val="0"/>
        <w:autoSpaceDE w:val="0"/>
        <w:autoSpaceDN w:val="0"/>
        <w:bidi w:val="0"/>
        <w:adjustRightInd w:val="0"/>
        <w:snapToGrid w:val="0"/>
        <w:spacing w:line="480" w:lineRule="auto"/>
        <w:ind w:left="0" w:leftChars="0" w:right="344" w:rightChars="164"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p>
    <w:p w14:paraId="0B44EAF5">
      <w:pPr>
        <w:keepNext w:val="0"/>
        <w:keepLines w:val="0"/>
        <w:pageBreakBefore w:val="0"/>
        <w:widowControl w:val="0"/>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color w:val="auto"/>
          <w:spacing w:val="0"/>
          <w:w w:val="100"/>
          <w:position w:val="0"/>
          <w:sz w:val="24"/>
          <w:szCs w:val="24"/>
          <w:highlight w:val="none"/>
          <w:lang w:eastAsia="zh-CN"/>
        </w:rPr>
      </w:pPr>
    </w:p>
    <w:p w14:paraId="22E11376">
      <w:pP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bookmarkStart w:id="108" w:name="_Toc6495"/>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br w:type="page"/>
      </w:r>
    </w:p>
    <w:p w14:paraId="7F794997">
      <w:pPr>
        <w:keepNext w:val="0"/>
        <w:keepLines w:val="0"/>
        <w:pageBreakBefore w:val="0"/>
        <w:wordWrap/>
        <w:overflowPunct/>
        <w:topLinePunct w:val="0"/>
        <w:autoSpaceDE w:val="0"/>
        <w:autoSpaceDN w:val="0"/>
        <w:bidi w:val="0"/>
        <w:adjustRightInd w:val="0"/>
        <w:spacing w:line="360" w:lineRule="auto"/>
        <w:jc w:val="center"/>
        <w:outlineLvl w:val="0"/>
        <w:rPr>
          <w:rFonts w:hint="eastAsia" w:ascii="宋体" w:hAnsi="宋体" w:eastAsia="宋体" w:cs="宋体"/>
          <w:color w:val="auto"/>
          <w:spacing w:val="0"/>
          <w:w w:val="100"/>
          <w:position w:val="0"/>
          <w:sz w:val="31"/>
          <w:szCs w:val="31"/>
          <w:highlight w:val="none"/>
          <w:lang w:eastAsia="zh-CN"/>
        </w:rPr>
      </w:pP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第四章</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投标文件格式</w:t>
      </w:r>
      <w:bookmarkEnd w:id="108"/>
    </w:p>
    <w:p w14:paraId="22B3785C">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highlight w:val="none"/>
          <w:lang w:eastAsia="zh-CN"/>
        </w:rPr>
      </w:pPr>
    </w:p>
    <w:p w14:paraId="5CF45BA3">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highlight w:val="none"/>
          <w:lang w:eastAsia="zh-CN"/>
        </w:rPr>
      </w:pPr>
    </w:p>
    <w:p w14:paraId="19E3E991">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highlight w:val="none"/>
          <w:lang w:eastAsia="zh-CN"/>
        </w:rPr>
      </w:pPr>
    </w:p>
    <w:p w14:paraId="6917BDF7">
      <w:pPr>
        <w:pageBreakBefore w:val="0"/>
        <w:widowControl w:val="0"/>
        <w:wordWrap/>
        <w:overflowPunct/>
        <w:topLinePunct w:val="0"/>
        <w:bidi w:val="0"/>
        <w:spacing w:line="269" w:lineRule="auto"/>
        <w:jc w:val="center"/>
        <w:rPr>
          <w:rFonts w:hint="eastAsia" w:ascii="宋体" w:hAnsi="宋体" w:eastAsia="宋体" w:cs="宋体"/>
          <w:color w:val="auto"/>
          <w:spacing w:val="0"/>
          <w:w w:val="100"/>
          <w:position w:val="0"/>
          <w:highlight w:val="none"/>
          <w:lang w:eastAsia="zh-CN"/>
        </w:rPr>
      </w:pPr>
    </w:p>
    <w:p w14:paraId="7E4AD36B">
      <w:pPr>
        <w:pageBreakBefore w:val="0"/>
        <w:widowControl w:val="0"/>
        <w:wordWrap/>
        <w:overflowPunct/>
        <w:topLinePunct w:val="0"/>
        <w:bidi w:val="0"/>
        <w:spacing w:before="100" w:line="225" w:lineRule="auto"/>
        <w:jc w:val="center"/>
        <w:rPr>
          <w:rFonts w:hint="eastAsia" w:ascii="宋体" w:hAnsi="宋体" w:eastAsia="宋体" w:cs="宋体"/>
          <w:color w:val="auto"/>
          <w:spacing w:val="0"/>
          <w:w w:val="100"/>
          <w:position w:val="0"/>
          <w:sz w:val="31"/>
          <w:szCs w:val="31"/>
          <w:highlight w:val="none"/>
          <w:lang w:eastAsia="zh-CN"/>
        </w:rPr>
      </w:pP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投</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标</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文</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件</w:t>
      </w:r>
    </w:p>
    <w:p w14:paraId="21CBD849">
      <w:pPr>
        <w:pageBreakBefore w:val="0"/>
        <w:widowControl w:val="0"/>
        <w:wordWrap/>
        <w:overflowPunct/>
        <w:topLinePunct w:val="0"/>
        <w:bidi w:val="0"/>
        <w:jc w:val="center"/>
        <w:rPr>
          <w:rFonts w:hint="eastAsia" w:ascii="宋体" w:hAnsi="宋体" w:eastAsia="宋体" w:cs="宋体"/>
          <w:color w:val="auto"/>
          <w:spacing w:val="0"/>
          <w:w w:val="100"/>
          <w:position w:val="0"/>
          <w:highlight w:val="none"/>
          <w:lang w:eastAsia="zh-CN"/>
        </w:rPr>
      </w:pPr>
    </w:p>
    <w:p w14:paraId="6795C59A">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063A2C6">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2F9AC06">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3CEBD10">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9AE0DEB">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7B14E93">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A180339">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77851EF">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797E0E1F">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6C166F1D">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7F7A7E02">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44DD83BF">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67FC240F">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458DBAC5">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33BFD702">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38BE600D">
      <w:pPr>
        <w:pageBreakBefore w:val="0"/>
        <w:widowControl w:val="0"/>
        <w:wordWrap/>
        <w:overflowPunct/>
        <w:topLinePunct w:val="0"/>
        <w:bidi w:val="0"/>
        <w:spacing w:before="78" w:line="220" w:lineRule="auto"/>
        <w:ind w:left="1445"/>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项目名称：</w:t>
      </w:r>
    </w:p>
    <w:p w14:paraId="2ECF7001">
      <w:pPr>
        <w:pageBreakBefore w:val="0"/>
        <w:widowControl w:val="0"/>
        <w:wordWrap/>
        <w:overflowPunct/>
        <w:topLinePunct w:val="0"/>
        <w:bidi w:val="0"/>
        <w:spacing w:line="258" w:lineRule="auto"/>
        <w:rPr>
          <w:rFonts w:hint="eastAsia" w:ascii="宋体" w:hAnsi="宋体" w:eastAsia="宋体" w:cs="宋体"/>
          <w:color w:val="auto"/>
          <w:spacing w:val="0"/>
          <w:w w:val="100"/>
          <w:position w:val="0"/>
          <w:highlight w:val="none"/>
          <w:lang w:eastAsia="zh-CN"/>
        </w:rPr>
      </w:pPr>
    </w:p>
    <w:p w14:paraId="0359F581">
      <w:pPr>
        <w:pageBreakBefore w:val="0"/>
        <w:widowControl w:val="0"/>
        <w:wordWrap/>
        <w:overflowPunct/>
        <w:topLinePunct w:val="0"/>
        <w:bidi w:val="0"/>
        <w:spacing w:line="258" w:lineRule="auto"/>
        <w:rPr>
          <w:rFonts w:hint="eastAsia" w:ascii="宋体" w:hAnsi="宋体" w:eastAsia="宋体" w:cs="宋体"/>
          <w:color w:val="auto"/>
          <w:spacing w:val="0"/>
          <w:w w:val="100"/>
          <w:position w:val="0"/>
          <w:highlight w:val="none"/>
          <w:lang w:eastAsia="zh-CN"/>
        </w:rPr>
      </w:pPr>
    </w:p>
    <w:p w14:paraId="2D70E48D">
      <w:pPr>
        <w:pageBreakBefore w:val="0"/>
        <w:widowControl w:val="0"/>
        <w:wordWrap/>
        <w:overflowPunct/>
        <w:topLinePunct w:val="0"/>
        <w:bidi w:val="0"/>
        <w:spacing w:line="258" w:lineRule="auto"/>
        <w:rPr>
          <w:rFonts w:hint="eastAsia" w:ascii="宋体" w:hAnsi="宋体" w:eastAsia="宋体" w:cs="宋体"/>
          <w:color w:val="auto"/>
          <w:spacing w:val="0"/>
          <w:w w:val="100"/>
          <w:position w:val="0"/>
          <w:highlight w:val="none"/>
          <w:lang w:eastAsia="zh-CN"/>
        </w:rPr>
      </w:pPr>
    </w:p>
    <w:p w14:paraId="7464B1D5">
      <w:pPr>
        <w:pageBreakBefore w:val="0"/>
        <w:widowControl w:val="0"/>
        <w:wordWrap/>
        <w:overflowPunct/>
        <w:topLinePunct w:val="0"/>
        <w:bidi w:val="0"/>
        <w:spacing w:line="259" w:lineRule="auto"/>
        <w:rPr>
          <w:rFonts w:hint="eastAsia" w:ascii="宋体" w:hAnsi="宋体" w:eastAsia="宋体" w:cs="宋体"/>
          <w:color w:val="auto"/>
          <w:spacing w:val="0"/>
          <w:w w:val="100"/>
          <w:position w:val="0"/>
          <w:highlight w:val="none"/>
          <w:lang w:eastAsia="zh-CN"/>
        </w:rPr>
      </w:pPr>
    </w:p>
    <w:p w14:paraId="77D382BA">
      <w:pPr>
        <w:pageBreakBefore w:val="0"/>
        <w:widowControl w:val="0"/>
        <w:wordWrap/>
        <w:overflowPunct/>
        <w:topLinePunct w:val="0"/>
        <w:bidi w:val="0"/>
        <w:spacing w:before="79" w:line="219" w:lineRule="auto"/>
        <w:ind w:left="1445"/>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项目编号：</w:t>
      </w:r>
    </w:p>
    <w:p w14:paraId="6E68F6CA">
      <w:pPr>
        <w:pageBreakBefore w:val="0"/>
        <w:widowControl w:val="0"/>
        <w:wordWrap/>
        <w:overflowPunct/>
        <w:topLinePunct w:val="0"/>
        <w:bidi w:val="0"/>
        <w:spacing w:line="245" w:lineRule="auto"/>
        <w:rPr>
          <w:rFonts w:hint="eastAsia" w:ascii="宋体" w:hAnsi="宋体" w:eastAsia="宋体" w:cs="宋体"/>
          <w:color w:val="auto"/>
          <w:spacing w:val="0"/>
          <w:w w:val="100"/>
          <w:position w:val="0"/>
          <w:highlight w:val="none"/>
          <w:lang w:eastAsia="zh-CN"/>
        </w:rPr>
      </w:pPr>
    </w:p>
    <w:p w14:paraId="08B1B741">
      <w:pPr>
        <w:pageBreakBefore w:val="0"/>
        <w:widowControl w:val="0"/>
        <w:wordWrap/>
        <w:overflowPunct/>
        <w:topLinePunct w:val="0"/>
        <w:bidi w:val="0"/>
        <w:spacing w:line="245" w:lineRule="auto"/>
        <w:rPr>
          <w:rFonts w:hint="eastAsia" w:ascii="宋体" w:hAnsi="宋体" w:eastAsia="宋体" w:cs="宋体"/>
          <w:color w:val="auto"/>
          <w:spacing w:val="0"/>
          <w:w w:val="100"/>
          <w:position w:val="0"/>
          <w:highlight w:val="none"/>
          <w:lang w:eastAsia="zh-CN"/>
        </w:rPr>
      </w:pPr>
    </w:p>
    <w:p w14:paraId="284A8FC3">
      <w:pPr>
        <w:pageBreakBefore w:val="0"/>
        <w:widowControl w:val="0"/>
        <w:wordWrap/>
        <w:overflowPunct/>
        <w:topLinePunct w:val="0"/>
        <w:bidi w:val="0"/>
        <w:spacing w:line="245" w:lineRule="auto"/>
        <w:rPr>
          <w:rFonts w:hint="eastAsia" w:ascii="宋体" w:hAnsi="宋体" w:eastAsia="宋体" w:cs="宋体"/>
          <w:color w:val="auto"/>
          <w:spacing w:val="0"/>
          <w:w w:val="100"/>
          <w:position w:val="0"/>
          <w:highlight w:val="none"/>
          <w:lang w:eastAsia="zh-CN"/>
        </w:rPr>
      </w:pPr>
    </w:p>
    <w:p w14:paraId="57ECF409">
      <w:pPr>
        <w:pageBreakBefore w:val="0"/>
        <w:widowControl w:val="0"/>
        <w:wordWrap/>
        <w:overflowPunct/>
        <w:topLinePunct w:val="0"/>
        <w:bidi w:val="0"/>
        <w:spacing w:line="245" w:lineRule="auto"/>
        <w:rPr>
          <w:rFonts w:hint="eastAsia" w:ascii="宋体" w:hAnsi="宋体" w:eastAsia="宋体" w:cs="宋体"/>
          <w:color w:val="auto"/>
          <w:spacing w:val="0"/>
          <w:w w:val="100"/>
          <w:position w:val="0"/>
          <w:highlight w:val="none"/>
          <w:lang w:eastAsia="zh-CN"/>
        </w:rPr>
      </w:pPr>
    </w:p>
    <w:p w14:paraId="0F69228A">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21E5F23A">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0A4A34E8">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55EAE6E1">
      <w:pPr>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lang w:eastAsia="zh-CN"/>
        </w:rPr>
      </w:pPr>
    </w:p>
    <w:p w14:paraId="2374C548">
      <w:pPr>
        <w:pageBreakBefore w:val="0"/>
        <w:widowControl w:val="0"/>
        <w:wordWrap/>
        <w:overflowPunct/>
        <w:topLinePunct w:val="0"/>
        <w:bidi w:val="0"/>
        <w:spacing w:before="78" w:line="219" w:lineRule="auto"/>
        <w:ind w:left="3362"/>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w:t>
      </w:r>
      <w:r>
        <w:rPr>
          <w:rFonts w:hint="eastAsia" w:ascii="宋体" w:hAnsi="宋体" w:eastAsia="宋体" w:cs="宋体"/>
          <w:color w:val="auto"/>
          <w:spacing w:val="0"/>
          <w:w w:val="100"/>
          <w:position w:val="0"/>
          <w:sz w:val="24"/>
          <w:szCs w:val="24"/>
          <w:highlight w:val="none"/>
          <w:lang w:val="en-US" w:eastAsia="zh-CN"/>
        </w:rPr>
        <w:t>人</w:t>
      </w:r>
      <w:r>
        <w:rPr>
          <w:rFonts w:hint="eastAsia" w:ascii="宋体" w:hAnsi="宋体" w:eastAsia="宋体" w:cs="宋体"/>
          <w:color w:val="auto"/>
          <w:spacing w:val="0"/>
          <w:w w:val="100"/>
          <w:position w:val="0"/>
          <w:sz w:val="24"/>
          <w:szCs w:val="24"/>
          <w:highlight w:val="none"/>
          <w:lang w:eastAsia="zh-CN"/>
        </w:rPr>
        <w:t>（签章）</w:t>
      </w:r>
    </w:p>
    <w:p w14:paraId="73C5623A">
      <w:pPr>
        <w:pageBreakBefore w:val="0"/>
        <w:widowControl w:val="0"/>
        <w:wordWrap/>
        <w:overflowPunct/>
        <w:topLinePunct w:val="0"/>
        <w:bidi w:val="0"/>
        <w:spacing w:line="285" w:lineRule="auto"/>
        <w:rPr>
          <w:rFonts w:hint="eastAsia" w:ascii="宋体" w:hAnsi="宋体" w:eastAsia="宋体" w:cs="宋体"/>
          <w:color w:val="auto"/>
          <w:spacing w:val="0"/>
          <w:w w:val="100"/>
          <w:position w:val="0"/>
          <w:highlight w:val="none"/>
          <w:lang w:eastAsia="zh-CN"/>
        </w:rPr>
      </w:pPr>
    </w:p>
    <w:p w14:paraId="42AA6ED0">
      <w:pPr>
        <w:pageBreakBefore w:val="0"/>
        <w:widowControl w:val="0"/>
        <w:wordWrap/>
        <w:overflowPunct/>
        <w:topLinePunct w:val="0"/>
        <w:bidi w:val="0"/>
        <w:spacing w:line="285" w:lineRule="auto"/>
        <w:rPr>
          <w:rFonts w:hint="eastAsia" w:ascii="宋体" w:hAnsi="宋体" w:eastAsia="宋体" w:cs="宋体"/>
          <w:color w:val="auto"/>
          <w:spacing w:val="0"/>
          <w:w w:val="100"/>
          <w:position w:val="0"/>
          <w:highlight w:val="none"/>
          <w:lang w:eastAsia="zh-CN"/>
        </w:rPr>
      </w:pPr>
    </w:p>
    <w:p w14:paraId="30706266">
      <w:pPr>
        <w:pageBreakBefore w:val="0"/>
        <w:widowControl w:val="0"/>
        <w:wordWrap/>
        <w:overflowPunct/>
        <w:topLinePunct w:val="0"/>
        <w:bidi w:val="0"/>
        <w:spacing w:before="79" w:line="219" w:lineRule="auto"/>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年  </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 xml:space="preserve"> 月   日</w:t>
      </w:r>
    </w:p>
    <w:p w14:paraId="4B9E5D46">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sectPr>
          <w:footerReference r:id="rId6" w:type="default"/>
          <w:pgSz w:w="11906" w:h="16839"/>
          <w:pgMar w:top="1431" w:right="1158" w:bottom="1362" w:left="1229" w:header="0" w:footer="1200" w:gutter="0"/>
          <w:cols w:space="720" w:num="1"/>
        </w:sectPr>
      </w:pPr>
    </w:p>
    <w:p w14:paraId="04BE82F1">
      <w:pPr>
        <w:pageBreakBefore w:val="0"/>
        <w:widowControl w:val="0"/>
        <w:wordWrap/>
        <w:overflowPunct/>
        <w:topLinePunct w:val="0"/>
        <w:bidi w:val="0"/>
        <w:spacing w:before="47" w:after="0" w:afterLines="150" w:afterAutospacing="0" w:line="219" w:lineRule="auto"/>
        <w:jc w:val="center"/>
        <w:rPr>
          <w:rFonts w:hint="eastAsia" w:ascii="宋体" w:hAnsi="宋体" w:eastAsia="宋体" w:cs="宋体"/>
          <w:color w:val="auto"/>
          <w:spacing w:val="0"/>
          <w:w w:val="100"/>
          <w:position w:val="0"/>
          <w:sz w:val="24"/>
          <w:szCs w:val="24"/>
          <w:highlight w:val="none"/>
          <w:lang w:eastAsia="zh-CN"/>
        </w:rPr>
      </w:pPr>
      <w:bookmarkStart w:id="109" w:name="bookmark54"/>
      <w:bookmarkEnd w:id="109"/>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1．投标书</w:t>
      </w:r>
    </w:p>
    <w:p w14:paraId="1CA68A44">
      <w:pPr>
        <w:pageBreakBefore w:val="0"/>
        <w:widowControl w:val="0"/>
        <w:wordWrap/>
        <w:overflowPunct/>
        <w:topLinePunct w:val="0"/>
        <w:bidi w:val="0"/>
        <w:spacing w:beforeAutospacing="0" w:line="220" w:lineRule="auto"/>
        <w:ind w:left="1"/>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致：</w:t>
      </w:r>
      <w:r>
        <w:rPr>
          <w:rFonts w:hint="eastAsia" w:ascii="宋体" w:hAnsi="宋体" w:eastAsia="宋体" w:cs="宋体"/>
          <w:b w:val="0"/>
          <w:bCs w:val="0"/>
          <w:color w:val="auto"/>
          <w:spacing w:val="0"/>
          <w:w w:val="100"/>
          <w:position w:val="0"/>
          <w:sz w:val="24"/>
          <w:szCs w:val="24"/>
          <w:highlight w:val="none"/>
          <w:lang w:eastAsia="zh-CN"/>
        </w:rPr>
        <w:t xml:space="preserve"> </w:t>
      </w:r>
      <w:r>
        <w:rPr>
          <w:rFonts w:hint="eastAsia" w:ascii="宋体" w:hAnsi="宋体" w:eastAsia="宋体" w:cs="宋体"/>
          <w:b w:val="0"/>
          <w:bCs w:val="0"/>
          <w:color w:val="auto"/>
          <w:spacing w:val="0"/>
          <w:w w:val="100"/>
          <w:position w:val="0"/>
          <w:sz w:val="24"/>
          <w:szCs w:val="24"/>
          <w:highlight w:val="none"/>
          <w:u w:val="single"/>
          <w:lang w:val="en-US" w:eastAsia="zh-CN"/>
          <w14:textOutline w14:w="4356" w14:cap="sq" w14:cmpd="sng" w14:algn="ctr">
            <w14:solidFill>
              <w14:srgbClr w14:val="000000"/>
            </w14:solidFill>
            <w14:prstDash w14:val="solid"/>
            <w14:bevel/>
          </w14:textOutline>
        </w:rPr>
        <w:t xml:space="preserve">                       </w:t>
      </w:r>
    </w:p>
    <w:p w14:paraId="54F10704">
      <w:pPr>
        <w:pageBreakBefore w:val="0"/>
        <w:widowControl w:val="0"/>
        <w:wordWrap/>
        <w:overflowPunct/>
        <w:topLinePunct w:val="0"/>
        <w:bidi w:val="0"/>
        <w:spacing w:before="115" w:line="308" w:lineRule="auto"/>
        <w:ind w:left="481"/>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根据贵方为(</w:t>
      </w:r>
      <w:r>
        <w:rPr>
          <w:rFonts w:hint="eastAsia" w:ascii="宋体" w:hAnsi="宋体" w:eastAsia="宋体" w:cs="宋体"/>
          <w:color w:val="auto"/>
          <w:spacing w:val="0"/>
          <w:w w:val="100"/>
          <w:position w:val="0"/>
          <w:sz w:val="24"/>
          <w:szCs w:val="24"/>
          <w:highlight w:val="none"/>
          <w:u w:val="single"/>
          <w:lang w:eastAsia="zh-CN"/>
        </w:rPr>
        <w:t>项目名称</w:t>
      </w:r>
      <w:r>
        <w:rPr>
          <w:rFonts w:hint="eastAsia" w:ascii="宋体" w:hAnsi="宋体" w:eastAsia="宋体" w:cs="宋体"/>
          <w:color w:val="auto"/>
          <w:spacing w:val="0"/>
          <w:w w:val="100"/>
          <w:position w:val="0"/>
          <w:sz w:val="24"/>
          <w:szCs w:val="24"/>
          <w:highlight w:val="none"/>
          <w:lang w:eastAsia="zh-CN"/>
        </w:rPr>
        <w:t>)项目招标采购货物及有关服务的投标邀请(</w:t>
      </w:r>
      <w:r>
        <w:rPr>
          <w:rFonts w:hint="eastAsia" w:ascii="宋体" w:hAnsi="宋体" w:eastAsia="宋体" w:cs="宋体"/>
          <w:color w:val="auto"/>
          <w:spacing w:val="0"/>
          <w:w w:val="100"/>
          <w:position w:val="0"/>
          <w:sz w:val="24"/>
          <w:szCs w:val="24"/>
          <w:highlight w:val="none"/>
          <w:u w:val="single"/>
          <w:lang w:eastAsia="zh-CN"/>
        </w:rPr>
        <w:t>项目编号</w:t>
      </w:r>
      <w:r>
        <w:rPr>
          <w:rFonts w:hint="eastAsia" w:ascii="宋体" w:hAnsi="宋体" w:eastAsia="宋体" w:cs="宋体"/>
          <w:color w:val="auto"/>
          <w:spacing w:val="0"/>
          <w:w w:val="100"/>
          <w:position w:val="0"/>
          <w:sz w:val="24"/>
          <w:szCs w:val="24"/>
          <w:highlight w:val="none"/>
          <w:lang w:eastAsia="zh-CN"/>
        </w:rPr>
        <w:t>)签字代</w:t>
      </w:r>
    </w:p>
    <w:p w14:paraId="00A6BE81">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u w:val="single"/>
          <w:lang w:eastAsia="zh-CN"/>
        </w:rPr>
        <w:t>姓名、职务</w:t>
      </w:r>
      <w:r>
        <w:rPr>
          <w:rFonts w:hint="eastAsia" w:ascii="宋体" w:hAnsi="宋体" w:eastAsia="宋体" w:cs="宋体"/>
          <w:color w:val="auto"/>
          <w:spacing w:val="0"/>
          <w:w w:val="100"/>
          <w:position w:val="0"/>
          <w:sz w:val="24"/>
          <w:szCs w:val="24"/>
          <w:highlight w:val="none"/>
          <w:lang w:eastAsia="zh-CN"/>
        </w:rPr>
        <w:t>)，经正式授权并代表投标人</w:t>
      </w:r>
      <w:r>
        <w:rPr>
          <w:rFonts w:hint="eastAsia" w:ascii="宋体" w:hAnsi="宋体" w:eastAsia="宋体" w:cs="宋体"/>
          <w:color w:val="auto"/>
          <w:spacing w:val="0"/>
          <w:w w:val="100"/>
          <w:position w:val="0"/>
          <w:sz w:val="24"/>
          <w:szCs w:val="24"/>
          <w:highlight w:val="none"/>
          <w:u w:val="single"/>
          <w:lang w:eastAsia="zh-CN"/>
        </w:rPr>
        <w:t>(投标人名称、地址)</w:t>
      </w:r>
      <w:r>
        <w:rPr>
          <w:rFonts w:hint="eastAsia" w:ascii="宋体" w:hAnsi="宋体" w:eastAsia="宋体" w:cs="宋体"/>
          <w:color w:val="auto"/>
          <w:spacing w:val="0"/>
          <w:w w:val="100"/>
          <w:position w:val="0"/>
          <w:sz w:val="24"/>
          <w:szCs w:val="24"/>
          <w:highlight w:val="none"/>
          <w:lang w:eastAsia="zh-CN"/>
        </w:rPr>
        <w:t>提交下述文件（电子版上</w:t>
      </w:r>
    </w:p>
    <w:p w14:paraId="1644886F">
      <w:pPr>
        <w:pageBreakBefore w:val="0"/>
        <w:widowControl w:val="0"/>
        <w:wordWrap/>
        <w:overflowPunct/>
        <w:topLinePunct w:val="0"/>
        <w:bidi w:val="0"/>
        <w:spacing w:before="113" w:line="401" w:lineRule="exact"/>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传到江西省公共资源交易</w:t>
      </w:r>
      <w:r>
        <w:rPr>
          <w:rFonts w:hint="eastAsia" w:ascii="宋体" w:hAnsi="宋体" w:eastAsia="宋体" w:cs="宋体"/>
          <w:color w:val="auto"/>
          <w:spacing w:val="0"/>
          <w:w w:val="100"/>
          <w:position w:val="0"/>
          <w:sz w:val="24"/>
          <w:szCs w:val="24"/>
          <w:highlight w:val="none"/>
          <w:lang w:val="en-US" w:eastAsia="zh-CN"/>
        </w:rPr>
        <w:t>平台</w:t>
      </w:r>
      <w:r>
        <w:rPr>
          <w:rFonts w:hint="eastAsia" w:ascii="宋体" w:hAnsi="宋体" w:eastAsia="宋体" w:cs="宋体"/>
          <w:color w:val="auto"/>
          <w:spacing w:val="0"/>
          <w:w w:val="100"/>
          <w:position w:val="0"/>
          <w:sz w:val="24"/>
          <w:szCs w:val="24"/>
          <w:highlight w:val="none"/>
          <w:lang w:eastAsia="zh-CN"/>
        </w:rPr>
        <w:t>）:</w:t>
      </w:r>
    </w:p>
    <w:p w14:paraId="25175ABB">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1、投标书（</w:t>
      </w:r>
      <w:r>
        <w:rPr>
          <w:rFonts w:hint="eastAsia" w:ascii="宋体" w:hAnsi="宋体" w:eastAsia="宋体" w:cs="宋体"/>
          <w:color w:val="auto"/>
          <w:spacing w:val="0"/>
          <w:w w:val="100"/>
          <w:position w:val="0"/>
          <w:sz w:val="24"/>
          <w:szCs w:val="24"/>
          <w:highlight w:val="none"/>
          <w:lang w:val="en-US" w:eastAsia="zh-CN"/>
        </w:rPr>
        <w:t>含自然人投标</w:t>
      </w:r>
      <w:r>
        <w:rPr>
          <w:rFonts w:hint="eastAsia" w:ascii="宋体" w:hAnsi="宋体" w:eastAsia="宋体" w:cs="宋体"/>
          <w:color w:val="auto"/>
          <w:spacing w:val="0"/>
          <w:w w:val="100"/>
          <w:position w:val="0"/>
          <w:sz w:val="24"/>
          <w:szCs w:val="24"/>
          <w:highlight w:val="none"/>
          <w:lang w:eastAsia="zh-CN"/>
        </w:rPr>
        <w:t>）</w:t>
      </w:r>
    </w:p>
    <w:p w14:paraId="715773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2、开标一览表</w:t>
      </w:r>
    </w:p>
    <w:p w14:paraId="6F7C40B8">
      <w:pPr>
        <w:pageBreakBefore w:val="0"/>
        <w:widowControl w:val="0"/>
        <w:wordWrap/>
        <w:overflowPunct/>
        <w:topLinePunct w:val="0"/>
        <w:bidi w:val="0"/>
        <w:spacing w:before="112" w:line="218" w:lineRule="auto"/>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3、分项报价表</w:t>
      </w:r>
    </w:p>
    <w:p w14:paraId="02180056">
      <w:pPr>
        <w:pageBreakBefore w:val="0"/>
        <w:widowControl w:val="0"/>
        <w:wordWrap/>
        <w:overflowPunct/>
        <w:topLinePunct w:val="0"/>
        <w:bidi w:val="0"/>
        <w:spacing w:before="118" w:afterAutospacing="0" w:line="219" w:lineRule="auto"/>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4、开标一览明细表</w:t>
      </w:r>
    </w:p>
    <w:p w14:paraId="658222C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5、技术需求响应/偏离表</w:t>
      </w:r>
    </w:p>
    <w:p w14:paraId="22FFBC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6、商务条件响应/偏离表</w:t>
      </w:r>
    </w:p>
    <w:p w14:paraId="2E7864F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7、投标人应当提交的资格、资信证明文件</w:t>
      </w:r>
    </w:p>
    <w:p w14:paraId="1392DB65">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8、为落实政府采购政策投标人须提供的证明材料</w:t>
      </w:r>
    </w:p>
    <w:p w14:paraId="14AA62B9">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9、技术文件</w:t>
      </w:r>
    </w:p>
    <w:p w14:paraId="1662123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10、其他资料</w:t>
      </w:r>
    </w:p>
    <w:p w14:paraId="091CE2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11、提交的投标保证金，金额为</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w:t>
      </w:r>
    </w:p>
    <w:p w14:paraId="1AEC44D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据此函,签字代表宣布同意如下:</w:t>
      </w:r>
    </w:p>
    <w:p w14:paraId="3CE62CF2">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 所附开标一览表中规定的应提交和交付的货物投标总价为（用文字和数字表示的投</w:t>
      </w:r>
      <w:r>
        <w:rPr>
          <w:rFonts w:hint="eastAsia" w:ascii="宋体" w:hAnsi="宋体" w:eastAsia="宋体" w:cs="宋体"/>
          <w:color w:val="auto"/>
          <w:spacing w:val="0"/>
          <w:w w:val="100"/>
          <w:position w:val="0"/>
          <w:sz w:val="24"/>
          <w:szCs w:val="24"/>
          <w:highlight w:val="none"/>
          <w:lang w:val="en-US" w:eastAsia="zh-CN"/>
        </w:rPr>
        <w:t>标总价）</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val="en-US" w:eastAsia="zh-CN"/>
        </w:rPr>
        <w:t>。</w:t>
      </w:r>
    </w:p>
    <w:p w14:paraId="49C1604F">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 投标人将按招标文件的规定履行合同责任和义务。</w:t>
      </w:r>
    </w:p>
    <w:p w14:paraId="30B79EC4">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3. 投标人已详细审查全部招标文件，包括其他相关澄清、更正等相关资料。我们完</w:t>
      </w:r>
      <w:r>
        <w:rPr>
          <w:rFonts w:hint="eastAsia" w:ascii="宋体" w:hAnsi="宋体" w:eastAsia="宋体" w:cs="宋体"/>
          <w:color w:val="auto"/>
          <w:spacing w:val="0"/>
          <w:w w:val="100"/>
          <w:position w:val="0"/>
          <w:sz w:val="24"/>
          <w:szCs w:val="24"/>
          <w:highlight w:val="none"/>
          <w:lang w:val="en-US" w:eastAsia="zh-CN"/>
        </w:rPr>
        <w:t>全理解并同意放弃对这方面有不明及误解的权利。</w:t>
      </w:r>
    </w:p>
    <w:p w14:paraId="5F265056">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4. 本投标有效期为</w:t>
      </w:r>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从提交投标文件截止之日起</w:t>
      </w:r>
      <w:r>
        <w:rPr>
          <w:rFonts w:hint="eastAsia" w:ascii="宋体" w:hAnsi="宋体" w:eastAsia="宋体" w:cs="宋体"/>
          <w:color w:val="auto"/>
          <w:spacing w:val="0"/>
          <w:w w:val="100"/>
          <w:position w:val="0"/>
          <w:sz w:val="24"/>
          <w:szCs w:val="24"/>
          <w:highlight w:val="none"/>
          <w:u w:val="single"/>
          <w:lang w:val="en-US" w:eastAsia="zh-CN"/>
        </w:rPr>
        <w:t xml:space="preserve">  90 </w:t>
      </w:r>
      <w:r>
        <w:rPr>
          <w:rFonts w:hint="eastAsia" w:ascii="宋体" w:hAnsi="宋体" w:eastAsia="宋体" w:cs="宋体"/>
          <w:color w:val="auto"/>
          <w:spacing w:val="0"/>
          <w:w w:val="100"/>
          <w:position w:val="0"/>
          <w:sz w:val="24"/>
          <w:szCs w:val="24"/>
          <w:highlight w:val="none"/>
          <w:lang w:val="en-US" w:eastAsia="zh-CN"/>
        </w:rPr>
        <w:t>天。</w:t>
      </w:r>
    </w:p>
    <w:p w14:paraId="06247B65">
      <w:pPr>
        <w:pageBreakBefore w:val="0"/>
        <w:widowControl w:val="0"/>
        <w:wordWrap/>
        <w:overflowPunct/>
        <w:topLinePunct w:val="0"/>
        <w:bidi w:val="0"/>
        <w:spacing w:beforeAutospacing="0" w:afterAutospacing="0" w:line="401" w:lineRule="exact"/>
        <w:ind w:left="465" w:leftChars="178" w:hanging="91" w:hangingChars="38"/>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 xml:space="preserve"> 5. 如果在规定的开标时间后，投标人在投标有效期内撤销投标，投标</w:t>
      </w:r>
      <w:r>
        <w:rPr>
          <w:rFonts w:hint="eastAsia" w:ascii="宋体" w:hAnsi="宋体" w:eastAsia="宋体" w:cs="宋体"/>
          <w:color w:val="auto"/>
          <w:spacing w:val="0"/>
          <w:w w:val="100"/>
          <w:position w:val="0"/>
          <w:sz w:val="24"/>
          <w:szCs w:val="24"/>
          <w:highlight w:val="none"/>
          <w:lang w:eastAsia="zh-CN"/>
        </w:rPr>
        <w:t>保证金不予退还。</w:t>
      </w:r>
    </w:p>
    <w:p w14:paraId="124720ED">
      <w:pPr>
        <w:pageBreakBefore w:val="0"/>
        <w:widowControl w:val="0"/>
        <w:wordWrap/>
        <w:overflowPunct/>
        <w:topLinePunct w:val="0"/>
        <w:bidi w:val="0"/>
        <w:spacing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6. 投标人同意提供按照贵方可能要求的与其投标有关的一切数据或资料，完全理解贵</w:t>
      </w:r>
    </w:p>
    <w:p w14:paraId="018DC78F">
      <w:pPr>
        <w:pageBreakBefore w:val="0"/>
        <w:widowControl w:val="0"/>
        <w:wordWrap/>
        <w:overflowPunct/>
        <w:topLinePunct w:val="0"/>
        <w:bidi w:val="0"/>
        <w:spacing w:before="120"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方不一定接受最低价的投标或收到的任何投标。</w:t>
      </w:r>
    </w:p>
    <w:p w14:paraId="287CDB24">
      <w:pPr>
        <w:pageBreakBefore w:val="0"/>
        <w:widowControl w:val="0"/>
        <w:wordWrap/>
        <w:overflowPunct/>
        <w:topLinePunct w:val="0"/>
        <w:bidi w:val="0"/>
        <w:spacing w:before="0" w:beforeLines="33" w:beforeAutospacing="0" w:afterAutospacing="0" w:line="218" w:lineRule="auto"/>
        <w:ind w:left="432"/>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7. 与本投标有关的一切正式往来信函请寄:</w:t>
      </w:r>
    </w:p>
    <w:p w14:paraId="0E7B24DD">
      <w:pPr>
        <w:pageBreakBefore w:val="0"/>
        <w:widowControl w:val="0"/>
        <w:wordWrap/>
        <w:overflowPunct/>
        <w:topLinePunct w:val="0"/>
        <w:bidi w:val="0"/>
        <w:spacing w:before="169" w:beforeAutospacing="0" w:afterAutospacing="0" w:line="401" w:lineRule="exact"/>
        <w:ind w:left="420" w:leftChars="200"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地址：</w:t>
      </w:r>
      <w:r>
        <w:rPr>
          <w:rFonts w:hint="eastAsia" w:ascii="宋体" w:hAnsi="宋体" w:eastAsia="宋体" w:cs="宋体"/>
          <w:color w:val="auto"/>
          <w:spacing w:val="0"/>
          <w:w w:val="100"/>
          <w:position w:val="0"/>
          <w:sz w:val="24"/>
          <w:szCs w:val="24"/>
          <w:highlight w:val="none"/>
          <w:u w:val="single"/>
          <w:lang w:val="en-US" w:eastAsia="zh-CN"/>
        </w:rPr>
        <w:t xml:space="preserve">                               </w:t>
      </w:r>
    </w:p>
    <w:p w14:paraId="28732D01">
      <w:pPr>
        <w:pageBreakBefore w:val="0"/>
        <w:widowControl w:val="0"/>
        <w:wordWrap/>
        <w:overflowPunct/>
        <w:topLinePunct w:val="0"/>
        <w:bidi w:val="0"/>
        <w:spacing w:before="0" w:beforeLines="50" w:beforeAutospacing="0" w:afterAutospacing="0" w:line="221" w:lineRule="auto"/>
        <w:ind w:left="420" w:leftChars="200"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电话：</w:t>
      </w:r>
      <w:r>
        <w:rPr>
          <w:rFonts w:hint="eastAsia" w:ascii="宋体" w:hAnsi="宋体" w:eastAsia="宋体" w:cs="宋体"/>
          <w:color w:val="auto"/>
          <w:spacing w:val="0"/>
          <w:w w:val="100"/>
          <w:position w:val="0"/>
          <w:sz w:val="24"/>
          <w:szCs w:val="24"/>
          <w:highlight w:val="none"/>
          <w:u w:val="single"/>
          <w:lang w:val="en-US" w:eastAsia="zh-CN"/>
        </w:rPr>
        <w:t xml:space="preserve">                               </w:t>
      </w:r>
    </w:p>
    <w:p w14:paraId="4C12AFEA">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电子邮件：</w:t>
      </w:r>
      <w:r>
        <w:rPr>
          <w:rFonts w:hint="eastAsia" w:ascii="宋体" w:hAnsi="宋体" w:eastAsia="宋体" w:cs="宋体"/>
          <w:color w:val="auto"/>
          <w:spacing w:val="0"/>
          <w:w w:val="100"/>
          <w:position w:val="0"/>
          <w:sz w:val="24"/>
          <w:szCs w:val="24"/>
          <w:highlight w:val="none"/>
          <w:u w:val="single"/>
          <w:lang w:val="en-US" w:eastAsia="zh-CN"/>
        </w:rPr>
        <w:t xml:space="preserve">                           </w:t>
      </w:r>
    </w:p>
    <w:p w14:paraId="0B82A6ED">
      <w:pPr>
        <w:pageBreakBefore w:val="0"/>
        <w:widowControl w:val="0"/>
        <w:wordWrap/>
        <w:overflowPunct/>
        <w:topLinePunct w:val="0"/>
        <w:bidi w:val="0"/>
        <w:spacing w:before="192" w:beforeAutospacing="0" w:afterAutospacing="0" w:line="219" w:lineRule="auto"/>
        <w:ind w:left="420" w:leftChars="200"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投标人盖章：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1743BD0B">
      <w:pPr>
        <w:pageBreakBefore w:val="0"/>
        <w:widowControl w:val="0"/>
        <w:wordWrap/>
        <w:overflowPunct/>
        <w:topLinePunct w:val="0"/>
        <w:bidi w:val="0"/>
        <w:spacing w:before="192" w:beforeAutospacing="0" w:afterAutospacing="0" w:line="401" w:lineRule="exact"/>
        <w:ind w:left="464" w:leftChars="221"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法定代表人或授权</w:t>
      </w:r>
      <w:r>
        <w:rPr>
          <w:rFonts w:hint="eastAsia" w:ascii="宋体" w:hAnsi="宋体" w:eastAsia="宋体" w:cs="宋体"/>
          <w:color w:val="auto"/>
          <w:spacing w:val="0"/>
          <w:w w:val="100"/>
          <w:position w:val="0"/>
          <w:sz w:val="24"/>
          <w:szCs w:val="24"/>
          <w:highlight w:val="none"/>
          <w:lang w:eastAsia="zh-CN"/>
        </w:rPr>
        <w:t>代表（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w:t>
      </w:r>
      <w:r>
        <w:rPr>
          <w:rFonts w:hint="eastAsia" w:ascii="宋体" w:hAnsi="宋体" w:eastAsia="宋体" w:cs="宋体"/>
          <w:color w:val="auto"/>
          <w:spacing w:val="0"/>
          <w:w w:val="100"/>
          <w:position w:val="0"/>
          <w:sz w:val="24"/>
          <w:szCs w:val="24"/>
          <w:highlight w:val="none"/>
          <w:lang w:eastAsia="zh-CN"/>
        </w:rPr>
        <w:t>或签章：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0B72878B">
      <w:pPr>
        <w:pageBreakBefore w:val="0"/>
        <w:widowControl w:val="0"/>
        <w:wordWrap/>
        <w:overflowPunct/>
        <w:topLinePunct w:val="0"/>
        <w:bidi w:val="0"/>
        <w:spacing w:before="0" w:beforeLines="50" w:beforeAutospacing="0" w:line="220" w:lineRule="auto"/>
        <w:ind w:left="420" w:leftChars="200" w:firstLine="0" w:firstLineChars="0"/>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日期：</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日</w:t>
      </w:r>
    </w:p>
    <w:p w14:paraId="7165767D">
      <w:pPr>
        <w:pageBreakBefore w:val="0"/>
        <w:widowControl w:val="0"/>
        <w:wordWrap/>
        <w:overflowPunct/>
        <w:topLinePunct w:val="0"/>
        <w:bidi w:val="0"/>
        <w:spacing w:line="220" w:lineRule="auto"/>
        <w:rPr>
          <w:rFonts w:hint="eastAsia" w:ascii="宋体" w:hAnsi="宋体" w:eastAsia="宋体" w:cs="宋体"/>
          <w:color w:val="auto"/>
          <w:spacing w:val="0"/>
          <w:w w:val="100"/>
          <w:position w:val="0"/>
          <w:sz w:val="24"/>
          <w:szCs w:val="24"/>
          <w:highlight w:val="none"/>
          <w:lang w:eastAsia="zh-CN"/>
        </w:rPr>
        <w:sectPr>
          <w:footerReference r:id="rId7" w:type="default"/>
          <w:pgSz w:w="11906" w:h="16839"/>
          <w:pgMar w:top="1259" w:right="1168" w:bottom="1259" w:left="1168" w:header="0" w:footer="1200" w:gutter="0"/>
          <w:cols w:space="720" w:num="1"/>
        </w:sectPr>
      </w:pPr>
    </w:p>
    <w:p w14:paraId="2BAD5E5A">
      <w:pPr>
        <w:pageBreakBefore w:val="0"/>
        <w:widowControl w:val="0"/>
        <w:wordWrap/>
        <w:overflowPunct/>
        <w:topLinePunct w:val="0"/>
        <w:bidi w:val="0"/>
        <w:spacing w:before="48" w:line="219" w:lineRule="auto"/>
        <w:ind w:left="3323"/>
        <w:outlineLvl w:val="1"/>
        <w:rPr>
          <w:rFonts w:hint="eastAsia" w:ascii="宋体" w:hAnsi="宋体" w:eastAsia="宋体" w:cs="宋体"/>
          <w:color w:val="auto"/>
          <w:spacing w:val="0"/>
          <w:w w:val="100"/>
          <w:position w:val="0"/>
          <w:sz w:val="24"/>
          <w:szCs w:val="24"/>
          <w:highlight w:val="none"/>
          <w:lang w:eastAsia="zh-CN"/>
        </w:rPr>
      </w:pPr>
      <w:bookmarkStart w:id="110" w:name="bookmark55"/>
      <w:bookmarkEnd w:id="110"/>
      <w:bookmarkStart w:id="111" w:name="_Toc704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2.开标一览表</w:t>
      </w:r>
      <w:bookmarkEnd w:id="111"/>
    </w:p>
    <w:p w14:paraId="353FA696">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0EB4A9ED">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125406AB">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2441E776">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E0283F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4A0CF13">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53F619B">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652214C">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9C0C51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510316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E3659F1">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C2C9AA2">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26B063F">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17997B9">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FA0B65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D64BFDE">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7040BB5">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3EFD755">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258E9B67">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039A9190">
      <w:pPr>
        <w:pageBreakBefore w:val="0"/>
        <w:widowControl w:val="0"/>
        <w:wordWrap/>
        <w:overflowPunct/>
        <w:topLinePunct w:val="0"/>
        <w:bidi w:val="0"/>
        <w:spacing w:line="241" w:lineRule="auto"/>
        <w:rPr>
          <w:rFonts w:hint="eastAsia" w:ascii="宋体" w:hAnsi="宋体" w:eastAsia="宋体" w:cs="宋体"/>
          <w:color w:val="auto"/>
          <w:spacing w:val="0"/>
          <w:w w:val="100"/>
          <w:position w:val="0"/>
          <w:highlight w:val="none"/>
          <w:lang w:eastAsia="zh-CN"/>
        </w:rPr>
      </w:pPr>
    </w:p>
    <w:p w14:paraId="4EED9109">
      <w:pPr>
        <w:pageBreakBefore w:val="0"/>
        <w:widowControl w:val="0"/>
        <w:wordWrap/>
        <w:overflowPunct/>
        <w:topLinePunct w:val="0"/>
        <w:bidi w:val="0"/>
        <w:spacing w:before="78" w:line="218" w:lineRule="auto"/>
        <w:ind w:left="3323"/>
        <w:outlineLvl w:val="1"/>
        <w:rPr>
          <w:rFonts w:hint="eastAsia" w:ascii="宋体" w:hAnsi="宋体" w:eastAsia="宋体" w:cs="宋体"/>
          <w:color w:val="auto"/>
          <w:spacing w:val="0"/>
          <w:w w:val="100"/>
          <w:position w:val="0"/>
          <w:sz w:val="24"/>
          <w:szCs w:val="24"/>
          <w:highlight w:val="none"/>
          <w:lang w:eastAsia="zh-CN"/>
        </w:rPr>
      </w:pPr>
      <w:bookmarkStart w:id="112" w:name="bookmark56"/>
      <w:bookmarkEnd w:id="112"/>
      <w:bookmarkStart w:id="113" w:name="_Toc1347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3.分项报价表</w:t>
      </w:r>
      <w:bookmarkEnd w:id="113"/>
    </w:p>
    <w:p w14:paraId="37757187">
      <w:pPr>
        <w:pageBreakBefore w:val="0"/>
        <w:widowControl w:val="0"/>
        <w:wordWrap/>
        <w:overflowPunct/>
        <w:topLinePunct w:val="0"/>
        <w:bidi w:val="0"/>
        <w:spacing w:line="363" w:lineRule="auto"/>
        <w:rPr>
          <w:rFonts w:hint="eastAsia" w:ascii="宋体" w:hAnsi="宋体" w:eastAsia="宋体" w:cs="宋体"/>
          <w:color w:val="auto"/>
          <w:spacing w:val="0"/>
          <w:w w:val="100"/>
          <w:position w:val="0"/>
          <w:highlight w:val="none"/>
          <w:lang w:eastAsia="zh-CN"/>
        </w:rPr>
      </w:pPr>
    </w:p>
    <w:p w14:paraId="714A56FB">
      <w:pPr>
        <w:pageBreakBefore w:val="0"/>
        <w:widowControl w:val="0"/>
        <w:wordWrap/>
        <w:overflowPunct/>
        <w:topLinePunct w:val="0"/>
        <w:bidi w:val="0"/>
        <w:spacing w:before="78" w:line="219" w:lineRule="auto"/>
        <w:ind w:left="2152"/>
        <w:rPr>
          <w:rFonts w:hint="eastAsia" w:ascii="宋体" w:hAnsi="宋体" w:eastAsia="宋体" w:cs="宋体"/>
          <w:color w:val="auto"/>
          <w:spacing w:val="0"/>
          <w:w w:val="100"/>
          <w:position w:val="0"/>
          <w:sz w:val="24"/>
          <w:szCs w:val="24"/>
          <w:highlight w:val="none"/>
          <w:lang w:eastAsia="zh-CN"/>
        </w:rPr>
        <w:sectPr>
          <w:footerReference r:id="rId8" w:type="default"/>
          <w:pgSz w:w="11906" w:h="16839"/>
          <w:pgMar w:top="1426" w:right="1785" w:bottom="1429" w:left="1785" w:header="0" w:footer="1200" w:gutter="0"/>
          <w:cols w:space="720" w:num="1"/>
        </w:sect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投标人按照</w:t>
      </w:r>
      <w:r>
        <w:rPr>
          <w:rFonts w:hint="eastAsia" w:ascii="宋体" w:hAnsi="宋体" w:eastAsia="宋体" w:cs="宋体"/>
          <w:b/>
          <w:bCs/>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新点投标文件制作格</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式编制</w:t>
      </w:r>
    </w:p>
    <w:p w14:paraId="0C8683FC">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highlight w:val="none"/>
          <w:lang w:eastAsia="zh-CN"/>
        </w:rPr>
      </w:pPr>
      <w:bookmarkStart w:id="114" w:name="bookmark57"/>
      <w:bookmarkEnd w:id="114"/>
      <w:bookmarkStart w:id="115" w:name="_Toc1446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4.开标一览明细表</w:t>
      </w:r>
      <w:bookmarkEnd w:id="115"/>
    </w:p>
    <w:p w14:paraId="150B170B">
      <w:pPr>
        <w:pageBreakBefore w:val="0"/>
        <w:widowControl w:val="0"/>
        <w:wordWrap/>
        <w:overflowPunct/>
        <w:topLinePunct w:val="0"/>
        <w:bidi w:val="0"/>
        <w:spacing w:before="182" w:line="220" w:lineRule="auto"/>
        <w:ind w:left="129"/>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投标人名称：</w:t>
      </w:r>
    </w:p>
    <w:p w14:paraId="6CEE51BB">
      <w:pPr>
        <w:pageBreakBefore w:val="0"/>
        <w:widowControl w:val="0"/>
        <w:wordWrap/>
        <w:overflowPunct/>
        <w:topLinePunct w:val="0"/>
        <w:bidi w:val="0"/>
        <w:spacing w:before="182" w:line="219" w:lineRule="auto"/>
        <w:ind w:left="130"/>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项目编号（包号）：</w:t>
      </w:r>
    </w:p>
    <w:p w14:paraId="3804D887">
      <w:pPr>
        <w:pageBreakBefore w:val="0"/>
        <w:widowControl w:val="0"/>
        <w:wordWrap/>
        <w:overflowPunct/>
        <w:topLinePunct w:val="0"/>
        <w:bidi w:val="0"/>
        <w:spacing w:line="68" w:lineRule="exact"/>
        <w:rPr>
          <w:rFonts w:hint="eastAsia" w:ascii="宋体" w:hAnsi="宋体" w:eastAsia="宋体" w:cs="宋体"/>
          <w:color w:val="auto"/>
          <w:spacing w:val="0"/>
          <w:w w:val="100"/>
          <w:position w:val="0"/>
          <w:highlight w:val="none"/>
        </w:rPr>
      </w:pPr>
    </w:p>
    <w:tbl>
      <w:tblPr>
        <w:tblStyle w:val="26"/>
        <w:tblW w:w="160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714"/>
        <w:gridCol w:w="1758"/>
        <w:gridCol w:w="1236"/>
        <w:gridCol w:w="1236"/>
        <w:gridCol w:w="414"/>
        <w:gridCol w:w="822"/>
        <w:gridCol w:w="1236"/>
        <w:gridCol w:w="1236"/>
        <w:gridCol w:w="1236"/>
        <w:gridCol w:w="1236"/>
        <w:gridCol w:w="1236"/>
        <w:gridCol w:w="1236"/>
        <w:gridCol w:w="1236"/>
        <w:gridCol w:w="1244"/>
      </w:tblGrid>
      <w:tr w14:paraId="73B3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905" w:hRule="atLeast"/>
          <w:jc w:val="center"/>
        </w:trPr>
        <w:tc>
          <w:tcPr>
            <w:tcW w:w="714" w:type="dxa"/>
          </w:tcPr>
          <w:p w14:paraId="4E377F6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E56C52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53138D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0B0B56AC">
            <w:pPr>
              <w:keepNext w:val="0"/>
              <w:keepLines w:val="0"/>
              <w:pageBreakBefore w:val="0"/>
              <w:widowControl w:val="0"/>
              <w:kinsoku w:val="0"/>
              <w:wordWrap/>
              <w:overflowPunct/>
              <w:topLinePunct w:val="0"/>
              <w:autoSpaceDE w:val="0"/>
              <w:autoSpaceDN w:val="0"/>
              <w:bidi w:val="0"/>
              <w:adjustRightInd w:val="0"/>
              <w:snapToGrid w:val="0"/>
              <w:spacing w:line="240" w:lineRule="auto"/>
              <w:ind w:left="187"/>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序号</w:t>
            </w:r>
          </w:p>
        </w:tc>
        <w:tc>
          <w:tcPr>
            <w:tcW w:w="1758" w:type="dxa"/>
          </w:tcPr>
          <w:p w14:paraId="3871F62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C9E99D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5AB8307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AF2B6B5">
            <w:pPr>
              <w:keepNext w:val="0"/>
              <w:keepLines w:val="0"/>
              <w:pageBreakBefore w:val="0"/>
              <w:widowControl w:val="0"/>
              <w:kinsoku w:val="0"/>
              <w:wordWrap/>
              <w:overflowPunct/>
              <w:topLinePunct w:val="0"/>
              <w:autoSpaceDE w:val="0"/>
              <w:autoSpaceDN w:val="0"/>
              <w:bidi w:val="0"/>
              <w:adjustRightInd w:val="0"/>
              <w:snapToGrid w:val="0"/>
              <w:spacing w:line="240" w:lineRule="auto"/>
              <w:ind w:left="34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名称</w:t>
            </w:r>
          </w:p>
        </w:tc>
        <w:tc>
          <w:tcPr>
            <w:tcW w:w="1236" w:type="dxa"/>
          </w:tcPr>
          <w:p w14:paraId="5FBB316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5E319E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3FD1D11">
            <w:pPr>
              <w:keepNext w:val="0"/>
              <w:keepLines w:val="0"/>
              <w:pageBreakBefore w:val="0"/>
              <w:widowControl w:val="0"/>
              <w:kinsoku w:val="0"/>
              <w:wordWrap/>
              <w:overflowPunct/>
              <w:topLinePunct w:val="0"/>
              <w:autoSpaceDE w:val="0"/>
              <w:autoSpaceDN w:val="0"/>
              <w:bidi w:val="0"/>
              <w:adjustRightInd w:val="0"/>
              <w:snapToGrid w:val="0"/>
              <w:spacing w:line="240" w:lineRule="auto"/>
              <w:ind w:left="312"/>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制造商、</w:t>
            </w:r>
          </w:p>
          <w:p w14:paraId="13D5983E">
            <w:pPr>
              <w:keepNext w:val="0"/>
              <w:keepLines w:val="0"/>
              <w:pageBreakBefore w:val="0"/>
              <w:widowControl w:val="0"/>
              <w:kinsoku w:val="0"/>
              <w:wordWrap/>
              <w:overflowPunct/>
              <w:topLinePunct w:val="0"/>
              <w:autoSpaceDE w:val="0"/>
              <w:autoSpaceDN w:val="0"/>
              <w:bidi w:val="0"/>
              <w:adjustRightInd w:val="0"/>
              <w:snapToGrid w:val="0"/>
              <w:spacing w:line="240" w:lineRule="auto"/>
              <w:ind w:left="430" w:leftChars="0" w:hanging="10" w:firstLineChars="0"/>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品牌</w:t>
            </w:r>
          </w:p>
        </w:tc>
        <w:tc>
          <w:tcPr>
            <w:tcW w:w="1236" w:type="dxa"/>
          </w:tcPr>
          <w:p w14:paraId="32A7F84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06314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C78D15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064F50DA">
            <w:pPr>
              <w:keepNext w:val="0"/>
              <w:keepLines w:val="0"/>
              <w:pageBreakBefore w:val="0"/>
              <w:widowControl w:val="0"/>
              <w:kinsoku w:val="0"/>
              <w:wordWrap/>
              <w:overflowPunct/>
              <w:topLinePunct w:val="0"/>
              <w:autoSpaceDE w:val="0"/>
              <w:autoSpaceDN w:val="0"/>
              <w:bidi w:val="0"/>
              <w:adjustRightInd w:val="0"/>
              <w:snapToGrid w:val="0"/>
              <w:spacing w:line="240" w:lineRule="auto"/>
              <w:ind w:left="107"/>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规格、型号</w:t>
            </w:r>
          </w:p>
        </w:tc>
        <w:tc>
          <w:tcPr>
            <w:tcW w:w="1236" w:type="dxa"/>
            <w:gridSpan w:val="2"/>
          </w:tcPr>
          <w:p w14:paraId="18F6F78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0D7491E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1A44C5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7D16FDE2">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产地</w:t>
            </w:r>
          </w:p>
        </w:tc>
        <w:tc>
          <w:tcPr>
            <w:tcW w:w="1236" w:type="dxa"/>
          </w:tcPr>
          <w:p w14:paraId="38FDD2B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6DD7E8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4ED5AF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5248BF85">
            <w:pPr>
              <w:keepNext w:val="0"/>
              <w:keepLines w:val="0"/>
              <w:pageBreakBefore w:val="0"/>
              <w:widowControl w:val="0"/>
              <w:kinsoku w:val="0"/>
              <w:wordWrap/>
              <w:overflowPunct/>
              <w:topLinePunct w:val="0"/>
              <w:autoSpaceDE w:val="0"/>
              <w:autoSpaceDN w:val="0"/>
              <w:bidi w:val="0"/>
              <w:adjustRightInd w:val="0"/>
              <w:snapToGrid w:val="0"/>
              <w:spacing w:line="240" w:lineRule="auto"/>
              <w:ind w:left="364"/>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数量</w:t>
            </w:r>
          </w:p>
        </w:tc>
        <w:tc>
          <w:tcPr>
            <w:tcW w:w="1236" w:type="dxa"/>
          </w:tcPr>
          <w:p w14:paraId="29614F0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3F4EA11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2D3A19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43ED699B">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单价</w:t>
            </w:r>
          </w:p>
          <w:p w14:paraId="7D8ECA5D">
            <w:pPr>
              <w:keepNext w:val="0"/>
              <w:keepLines w:val="0"/>
              <w:pageBreakBefore w:val="0"/>
              <w:widowControl w:val="0"/>
              <w:kinsoku w:val="0"/>
              <w:wordWrap/>
              <w:overflowPunct/>
              <w:topLinePunct w:val="0"/>
              <w:autoSpaceDE w:val="0"/>
              <w:autoSpaceDN w:val="0"/>
              <w:bidi w:val="0"/>
              <w:adjustRightInd w:val="0"/>
              <w:snapToGrid w:val="0"/>
              <w:spacing w:line="240" w:lineRule="auto"/>
              <w:ind w:left="12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（元）</w:t>
            </w:r>
          </w:p>
        </w:tc>
        <w:tc>
          <w:tcPr>
            <w:tcW w:w="1236" w:type="dxa"/>
          </w:tcPr>
          <w:p w14:paraId="3B57703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B8E67CE">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2C172B1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11B30D6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总价</w:t>
            </w:r>
          </w:p>
          <w:p w14:paraId="6CA0FF2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（元）</w:t>
            </w:r>
          </w:p>
        </w:tc>
        <w:tc>
          <w:tcPr>
            <w:tcW w:w="1236" w:type="dxa"/>
            <w:vAlign w:val="center"/>
          </w:tcPr>
          <w:p w14:paraId="226F448E">
            <w:pPr>
              <w:keepNext w:val="0"/>
              <w:keepLines w:val="0"/>
              <w:pageBreakBefore w:val="0"/>
              <w:widowControl w:val="0"/>
              <w:kinsoku w:val="0"/>
              <w:wordWrap/>
              <w:overflowPunct/>
              <w:topLinePunct w:val="0"/>
              <w:autoSpaceDE w:val="0"/>
              <w:autoSpaceDN w:val="0"/>
              <w:bidi w:val="0"/>
              <w:adjustRightInd w:val="0"/>
              <w:snapToGrid w:val="0"/>
              <w:spacing w:line="240" w:lineRule="auto"/>
              <w:ind w:right="133"/>
              <w:jc w:val="center"/>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eastAsia="zh-CN"/>
              </w:rPr>
              <w:t>是否属于中小微企业、监狱企业或残疾</w:t>
            </w:r>
            <w:r>
              <w:rPr>
                <w:rFonts w:hint="eastAsia" w:ascii="宋体" w:hAnsi="宋体" w:eastAsia="宋体" w:cs="宋体"/>
                <w:color w:val="auto"/>
                <w:spacing w:val="0"/>
                <w:w w:val="100"/>
                <w:position w:val="0"/>
                <w:sz w:val="24"/>
                <w:szCs w:val="24"/>
                <w:highlight w:val="none"/>
              </w:rPr>
              <w:t>人福利性单</w:t>
            </w:r>
            <w:r>
              <w:rPr>
                <w:rFonts w:hint="eastAsia" w:ascii="宋体" w:hAnsi="宋体" w:eastAsia="宋体" w:cs="宋体"/>
                <w:color w:val="auto"/>
                <w:spacing w:val="0"/>
                <w:w w:val="100"/>
                <w:position w:val="0"/>
                <w:sz w:val="24"/>
                <w:szCs w:val="24"/>
                <w:highlight w:val="none"/>
                <w:lang w:val="en-US" w:eastAsia="zh-CN"/>
              </w:rPr>
              <w:t>位</w:t>
            </w:r>
          </w:p>
        </w:tc>
        <w:tc>
          <w:tcPr>
            <w:tcW w:w="1236" w:type="dxa"/>
            <w:vAlign w:val="center"/>
          </w:tcPr>
          <w:p w14:paraId="57DEA6DB">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eastAsia="zh-CN"/>
              </w:rPr>
              <w:t>是否属于品目清单内的节能产品</w:t>
            </w:r>
          </w:p>
        </w:tc>
        <w:tc>
          <w:tcPr>
            <w:tcW w:w="1236" w:type="dxa"/>
            <w:vAlign w:val="center"/>
          </w:tcPr>
          <w:p w14:paraId="4FB5E0ED">
            <w:pPr>
              <w:keepNext w:val="0"/>
              <w:keepLines w:val="0"/>
              <w:pageBreakBefore w:val="0"/>
              <w:widowControl w:val="0"/>
              <w:kinsoku w:val="0"/>
              <w:wordWrap/>
              <w:overflowPunct/>
              <w:topLinePunct w:val="0"/>
              <w:autoSpaceDE w:val="0"/>
              <w:autoSpaceDN w:val="0"/>
              <w:bidi w:val="0"/>
              <w:adjustRightInd w:val="0"/>
              <w:snapToGrid w:val="0"/>
              <w:spacing w:line="240" w:lineRule="auto"/>
              <w:ind w:left="0" w:leftChars="0" w:hanging="7" w:firstLineChars="0"/>
              <w:jc w:val="center"/>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是否属于品目清单内的</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w:t>
            </w:r>
          </w:p>
        </w:tc>
        <w:tc>
          <w:tcPr>
            <w:tcW w:w="1236" w:type="dxa"/>
            <w:vAlign w:val="center"/>
          </w:tcPr>
          <w:p w14:paraId="5FD3A780">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rPr>
              <w:t>是否属于本国产品</w:t>
            </w:r>
          </w:p>
        </w:tc>
        <w:tc>
          <w:tcPr>
            <w:tcW w:w="1244" w:type="dxa"/>
            <w:vAlign w:val="center"/>
          </w:tcPr>
          <w:p w14:paraId="1C5BD91B">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备注</w:t>
            </w:r>
          </w:p>
        </w:tc>
      </w:tr>
      <w:tr w14:paraId="6B338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61" w:hRule="atLeast"/>
          <w:jc w:val="center"/>
        </w:trPr>
        <w:tc>
          <w:tcPr>
            <w:tcW w:w="714" w:type="dxa"/>
          </w:tcPr>
          <w:p w14:paraId="73D0C02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p w14:paraId="6931DD04">
            <w:pPr>
              <w:keepNext w:val="0"/>
              <w:keepLines w:val="0"/>
              <w:pageBreakBefore w:val="0"/>
              <w:widowControl w:val="0"/>
              <w:kinsoku w:val="0"/>
              <w:wordWrap/>
              <w:overflowPunct/>
              <w:topLinePunct w:val="0"/>
              <w:autoSpaceDE w:val="0"/>
              <w:autoSpaceDN w:val="0"/>
              <w:bidi w:val="0"/>
              <w:adjustRightInd w:val="0"/>
              <w:snapToGrid w:val="0"/>
              <w:spacing w:line="240" w:lineRule="auto"/>
              <w:ind w:left="386"/>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1</w:t>
            </w:r>
          </w:p>
        </w:tc>
        <w:tc>
          <w:tcPr>
            <w:tcW w:w="1758" w:type="dxa"/>
          </w:tcPr>
          <w:p w14:paraId="30D3C75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142DD2E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A37A9E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2CB2CC62">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4DF522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C295F1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2D609E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vAlign w:val="center"/>
          </w:tcPr>
          <w:p w14:paraId="0E7D58E7">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2F35E1E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1</w:t>
            </w:r>
          </w:p>
        </w:tc>
        <w:tc>
          <w:tcPr>
            <w:tcW w:w="1236" w:type="dxa"/>
            <w:vAlign w:val="center"/>
          </w:tcPr>
          <w:p w14:paraId="2A004E24">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30D83136">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val="en-US" w:eastAsia="zh-CN"/>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rPr>
              <w:t xml:space="preserve"> </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2</w:t>
            </w:r>
          </w:p>
        </w:tc>
        <w:tc>
          <w:tcPr>
            <w:tcW w:w="1236" w:type="dxa"/>
            <w:vAlign w:val="center"/>
          </w:tcPr>
          <w:p w14:paraId="1F6EFE58">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w:t>
            </w:r>
          </w:p>
          <w:p w14:paraId="7203CB95">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2"/>
                <w:szCs w:val="22"/>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3</w:t>
            </w:r>
          </w:p>
        </w:tc>
        <w:tc>
          <w:tcPr>
            <w:tcW w:w="1236" w:type="dxa"/>
          </w:tcPr>
          <w:p w14:paraId="6F4DBF21">
            <w:pPr>
              <w:keepNext w:val="0"/>
              <w:keepLines w:val="0"/>
              <w:pageBreakBefore w:val="0"/>
              <w:widowControl w:val="0"/>
              <w:kinsoku w:val="0"/>
              <w:wordWrap/>
              <w:overflowPunct/>
              <w:topLinePunct w:val="0"/>
              <w:autoSpaceDE w:val="0"/>
              <w:autoSpaceDN w:val="0"/>
              <w:bidi w:val="0"/>
              <w:adjustRightInd w:val="0"/>
              <w:snapToGrid w:val="0"/>
              <w:spacing w:line="240" w:lineRule="auto"/>
              <w:jc w:val="center"/>
              <w:textAlignment w:val="baseline"/>
              <w:rPr>
                <w:rFonts w:hint="eastAsia" w:ascii="宋体" w:hAnsi="宋体" w:eastAsia="宋体" w:cs="宋体"/>
                <w:color w:val="auto"/>
                <w:spacing w:val="0"/>
                <w:w w:val="100"/>
                <w:position w:val="0"/>
                <w:sz w:val="20"/>
                <w:szCs w:val="20"/>
                <w:highlight w:val="none"/>
              </w:rPr>
            </w:pPr>
            <w:r>
              <w:rPr>
                <w:rFonts w:hint="eastAsia" w:ascii="宋体" w:hAnsi="宋体" w:eastAsia="宋体" w:cs="宋体"/>
                <w:color w:val="auto"/>
                <w:spacing w:val="0"/>
                <w:w w:val="100"/>
                <w:position w:val="0"/>
                <w:sz w:val="22"/>
                <w:szCs w:val="22"/>
                <w:highlight w:val="none"/>
                <w14:textOutline w14:w="4356" w14:cap="sq" w14:cmpd="sng" w14:algn="ctr">
                  <w14:solidFill>
                    <w14:srgbClr w14:val="000000"/>
                  </w14:solidFill>
                  <w14:prstDash w14:val="solid"/>
                  <w14:bevel/>
                </w14:textOutline>
              </w:rPr>
              <w:t>填表须知：详见注</w:t>
            </w:r>
            <w:r>
              <w:rPr>
                <w:rFonts w:hint="eastAsia" w:ascii="宋体" w:hAnsi="宋体" w:eastAsia="宋体" w:cs="宋体"/>
                <w:color w:val="auto"/>
                <w:spacing w:val="0"/>
                <w:w w:val="100"/>
                <w:position w:val="0"/>
                <w:sz w:val="22"/>
                <w:szCs w:val="22"/>
                <w:highlight w:val="none"/>
                <w:lang w:val="en-US" w:eastAsia="zh-CN"/>
                <w14:textOutline w14:w="4356" w14:cap="sq" w14:cmpd="sng" w14:algn="ctr">
                  <w14:solidFill>
                    <w14:srgbClr w14:val="000000"/>
                  </w14:solidFill>
                  <w14:prstDash w14:val="solid"/>
                  <w14:bevel/>
                </w14:textOutline>
              </w:rPr>
              <w:t>5</w:t>
            </w:r>
          </w:p>
        </w:tc>
        <w:tc>
          <w:tcPr>
            <w:tcW w:w="1244" w:type="dxa"/>
          </w:tcPr>
          <w:p w14:paraId="2B2C4561">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2B14A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1FD5A064">
            <w:pPr>
              <w:keepNext w:val="0"/>
              <w:keepLines w:val="0"/>
              <w:pageBreakBefore w:val="0"/>
              <w:widowControl w:val="0"/>
              <w:kinsoku w:val="0"/>
              <w:wordWrap/>
              <w:overflowPunct/>
              <w:topLinePunct w:val="0"/>
              <w:autoSpaceDE w:val="0"/>
              <w:autoSpaceDN w:val="0"/>
              <w:bidi w:val="0"/>
              <w:adjustRightInd w:val="0"/>
              <w:snapToGrid w:val="0"/>
              <w:spacing w:line="240" w:lineRule="auto"/>
              <w:ind w:left="371"/>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w:t>
            </w:r>
          </w:p>
        </w:tc>
        <w:tc>
          <w:tcPr>
            <w:tcW w:w="1758" w:type="dxa"/>
          </w:tcPr>
          <w:p w14:paraId="02C5172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2915219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ACF0D9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6C71DC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D47B27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9F6B0AE">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CE83AC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C8F7FE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865D3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EBDA15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21E5FD8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690F943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33655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396561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758" w:type="dxa"/>
          </w:tcPr>
          <w:p w14:paraId="311AA9E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F8C8C8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B6E428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292FE5D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25483BC">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03E14F2">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664CC0A9">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C3EAF1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680989B">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A1F696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1DBB51D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26E9AAE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22A54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1" w:hRule="atLeast"/>
          <w:jc w:val="center"/>
        </w:trPr>
        <w:tc>
          <w:tcPr>
            <w:tcW w:w="714" w:type="dxa"/>
          </w:tcPr>
          <w:p w14:paraId="7FEBD2FF">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758" w:type="dxa"/>
          </w:tcPr>
          <w:p w14:paraId="65596AC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1A9073C7">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27C8F30">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gridSpan w:val="2"/>
          </w:tcPr>
          <w:p w14:paraId="6EC503C6">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302D175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73AFA23">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4470656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2E0CF684">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5B53E1E5">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052FD24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36" w:type="dxa"/>
          </w:tcPr>
          <w:p w14:paraId="731F481A">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c>
          <w:tcPr>
            <w:tcW w:w="1244" w:type="dxa"/>
          </w:tcPr>
          <w:p w14:paraId="2984E61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highlight w:val="none"/>
              </w:rPr>
            </w:pPr>
          </w:p>
        </w:tc>
      </w:tr>
      <w:tr w14:paraId="7116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0" w:hRule="atLeast"/>
          <w:jc w:val="center"/>
        </w:trPr>
        <w:tc>
          <w:tcPr>
            <w:tcW w:w="5358" w:type="dxa"/>
            <w:gridSpan w:val="5"/>
          </w:tcPr>
          <w:p w14:paraId="27CCBD9B">
            <w:pPr>
              <w:keepNext w:val="0"/>
              <w:keepLines w:val="0"/>
              <w:pageBreakBefore w:val="0"/>
              <w:widowControl w:val="0"/>
              <w:kinsoku w:val="0"/>
              <w:wordWrap/>
              <w:overflowPunct/>
              <w:topLinePunct w:val="0"/>
              <w:autoSpaceDE w:val="0"/>
              <w:autoSpaceDN w:val="0"/>
              <w:bidi w:val="0"/>
              <w:adjustRightInd w:val="0"/>
              <w:snapToGrid w:val="0"/>
              <w:spacing w:line="240" w:lineRule="auto"/>
              <w:ind w:left="112"/>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合     计：（大写）</w:t>
            </w:r>
          </w:p>
        </w:tc>
        <w:tc>
          <w:tcPr>
            <w:tcW w:w="5766" w:type="dxa"/>
            <w:gridSpan w:val="5"/>
          </w:tcPr>
          <w:p w14:paraId="1D09F928">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人民币：（小写）</w:t>
            </w:r>
          </w:p>
        </w:tc>
        <w:tc>
          <w:tcPr>
            <w:tcW w:w="4952" w:type="dxa"/>
            <w:gridSpan w:val="4"/>
          </w:tcPr>
          <w:p w14:paraId="5619393D">
            <w:pPr>
              <w:pStyle w:val="27"/>
              <w:keepNext w:val="0"/>
              <w:keepLines w:val="0"/>
              <w:pageBreakBefore w:val="0"/>
              <w:widowControl w:val="0"/>
              <w:kinsoku w:val="0"/>
              <w:wordWrap/>
              <w:overflowPunct/>
              <w:topLinePunct w:val="0"/>
              <w:autoSpaceDE w:val="0"/>
              <w:autoSpaceDN w:val="0"/>
              <w:bidi w:val="0"/>
              <w:adjustRightInd w:val="0"/>
              <w:snapToGrid w:val="0"/>
              <w:spacing w:line="240" w:lineRule="auto"/>
              <w:textAlignment w:val="baseline"/>
              <w:rPr>
                <w:rFonts w:hint="eastAsia" w:ascii="宋体" w:hAnsi="宋体" w:eastAsia="宋体" w:cs="宋体"/>
                <w:color w:val="auto"/>
                <w:spacing w:val="0"/>
                <w:w w:val="100"/>
                <w:position w:val="0"/>
                <w:sz w:val="24"/>
                <w:szCs w:val="24"/>
                <w:highlight w:val="none"/>
              </w:rPr>
            </w:pPr>
          </w:p>
        </w:tc>
      </w:tr>
    </w:tbl>
    <w:p w14:paraId="2BB7B994">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45" w:right="126" w:rightChars="60" w:hanging="1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注：1、中、小、微企业、监狱或残疾人福利性单位产品须在明细表中注明，并在投标文件中提供相应材料，否则产生的一切后果由投标人承担。</w:t>
      </w:r>
    </w:p>
    <w:p w14:paraId="5B9BC7C4">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属于《节能产品政府采购品目清单》的产品备注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hint="eastAsia" w:ascii="宋体" w:hAnsi="宋体" w:eastAsia="宋体" w:cs="宋体"/>
          <w:color w:val="auto"/>
          <w:spacing w:val="0"/>
          <w:w w:val="100"/>
          <w:position w:val="0"/>
          <w:sz w:val="24"/>
          <w:szCs w:val="24"/>
          <w:highlight w:val="none"/>
          <w:lang w:eastAsia="zh-CN"/>
        </w:rPr>
        <w:t>明，同时提供国家确定的认证机构出具的、处于有效期之内的节能产品认证证书</w:t>
      </w:r>
      <w:r>
        <w:rPr>
          <w:rFonts w:hint="eastAsia" w:ascii="宋体" w:hAnsi="宋体" w:eastAsia="宋体" w:cs="宋体"/>
          <w:color w:val="auto"/>
          <w:spacing w:val="0"/>
          <w:w w:val="100"/>
          <w:position w:val="0"/>
          <w:sz w:val="24"/>
          <w:szCs w:val="24"/>
          <w:highlight w:val="none"/>
          <w:lang w:val="en-US" w:eastAsia="zh-CN"/>
        </w:rPr>
        <w:t>原件原</w:t>
      </w:r>
      <w:r>
        <w:rPr>
          <w:rFonts w:hint="eastAsia" w:ascii="宋体" w:hAnsi="宋体" w:eastAsia="宋体" w:cs="宋体"/>
          <w:color w:val="auto"/>
          <w:spacing w:val="0"/>
          <w:w w:val="100"/>
          <w:position w:val="0"/>
          <w:sz w:val="24"/>
          <w:szCs w:val="24"/>
          <w:highlight w:val="none"/>
          <w:lang w:eastAsia="zh-CN"/>
        </w:rPr>
        <w:t>色扫描件，未提供的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hint="eastAsia" w:ascii="宋体" w:hAnsi="宋体" w:eastAsia="宋体" w:cs="宋体"/>
          <w:color w:val="auto"/>
          <w:spacing w:val="0"/>
          <w:w w:val="100"/>
          <w:position w:val="0"/>
          <w:sz w:val="24"/>
          <w:szCs w:val="24"/>
          <w:highlight w:val="none"/>
          <w:lang w:eastAsia="zh-CN"/>
        </w:rPr>
        <w:t>。（不属于节能产品不需提供）</w:t>
      </w:r>
    </w:p>
    <w:p w14:paraId="3246D34D">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6" w:right="126" w:rightChars="0" w:firstLine="482"/>
        <w:jc w:val="both"/>
        <w:textAlignment w:val="baseline"/>
        <w:rPr>
          <w:rFonts w:hint="eastAsia" w:ascii="宋体" w:hAnsi="宋体" w:eastAsia="宋体" w:cs="宋体"/>
          <w:highlight w:val="none"/>
          <w:lang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、属于《</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产品政府采购品目清单》的产品备注</w:t>
      </w:r>
      <w:r>
        <w:rPr>
          <w:rFonts w:hint="eastAsia" w:ascii="宋体" w:hAnsi="宋体" w:eastAsia="宋体" w:cs="宋体"/>
          <w:color w:val="auto"/>
          <w:spacing w:val="0"/>
          <w:w w:val="100"/>
          <w:position w:val="0"/>
          <w:sz w:val="24"/>
          <w:szCs w:val="24"/>
          <w:highlight w:val="none"/>
          <w:lang w:val="en-US" w:eastAsia="zh-CN"/>
        </w:rPr>
        <w:t>说</w:t>
      </w:r>
      <w:r>
        <w:rPr>
          <w:rFonts w:hint="eastAsia" w:ascii="宋体" w:hAnsi="宋体" w:eastAsia="宋体" w:cs="宋体"/>
          <w:color w:val="auto"/>
          <w:spacing w:val="0"/>
          <w:w w:val="100"/>
          <w:position w:val="0"/>
          <w:sz w:val="24"/>
          <w:szCs w:val="24"/>
          <w:highlight w:val="none"/>
          <w:lang w:eastAsia="zh-CN"/>
        </w:rPr>
        <w:t>明，同时提供国家确定的认证机构出具的、处于有效期之内的</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产品认证证书</w:t>
      </w:r>
      <w:r>
        <w:rPr>
          <w:rFonts w:hint="eastAsia" w:ascii="宋体" w:hAnsi="宋体" w:eastAsia="宋体" w:cs="宋体"/>
          <w:color w:val="auto"/>
          <w:spacing w:val="0"/>
          <w:w w:val="100"/>
          <w:position w:val="0"/>
          <w:sz w:val="24"/>
          <w:szCs w:val="24"/>
          <w:highlight w:val="none"/>
          <w:lang w:val="en-US" w:eastAsia="zh-CN"/>
        </w:rPr>
        <w:t>原件原</w:t>
      </w:r>
      <w:r>
        <w:rPr>
          <w:rFonts w:hint="eastAsia" w:ascii="宋体" w:hAnsi="宋体" w:eastAsia="宋体" w:cs="宋体"/>
          <w:color w:val="auto"/>
          <w:spacing w:val="0"/>
          <w:w w:val="100"/>
          <w:position w:val="0"/>
          <w:sz w:val="24"/>
          <w:szCs w:val="24"/>
          <w:highlight w:val="none"/>
          <w:lang w:eastAsia="zh-CN"/>
        </w:rPr>
        <w:t>色扫描件，未提供的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环境标志</w:t>
      </w:r>
      <w:r>
        <w:rPr>
          <w:rFonts w:hint="eastAsia" w:ascii="宋体" w:hAnsi="宋体" w:eastAsia="宋体" w:cs="宋体"/>
          <w:color w:val="auto"/>
          <w:spacing w:val="0"/>
          <w:w w:val="100"/>
          <w:position w:val="0"/>
          <w:sz w:val="24"/>
          <w:szCs w:val="24"/>
          <w:highlight w:val="none"/>
          <w:lang w:eastAsia="zh-CN"/>
        </w:rPr>
        <w:t>产品不需提供）</w:t>
      </w:r>
    </w:p>
    <w:p w14:paraId="20E0674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firstLine="480" w:firstLineChars="2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4</w:t>
      </w:r>
      <w:r>
        <w:rPr>
          <w:rFonts w:hint="eastAsia" w:ascii="宋体" w:hAnsi="宋体" w:eastAsia="宋体" w:cs="宋体"/>
          <w:color w:val="auto"/>
          <w:spacing w:val="0"/>
          <w:w w:val="100"/>
          <w:position w:val="0"/>
          <w:sz w:val="24"/>
          <w:szCs w:val="24"/>
          <w:highlight w:val="none"/>
          <w:lang w:eastAsia="zh-CN"/>
        </w:rPr>
        <w:t>、招标文件对节能产品另有规定的从其规定。</w:t>
      </w:r>
    </w:p>
    <w:p w14:paraId="78459A8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100" w:beforeAutospacing="0" w:after="100" w:afterAutospacing="0" w:line="360" w:lineRule="auto"/>
        <w:ind w:left="0" w:right="0" w:firstLine="42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5、本国产品</w:t>
      </w:r>
      <w:r>
        <w:rPr>
          <w:rFonts w:hint="eastAsia" w:ascii="宋体" w:hAnsi="宋体" w:eastAsia="宋体" w:cs="宋体"/>
          <w:i w:val="0"/>
          <w:iCs w:val="0"/>
          <w:caps w:val="0"/>
          <w:color w:val="383838"/>
          <w:spacing w:val="0"/>
          <w:sz w:val="24"/>
          <w:szCs w:val="24"/>
          <w:highlight w:val="none"/>
          <w:shd w:val="clear" w:fill="FFFFFF"/>
          <w:vertAlign w:val="baseline"/>
          <w:lang w:val="en-US" w:eastAsia="zh-CN"/>
        </w:rPr>
        <w:t>要求详见本招标文件第二章投标人须知。属于本国产品的备注说</w:t>
      </w:r>
      <w:r>
        <w:rPr>
          <w:rFonts w:hint="eastAsia" w:ascii="宋体" w:hAnsi="宋体" w:eastAsia="宋体" w:cs="宋体"/>
          <w:i w:val="0"/>
          <w:iCs w:val="0"/>
          <w:caps w:val="0"/>
          <w:color w:val="383838"/>
          <w:spacing w:val="0"/>
          <w:sz w:val="24"/>
          <w:szCs w:val="24"/>
          <w:highlight w:val="none"/>
          <w:shd w:val="clear" w:fill="FFFFFF"/>
          <w:vertAlign w:val="baseline"/>
          <w:lang w:val="en-US" w:eastAsia="zh-CN"/>
        </w:rPr>
        <w:t>明，同时提供《关于符合本国产品标准的声明函》或财政部会同有关部门规定的有关证明文件，</w:t>
      </w:r>
      <w:r>
        <w:rPr>
          <w:rFonts w:hint="eastAsia" w:ascii="宋体" w:hAnsi="宋体" w:eastAsia="宋体" w:cs="宋体"/>
          <w:color w:val="auto"/>
          <w:spacing w:val="0"/>
          <w:w w:val="100"/>
          <w:position w:val="0"/>
          <w:sz w:val="24"/>
          <w:szCs w:val="24"/>
          <w:highlight w:val="none"/>
          <w:lang w:eastAsia="zh-CN"/>
        </w:rPr>
        <w:t>未提供的</w:t>
      </w:r>
      <w:r>
        <w:rPr>
          <w:rFonts w:hint="eastAsia" w:ascii="宋体" w:hAnsi="宋体" w:eastAsia="宋体" w:cs="宋体"/>
          <w:color w:val="auto"/>
          <w:spacing w:val="0"/>
          <w:w w:val="100"/>
          <w:position w:val="0"/>
          <w:sz w:val="24"/>
          <w:szCs w:val="24"/>
          <w:highlight w:val="none"/>
          <w:lang w:val="en-US" w:eastAsia="zh-CN"/>
        </w:rPr>
        <w:t>一切不利后果由投标人承担</w:t>
      </w:r>
      <w:r>
        <w:rPr>
          <w:rFonts w:hint="eastAsia" w:ascii="宋体" w:hAnsi="宋体" w:eastAsia="宋体" w:cs="宋体"/>
          <w:color w:val="auto"/>
          <w:spacing w:val="0"/>
          <w:w w:val="100"/>
          <w:position w:val="0"/>
          <w:sz w:val="24"/>
          <w:szCs w:val="24"/>
          <w:highlight w:val="none"/>
          <w:lang w:eastAsia="zh-CN"/>
        </w:rPr>
        <w:t>。（不属于</w:t>
      </w:r>
      <w:r>
        <w:rPr>
          <w:rFonts w:hint="eastAsia" w:ascii="宋体" w:hAnsi="宋体" w:eastAsia="宋体" w:cs="宋体"/>
          <w:color w:val="auto"/>
          <w:spacing w:val="0"/>
          <w:w w:val="100"/>
          <w:position w:val="0"/>
          <w:sz w:val="24"/>
          <w:szCs w:val="24"/>
          <w:highlight w:val="none"/>
          <w:lang w:val="en-US" w:eastAsia="zh-CN"/>
        </w:rPr>
        <w:t>本国产品</w:t>
      </w:r>
      <w:r>
        <w:rPr>
          <w:rFonts w:hint="eastAsia" w:ascii="宋体" w:hAnsi="宋体" w:eastAsia="宋体" w:cs="宋体"/>
          <w:color w:val="auto"/>
          <w:spacing w:val="0"/>
          <w:w w:val="100"/>
          <w:position w:val="0"/>
          <w:sz w:val="24"/>
          <w:szCs w:val="24"/>
          <w:highlight w:val="none"/>
          <w:lang w:eastAsia="zh-CN"/>
        </w:rPr>
        <w:t>不需提供）</w:t>
      </w:r>
      <w:r>
        <w:rPr>
          <w:rFonts w:hint="eastAsia" w:ascii="宋体" w:hAnsi="宋体" w:eastAsia="宋体" w:cs="宋体"/>
          <w:b/>
          <w:bCs/>
          <w:i w:val="0"/>
          <w:iCs w:val="0"/>
          <w:caps w:val="0"/>
          <w:color w:val="FF0000"/>
          <w:spacing w:val="0"/>
          <w:sz w:val="24"/>
          <w:szCs w:val="24"/>
          <w:highlight w:val="none"/>
          <w:shd w:val="clear" w:fill="FFFFFF"/>
          <w:vertAlign w:val="baseline"/>
          <w:lang w:eastAsia="zh-CN"/>
        </w:rPr>
        <w:t>★</w:t>
      </w:r>
      <w:r>
        <w:rPr>
          <w:rFonts w:hint="eastAsia" w:ascii="宋体" w:hAnsi="宋体" w:eastAsia="宋体" w:cs="宋体"/>
          <w:b/>
          <w:bCs/>
          <w:i w:val="0"/>
          <w:iCs w:val="0"/>
          <w:caps w:val="0"/>
          <w:color w:val="FF0000"/>
          <w:spacing w:val="0"/>
          <w:sz w:val="24"/>
          <w:szCs w:val="24"/>
          <w:highlight w:val="none"/>
          <w:shd w:val="clear" w:fill="FFFFFF"/>
          <w:vertAlign w:val="baseline"/>
          <w:lang w:val="en-US" w:eastAsia="zh-CN"/>
        </w:rPr>
        <w:t>未提供《关于符合本国产品标准的声明函》或财政部会同有关部门规定的有关证明文件（如有），一律视为非本国产品！！！</w:t>
      </w:r>
    </w:p>
    <w:p w14:paraId="20F21A46">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highlight w:val="none"/>
          <w:lang w:eastAsia="zh-CN"/>
        </w:rPr>
      </w:pPr>
    </w:p>
    <w:p w14:paraId="0122FF9C">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9"/>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投标人盖章：</w:t>
      </w:r>
    </w:p>
    <w:p w14:paraId="78CB6D61">
      <w:pPr>
        <w:keepNext w:val="0"/>
        <w:keepLines w:val="0"/>
        <w:pageBreakBefore w:val="0"/>
        <w:widowControl w:val="0"/>
        <w:kinsoku w:val="0"/>
        <w:wordWrap/>
        <w:overflowPunct/>
        <w:topLinePunct w:val="0"/>
        <w:autoSpaceDE w:val="0"/>
        <w:autoSpaceDN w:val="0"/>
        <w:bidi w:val="0"/>
        <w:adjustRightInd w:val="0"/>
        <w:snapToGrid w:val="0"/>
        <w:spacing w:before="100" w:after="100" w:line="360" w:lineRule="auto"/>
        <w:ind w:left="127"/>
        <w:textAlignment w:val="baseline"/>
        <w:rPr>
          <w:rFonts w:hint="eastAsia" w:ascii="宋体" w:hAnsi="宋体" w:eastAsia="宋体" w:cs="宋体"/>
          <w:color w:val="auto"/>
          <w:spacing w:val="0"/>
          <w:w w:val="100"/>
          <w:position w:val="0"/>
          <w:sz w:val="24"/>
          <w:szCs w:val="24"/>
          <w:highlight w:val="none"/>
          <w:lang w:eastAsia="zh-CN"/>
        </w:rPr>
        <w:sectPr>
          <w:footerReference r:id="rId9" w:type="default"/>
          <w:pgSz w:w="16839" w:h="11906"/>
          <w:pgMar w:top="1012" w:right="1118" w:bottom="1362" w:left="1322" w:header="0" w:footer="1200" w:gutter="0"/>
          <w:cols w:space="720" w:num="1"/>
        </w:sectPr>
      </w:pPr>
      <w:r>
        <w:rPr>
          <w:rFonts w:hint="eastAsia" w:ascii="宋体" w:hAnsi="宋体" w:eastAsia="宋体" w:cs="宋体"/>
          <w:color w:val="auto"/>
          <w:spacing w:val="0"/>
          <w:w w:val="100"/>
          <w:position w:val="0"/>
          <w:sz w:val="24"/>
          <w:szCs w:val="24"/>
          <w:highlight w:val="none"/>
          <w:lang w:eastAsia="zh-CN"/>
        </w:rPr>
        <w:t>法定代表人或授权代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w:t>
      </w:r>
      <w:r>
        <w:rPr>
          <w:rFonts w:hint="eastAsia" w:ascii="宋体" w:hAnsi="宋体" w:eastAsia="宋体" w:cs="宋体"/>
          <w:color w:val="auto"/>
          <w:spacing w:val="0"/>
          <w:w w:val="100"/>
          <w:position w:val="0"/>
          <w:sz w:val="24"/>
          <w:szCs w:val="24"/>
          <w:highlight w:val="none"/>
          <w:lang w:eastAsia="zh-CN"/>
        </w:rPr>
        <w:t>签章：</w:t>
      </w:r>
    </w:p>
    <w:p w14:paraId="6C014E64">
      <w:pPr>
        <w:pageBreakBefore w:val="0"/>
        <w:widowControl w:val="0"/>
        <w:kinsoku/>
        <w:wordWrap/>
        <w:overflowPunct/>
        <w:topLinePunct w:val="0"/>
        <w:bidi w:val="0"/>
        <w:spacing w:before="78" w:line="219" w:lineRule="auto"/>
        <w:jc w:val="center"/>
        <w:outlineLvl w:val="2"/>
        <w:rPr>
          <w:rFonts w:hint="eastAsia" w:ascii="宋体" w:hAnsi="宋体" w:eastAsia="宋体" w:cs="宋体"/>
          <w:color w:val="auto"/>
          <w:highlight w:val="none"/>
          <w:lang w:eastAsia="zh-CN"/>
        </w:rPr>
      </w:pPr>
      <w:bookmarkStart w:id="116" w:name="bookmark58"/>
      <w:bookmarkEnd w:id="116"/>
      <w:bookmarkStart w:id="117" w:name="_Toc13335"/>
      <w:bookmarkStart w:id="118" w:name="_Toc30064"/>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4"/>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5.技术需求响应/偏离表</w:t>
      </w:r>
      <w:bookmarkEnd w:id="117"/>
      <w:bookmarkEnd w:id="118"/>
    </w:p>
    <w:p w14:paraId="4119901A">
      <w:pPr>
        <w:pageBreakBefore w:val="0"/>
        <w:widowControl w:val="0"/>
        <w:wordWrap/>
        <w:overflowPunct/>
        <w:topLinePunct w:val="0"/>
        <w:bidi w:val="0"/>
        <w:spacing w:line="252" w:lineRule="auto"/>
        <w:rPr>
          <w:rFonts w:hint="eastAsia" w:ascii="宋体" w:hAnsi="宋体" w:eastAsia="宋体" w:cs="宋体"/>
          <w:color w:val="auto"/>
          <w:position w:val="0"/>
          <w:highlight w:val="none"/>
        </w:rPr>
      </w:pPr>
    </w:p>
    <w:p w14:paraId="718CDD8D">
      <w:pPr>
        <w:pStyle w:val="10"/>
        <w:rPr>
          <w:rFonts w:hint="eastAsia" w:ascii="宋体" w:hAnsi="宋体" w:eastAsia="宋体" w:cs="宋体"/>
          <w:color w:val="auto"/>
          <w:position w:val="0"/>
          <w:highlight w:val="none"/>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62"/>
        <w:gridCol w:w="2210"/>
        <w:gridCol w:w="2211"/>
        <w:gridCol w:w="1477"/>
        <w:gridCol w:w="1599"/>
        <w:gridCol w:w="989"/>
      </w:tblGrid>
      <w:tr w14:paraId="5398C5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55EB804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highlight w:val="none"/>
                <w:vertAlign w:val="baseline"/>
              </w:rPr>
            </w:pPr>
            <w:r>
              <w:rPr>
                <w:rFonts w:hint="eastAsia" w:ascii="宋体" w:hAnsi="宋体" w:eastAsia="宋体" w:cs="宋体"/>
                <w:b/>
                <w:bCs/>
                <w:snapToGrid w:val="0"/>
                <w:color w:val="000000"/>
                <w:kern w:val="0"/>
                <w:sz w:val="28"/>
                <w:szCs w:val="28"/>
                <w:highlight w:val="none"/>
                <w:lang w:val="en-US" w:eastAsia="zh-CN" w:bidi="ar"/>
              </w:rPr>
              <w:t>我公司郑重承诺，完全响应招标文件规定的所有采购清单及技术需求，并按招标文件所规定的要求进行履约。</w:t>
            </w:r>
          </w:p>
        </w:tc>
      </w:tr>
      <w:tr w14:paraId="42599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07060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b/>
                <w:bCs/>
                <w:sz w:val="24"/>
                <w:szCs w:val="24"/>
                <w:highlight w:val="none"/>
              </w:rPr>
            </w:pPr>
            <w:r>
              <w:rPr>
                <w:rFonts w:hint="eastAsia" w:ascii="宋体" w:hAnsi="宋体" w:eastAsia="宋体" w:cs="宋体"/>
                <w:snapToGrid w:val="0"/>
                <w:color w:val="000000"/>
                <w:kern w:val="0"/>
                <w:sz w:val="24"/>
                <w:szCs w:val="24"/>
                <w:highlight w:val="none"/>
                <w:lang w:val="en-US" w:eastAsia="zh-CN" w:bidi="ar"/>
              </w:rPr>
              <w:t>说明：若响应的部分采购清单及技术需求内容及要求与招标文件规定的采购清单及技术需求内容及要求有所偏离，则按下表单独列出，并标明响应情况，</w:t>
            </w:r>
            <w:r>
              <w:rPr>
                <w:rFonts w:hint="eastAsia" w:ascii="宋体" w:hAnsi="宋体" w:eastAsia="宋体" w:cs="宋体"/>
                <w:b/>
                <w:bCs/>
                <w:snapToGrid w:val="0"/>
                <w:color w:val="000000"/>
                <w:kern w:val="0"/>
                <w:sz w:val="24"/>
                <w:szCs w:val="24"/>
                <w:highlight w:val="none"/>
                <w:lang w:val="en-US" w:eastAsia="zh-CN" w:bidi="ar"/>
              </w:rPr>
              <w:t xml:space="preserve">若完全响应 ，则无需填写下表。 </w:t>
            </w:r>
          </w:p>
          <w:p w14:paraId="2587A63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highlight w:val="none"/>
                <w:lang w:val="en-US" w:eastAsia="zh-CN" w:bidi="ar"/>
              </w:rPr>
              <w:t>负偏离则无效响应。</w:t>
            </w:r>
          </w:p>
        </w:tc>
      </w:tr>
      <w:tr w14:paraId="62019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56D4E1E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序号</w:t>
            </w:r>
          </w:p>
        </w:tc>
        <w:tc>
          <w:tcPr>
            <w:tcW w:w="0" w:type="auto"/>
          </w:tcPr>
          <w:p w14:paraId="33BA431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招标文件条目号</w:t>
            </w:r>
          </w:p>
        </w:tc>
        <w:tc>
          <w:tcPr>
            <w:tcW w:w="0" w:type="auto"/>
          </w:tcPr>
          <w:p w14:paraId="03652BAE">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招标文件的要求</w:t>
            </w:r>
          </w:p>
        </w:tc>
        <w:tc>
          <w:tcPr>
            <w:tcW w:w="0" w:type="auto"/>
          </w:tcPr>
          <w:p w14:paraId="32B3678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响应描述</w:t>
            </w:r>
          </w:p>
          <w:p w14:paraId="2AAA063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12FB32C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正偏离/负</w:t>
            </w:r>
          </w:p>
          <w:p w14:paraId="417A23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偏离</w:t>
            </w:r>
          </w:p>
        </w:tc>
        <w:tc>
          <w:tcPr>
            <w:tcW w:w="0" w:type="auto"/>
          </w:tcPr>
          <w:p w14:paraId="3D214B4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说明</w:t>
            </w:r>
          </w:p>
          <w:p w14:paraId="440CEF03">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338330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6812E2C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1</w:t>
            </w:r>
          </w:p>
        </w:tc>
        <w:tc>
          <w:tcPr>
            <w:tcW w:w="0" w:type="auto"/>
          </w:tcPr>
          <w:p w14:paraId="7E2B2CB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6729062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0F2EA7C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0B37FA97">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7E99C8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3D8B5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C92964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2</w:t>
            </w:r>
          </w:p>
        </w:tc>
        <w:tc>
          <w:tcPr>
            <w:tcW w:w="0" w:type="auto"/>
          </w:tcPr>
          <w:p w14:paraId="788EF02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4D3CCEE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481E92B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2A3267D2">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7020DDA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7AD72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6651242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w:t>
            </w:r>
          </w:p>
        </w:tc>
        <w:tc>
          <w:tcPr>
            <w:tcW w:w="0" w:type="auto"/>
          </w:tcPr>
          <w:p w14:paraId="164CA9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19735F5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6BAB229B">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0A3CBB9E">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4D5E256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bl>
    <w:p w14:paraId="5695F4F6">
      <w:pPr>
        <w:rPr>
          <w:rFonts w:hint="eastAsia" w:ascii="宋体" w:hAnsi="宋体" w:eastAsia="宋体" w:cs="宋体"/>
          <w:highlight w:val="none"/>
        </w:rPr>
      </w:pPr>
    </w:p>
    <w:p w14:paraId="7C2D7D82">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5179BDBF">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46D11616">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75AFA53F">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3919082C">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0" w:type="default"/>
          <w:pgSz w:w="11906" w:h="16839"/>
          <w:pgMar w:top="1431" w:right="873" w:bottom="1156" w:left="1701" w:header="0" w:footer="994" w:gutter="0"/>
          <w:cols w:space="720" w:num="1"/>
        </w:sectPr>
      </w:pPr>
    </w:p>
    <w:p w14:paraId="43D4EEB9">
      <w:pPr>
        <w:pageBreakBefore w:val="0"/>
        <w:widowControl w:val="0"/>
        <w:wordWrap/>
        <w:overflowPunct/>
        <w:topLinePunct w:val="0"/>
        <w:bidi w:val="0"/>
        <w:spacing w:before="101" w:line="219" w:lineRule="auto"/>
        <w:jc w:val="center"/>
        <w:outlineLvl w:val="1"/>
        <w:rPr>
          <w:rFonts w:hint="eastAsia" w:ascii="宋体" w:hAnsi="宋体" w:eastAsia="宋体" w:cs="宋体"/>
          <w:color w:val="auto"/>
          <w:sz w:val="24"/>
          <w:szCs w:val="24"/>
          <w:highlight w:val="none"/>
          <w:lang w:eastAsia="zh-CN"/>
        </w:rPr>
      </w:pPr>
      <w:bookmarkStart w:id="119" w:name="bookmark59"/>
      <w:bookmarkEnd w:id="119"/>
      <w:bookmarkStart w:id="120" w:name="_Toc634"/>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45"/>
          <w:sz w:val="24"/>
          <w:szCs w:val="24"/>
          <w:highlight w:val="none"/>
          <w:lang w:eastAsia="zh-CN"/>
        </w:rPr>
        <w:t xml:space="preserve"> </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6.商务条件响应/偏离表</w:t>
      </w:r>
      <w:bookmarkEnd w:id="120"/>
    </w:p>
    <w:p w14:paraId="12BCA033">
      <w:pPr>
        <w:pStyle w:val="10"/>
        <w:rPr>
          <w:rFonts w:hint="eastAsia" w:ascii="宋体" w:hAnsi="宋体" w:eastAsia="宋体" w:cs="宋体"/>
          <w:color w:val="auto"/>
          <w:position w:val="0"/>
          <w:highlight w:val="none"/>
        </w:rPr>
      </w:pP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3"/>
        <w:gridCol w:w="2225"/>
        <w:gridCol w:w="2226"/>
        <w:gridCol w:w="1476"/>
        <w:gridCol w:w="1601"/>
        <w:gridCol w:w="977"/>
      </w:tblGrid>
      <w:tr w14:paraId="273B9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0" w:type="auto"/>
            <w:gridSpan w:val="6"/>
          </w:tcPr>
          <w:p w14:paraId="61DF15AA">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562" w:firstLineChars="200"/>
              <w:jc w:val="left"/>
              <w:textAlignment w:val="baseline"/>
              <w:rPr>
                <w:rFonts w:hint="eastAsia" w:ascii="宋体" w:hAnsi="宋体" w:eastAsia="宋体" w:cs="宋体"/>
                <w:sz w:val="24"/>
                <w:szCs w:val="24"/>
                <w:highlight w:val="none"/>
                <w:vertAlign w:val="baseline"/>
              </w:rPr>
            </w:pPr>
            <w:r>
              <w:rPr>
                <w:rFonts w:hint="eastAsia" w:ascii="宋体" w:hAnsi="宋体" w:eastAsia="宋体" w:cs="宋体"/>
                <w:b/>
                <w:bCs/>
                <w:snapToGrid w:val="0"/>
                <w:color w:val="000000"/>
                <w:kern w:val="0"/>
                <w:sz w:val="28"/>
                <w:szCs w:val="28"/>
                <w:highlight w:val="none"/>
                <w:lang w:val="en-US" w:eastAsia="zh-CN" w:bidi="ar"/>
              </w:rPr>
              <w:t>我公司郑重承诺，完全响应招标文件规定的所有商务条款内容及要求，并按招标文件所规定的要求进行履约。</w:t>
            </w:r>
          </w:p>
        </w:tc>
      </w:tr>
      <w:tr w14:paraId="62DD2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0" w:type="auto"/>
            <w:gridSpan w:val="6"/>
          </w:tcPr>
          <w:p w14:paraId="51631232">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说明：若响应的部分商务条款内容及要求与招标文件规定的商务条款内容及要求有所偏离，则按下表单独列出，并标明响应情况，</w:t>
            </w:r>
            <w:r>
              <w:rPr>
                <w:rFonts w:hint="eastAsia" w:ascii="宋体" w:hAnsi="宋体" w:eastAsia="宋体" w:cs="宋体"/>
                <w:b/>
                <w:bCs/>
                <w:snapToGrid w:val="0"/>
                <w:color w:val="000000"/>
                <w:kern w:val="0"/>
                <w:sz w:val="24"/>
                <w:szCs w:val="24"/>
                <w:highlight w:val="none"/>
                <w:lang w:val="en-US" w:eastAsia="zh-CN" w:bidi="ar"/>
              </w:rPr>
              <w:t>若完全响应 ，则无需填写下表。</w:t>
            </w:r>
            <w:r>
              <w:rPr>
                <w:rFonts w:hint="eastAsia" w:ascii="宋体" w:hAnsi="宋体" w:eastAsia="宋体" w:cs="宋体"/>
                <w:snapToGrid w:val="0"/>
                <w:color w:val="000000"/>
                <w:kern w:val="0"/>
                <w:sz w:val="24"/>
                <w:szCs w:val="24"/>
                <w:highlight w:val="none"/>
                <w:lang w:val="en-US" w:eastAsia="zh-CN" w:bidi="ar"/>
              </w:rPr>
              <w:t xml:space="preserve"> </w:t>
            </w:r>
          </w:p>
          <w:p w14:paraId="564E8D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只接受正偏离（优于招标文件要求），不接受负偏离（劣于招标文件要求），</w:t>
            </w:r>
            <w:r>
              <w:rPr>
                <w:rFonts w:hint="eastAsia" w:ascii="宋体" w:hAnsi="宋体" w:eastAsia="宋体" w:cs="宋体"/>
                <w:b/>
                <w:bCs/>
                <w:snapToGrid w:val="0"/>
                <w:color w:val="000000"/>
                <w:kern w:val="0"/>
                <w:sz w:val="24"/>
                <w:szCs w:val="24"/>
                <w:highlight w:val="none"/>
                <w:lang w:val="en-US" w:eastAsia="zh-CN" w:bidi="ar"/>
              </w:rPr>
              <w:t>负偏离则无效响应。</w:t>
            </w:r>
          </w:p>
          <w:p w14:paraId="684B7A1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sz w:val="24"/>
                <w:szCs w:val="24"/>
                <w:highlight w:val="none"/>
                <w:vertAlign w:val="baseline"/>
              </w:rPr>
            </w:pPr>
          </w:p>
        </w:tc>
      </w:tr>
      <w:tr w14:paraId="1B003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trPr>
        <w:tc>
          <w:tcPr>
            <w:tcW w:w="0" w:type="auto"/>
          </w:tcPr>
          <w:p w14:paraId="26DCEDD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序号</w:t>
            </w:r>
          </w:p>
        </w:tc>
        <w:tc>
          <w:tcPr>
            <w:tcW w:w="0" w:type="auto"/>
          </w:tcPr>
          <w:p w14:paraId="21D645E7">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招标文件条目号</w:t>
            </w:r>
          </w:p>
        </w:tc>
        <w:tc>
          <w:tcPr>
            <w:tcW w:w="0" w:type="auto"/>
          </w:tcPr>
          <w:p w14:paraId="18A948A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招标文件的要求</w:t>
            </w:r>
          </w:p>
        </w:tc>
        <w:tc>
          <w:tcPr>
            <w:tcW w:w="0" w:type="auto"/>
          </w:tcPr>
          <w:p w14:paraId="24331976">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响应描述</w:t>
            </w:r>
          </w:p>
          <w:p w14:paraId="33086B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5FC650E0">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正偏离/负</w:t>
            </w:r>
          </w:p>
          <w:p w14:paraId="2407B58C">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r>
              <w:rPr>
                <w:rFonts w:hint="eastAsia" w:ascii="宋体" w:hAnsi="宋体" w:eastAsia="宋体" w:cs="宋体"/>
                <w:snapToGrid w:val="0"/>
                <w:color w:val="000000"/>
                <w:kern w:val="0"/>
                <w:sz w:val="24"/>
                <w:szCs w:val="24"/>
                <w:highlight w:val="none"/>
                <w:lang w:val="en-US" w:eastAsia="zh-CN" w:bidi="ar"/>
              </w:rPr>
              <w:t>偏离</w:t>
            </w:r>
          </w:p>
        </w:tc>
        <w:tc>
          <w:tcPr>
            <w:tcW w:w="0" w:type="auto"/>
          </w:tcPr>
          <w:p w14:paraId="76F52C9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说明</w:t>
            </w:r>
          </w:p>
          <w:p w14:paraId="7457B42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148E6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0" w:type="auto"/>
          </w:tcPr>
          <w:p w14:paraId="3FD47F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1</w:t>
            </w:r>
          </w:p>
        </w:tc>
        <w:tc>
          <w:tcPr>
            <w:tcW w:w="0" w:type="auto"/>
          </w:tcPr>
          <w:p w14:paraId="066B729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2936F87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71192474">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1B4610B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2CC19EA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04B0C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FE1A93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2</w:t>
            </w:r>
          </w:p>
        </w:tc>
        <w:tc>
          <w:tcPr>
            <w:tcW w:w="0" w:type="auto"/>
          </w:tcPr>
          <w:p w14:paraId="793011E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564052A8">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0B146F9F">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407259F1">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476DAF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r w14:paraId="2CEE8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A5A121D">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lang w:val="en-US" w:eastAsia="zh-CN"/>
              </w:rPr>
            </w:pPr>
            <w:r>
              <w:rPr>
                <w:rFonts w:hint="eastAsia" w:ascii="宋体" w:hAnsi="宋体" w:eastAsia="宋体" w:cs="宋体"/>
                <w:sz w:val="24"/>
                <w:szCs w:val="24"/>
                <w:highlight w:val="none"/>
                <w:vertAlign w:val="baseline"/>
                <w:lang w:val="en-US" w:eastAsia="zh-CN"/>
              </w:rPr>
              <w:t>...</w:t>
            </w:r>
          </w:p>
        </w:tc>
        <w:tc>
          <w:tcPr>
            <w:tcW w:w="0" w:type="auto"/>
          </w:tcPr>
          <w:p w14:paraId="3959B93A">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52CD2F3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23E49196">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054BDC69">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c>
          <w:tcPr>
            <w:tcW w:w="0" w:type="auto"/>
          </w:tcPr>
          <w:p w14:paraId="1923369C">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4"/>
                <w:szCs w:val="24"/>
                <w:highlight w:val="none"/>
                <w:vertAlign w:val="baseline"/>
              </w:rPr>
            </w:pPr>
          </w:p>
        </w:tc>
      </w:tr>
    </w:tbl>
    <w:p w14:paraId="6B4D8111">
      <w:pPr>
        <w:rPr>
          <w:rFonts w:hint="eastAsia" w:ascii="宋体" w:hAnsi="宋体" w:eastAsia="宋体" w:cs="宋体"/>
          <w:highlight w:val="none"/>
        </w:rPr>
      </w:pPr>
    </w:p>
    <w:p w14:paraId="2FF958AA">
      <w:pPr>
        <w:pageBreakBefore w:val="0"/>
        <w:widowControl w:val="0"/>
        <w:wordWrap/>
        <w:overflowPunct/>
        <w:topLinePunct w:val="0"/>
        <w:bidi w:val="0"/>
        <w:spacing w:before="78" w:line="219" w:lineRule="auto"/>
        <w:ind w:left="125"/>
        <w:jc w:val="both"/>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position w:val="0"/>
          <w:sz w:val="24"/>
          <w:szCs w:val="24"/>
          <w:highlight w:val="none"/>
          <w:lang w:eastAsia="zh-CN"/>
          <w14:textOutline w14:w="4356" w14:cap="sq" w14:cmpd="sng" w14:algn="ctr">
            <w14:solidFill>
              <w14:srgbClr w14:val="000000"/>
            </w14:solidFill>
            <w14:prstDash w14:val="solid"/>
            <w14:bevel/>
          </w14:textOutline>
        </w:rPr>
        <w:t>注：投标人不按上述表格填写，所产生的一切后果由投标人承担。</w:t>
      </w:r>
    </w:p>
    <w:p w14:paraId="621E3FE8">
      <w:pPr>
        <w:pageBreakBefore w:val="0"/>
        <w:widowControl w:val="0"/>
        <w:wordWrap/>
        <w:overflowPunct/>
        <w:topLinePunct w:val="0"/>
        <w:bidi w:val="0"/>
        <w:spacing w:before="78" w:line="219" w:lineRule="auto"/>
        <w:ind w:left="125"/>
        <w:jc w:val="both"/>
        <w:rPr>
          <w:rFonts w:hint="eastAsia" w:ascii="宋体" w:hAnsi="宋体" w:eastAsia="宋体" w:cs="宋体"/>
          <w:color w:val="auto"/>
          <w:spacing w:val="-3"/>
          <w:sz w:val="24"/>
          <w:szCs w:val="24"/>
          <w:highlight w:val="none"/>
          <w:lang w:eastAsia="zh-CN"/>
        </w:rPr>
      </w:pPr>
    </w:p>
    <w:p w14:paraId="66692A7C">
      <w:pPr>
        <w:pageBreakBefore w:val="0"/>
        <w:widowControl w:val="0"/>
        <w:wordWrap/>
        <w:overflowPunct/>
        <w:topLinePunct w:val="0"/>
        <w:bidi w:val="0"/>
        <w:spacing w:before="78" w:line="219" w:lineRule="auto"/>
        <w:ind w:left="125"/>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3"/>
          <w:sz w:val="24"/>
          <w:szCs w:val="24"/>
          <w:highlight w:val="none"/>
          <w:lang w:eastAsia="zh-CN"/>
        </w:rPr>
        <w:t>投标人盖章：</w:t>
      </w:r>
    </w:p>
    <w:p w14:paraId="69A2B5D2">
      <w:pPr>
        <w:pageBreakBefore w:val="0"/>
        <w:widowControl w:val="0"/>
        <w:wordWrap/>
        <w:overflowPunct/>
        <w:topLinePunct w:val="0"/>
        <w:bidi w:val="0"/>
        <w:spacing w:before="79" w:line="219" w:lineRule="auto"/>
        <w:ind w:left="123"/>
        <w:rPr>
          <w:rFonts w:hint="eastAsia" w:ascii="宋体" w:hAnsi="宋体" w:eastAsia="宋体" w:cs="宋体"/>
          <w:color w:val="auto"/>
          <w:sz w:val="24"/>
          <w:szCs w:val="24"/>
          <w:highlight w:val="none"/>
          <w:u w:val="single"/>
          <w:lang w:val="en-US" w:eastAsia="zh-CN"/>
        </w:rPr>
      </w:pPr>
      <w:r>
        <w:rPr>
          <w:rFonts w:hint="eastAsia" w:ascii="宋体" w:hAnsi="宋体" w:eastAsia="宋体" w:cs="宋体"/>
          <w:color w:val="auto"/>
          <w:spacing w:val="-1"/>
          <w:sz w:val="24"/>
          <w:szCs w:val="24"/>
          <w:highlight w:val="none"/>
          <w:lang w:eastAsia="zh-CN"/>
        </w:rPr>
        <w:t>法定代表人或授权代表签字或签章：</w:t>
      </w:r>
      <w:r>
        <w:rPr>
          <w:rFonts w:hint="eastAsia" w:ascii="宋体" w:hAnsi="宋体" w:eastAsia="宋体" w:cs="宋体"/>
          <w:color w:val="auto"/>
          <w:spacing w:val="-1"/>
          <w:sz w:val="24"/>
          <w:szCs w:val="24"/>
          <w:highlight w:val="none"/>
          <w:u w:val="single"/>
          <w:lang w:val="en-US" w:eastAsia="zh-CN"/>
        </w:rPr>
        <w:t xml:space="preserve">                   </w:t>
      </w:r>
    </w:p>
    <w:p w14:paraId="60831D81">
      <w:pPr>
        <w:pageBreakBefore w:val="0"/>
        <w:widowControl w:val="0"/>
        <w:wordWrap/>
        <w:overflowPunct/>
        <w:topLinePunct w:val="0"/>
        <w:bidi w:val="0"/>
        <w:spacing w:line="219" w:lineRule="auto"/>
        <w:rPr>
          <w:rFonts w:hint="eastAsia" w:ascii="宋体" w:hAnsi="宋体" w:eastAsia="宋体" w:cs="宋体"/>
          <w:color w:val="auto"/>
          <w:sz w:val="24"/>
          <w:szCs w:val="24"/>
          <w:highlight w:val="none"/>
          <w:lang w:eastAsia="zh-CN"/>
        </w:rPr>
        <w:sectPr>
          <w:footerReference r:id="rId11" w:type="default"/>
          <w:pgSz w:w="11906" w:h="16839"/>
          <w:pgMar w:top="1431" w:right="873" w:bottom="1156" w:left="1701" w:header="0" w:footer="994" w:gutter="0"/>
          <w:cols w:space="720" w:num="1"/>
        </w:sectPr>
      </w:pPr>
    </w:p>
    <w:p w14:paraId="5254C1FA">
      <w:pPr>
        <w:pStyle w:val="28"/>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1" w:name="_Toc19650"/>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格式 7</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投标人应当提交的资格证明文件</w:t>
      </w:r>
      <w:bookmarkEnd w:id="121"/>
    </w:p>
    <w:p w14:paraId="67A42A39">
      <w:pPr>
        <w:pStyle w:val="28"/>
        <w:keepNext/>
        <w:keepLines/>
        <w:pageBreakBefore w:val="0"/>
        <w:widowControl w:val="0"/>
        <w:shd w:val="clear" w:color="auto" w:fill="auto"/>
        <w:wordWrap/>
        <w:overflowPunct/>
        <w:topLinePunct w:val="0"/>
        <w:bidi w:val="0"/>
        <w:spacing w:before="0" w:after="560" w:line="240" w:lineRule="auto"/>
        <w:ind w:left="0" w:right="0" w:firstLine="580"/>
        <w:jc w:val="center"/>
        <w:rPr>
          <w:rFonts w:hint="eastAsia" w:ascii="宋体" w:hAnsi="宋体" w:eastAsia="宋体" w:cs="宋体"/>
          <w:b/>
          <w:bCs/>
          <w:color w:val="auto"/>
          <w:spacing w:val="0"/>
          <w:w w:val="100"/>
          <w:position w:val="0"/>
          <w:sz w:val="24"/>
          <w:szCs w:val="24"/>
          <w:highlight w:val="none"/>
        </w:rPr>
      </w:pPr>
      <w:bookmarkStart w:id="122" w:name="_Toc21780"/>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 xml:space="preserve">格式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1 江西省政府采购供应商资格信用承诺函</w:t>
      </w:r>
      <w:bookmarkEnd w:id="122"/>
      <w:r>
        <w:rPr>
          <w:rFonts w:hint="eastAsia" w:ascii="宋体" w:hAnsi="宋体" w:eastAsia="宋体" w:cs="宋体"/>
          <w:b/>
          <w:bCs/>
          <w:color w:val="auto"/>
          <w:spacing w:val="0"/>
          <w:w w:val="100"/>
          <w:position w:val="0"/>
          <w:sz w:val="24"/>
          <w:szCs w:val="24"/>
          <w:highlight w:val="none"/>
          <w:lang w:val="en-US" w:eastAsia="zh-CN"/>
        </w:rPr>
        <w:t xml:space="preserve"> </w:t>
      </w:r>
    </w:p>
    <w:p w14:paraId="61182BD7">
      <w:pPr>
        <w:pStyle w:val="29"/>
        <w:keepNext w:val="0"/>
        <w:keepLines w:val="0"/>
        <w:pageBreakBefore w:val="0"/>
        <w:widowControl w:val="0"/>
        <w:shd w:val="clear" w:color="auto" w:fill="auto"/>
        <w:wordWrap/>
        <w:overflowPunct/>
        <w:topLinePunct w:val="0"/>
        <w:bidi w:val="0"/>
        <w:spacing w:before="0" w:after="0" w:line="610" w:lineRule="exact"/>
        <w:ind w:left="0" w:right="0" w:firstLine="0"/>
        <w:jc w:val="left"/>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致（采购人或政府采购代理机构）:</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AAF4431">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单位名称（自然人姓名）:</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25907DD">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统一社会信用代码（身份证号码）：</w:t>
      </w:r>
      <w:r>
        <w:rPr>
          <w:rFonts w:hint="eastAsia" w:ascii="宋体" w:hAnsi="宋体" w:eastAsia="宋体" w:cs="宋体"/>
          <w:color w:val="auto"/>
          <w:spacing w:val="0"/>
          <w:w w:val="100"/>
          <w:position w:val="0"/>
          <w:sz w:val="24"/>
          <w:szCs w:val="24"/>
          <w:highlight w:val="none"/>
          <w:u w:val="single"/>
          <w:lang w:val="en-US" w:eastAsia="zh-CN"/>
        </w:rPr>
        <w:t xml:space="preserve">                              </w:t>
      </w:r>
    </w:p>
    <w:p w14:paraId="3DBB70A2">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法定代表人（负责人）：</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7B449D3">
      <w:pPr>
        <w:pStyle w:val="29"/>
        <w:keepNext w:val="0"/>
        <w:keepLines w:val="0"/>
        <w:pageBreakBefore w:val="0"/>
        <w:widowControl w:val="0"/>
        <w:shd w:val="clear" w:color="auto" w:fill="auto"/>
        <w:wordWrap/>
        <w:overflowPunct/>
        <w:topLinePunct w:val="0"/>
        <w:bidi w:val="0"/>
        <w:spacing w:before="0" w:after="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联系地址和电话：</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8E83B77">
      <w:pPr>
        <w:pStyle w:val="29"/>
        <w:keepNext w:val="0"/>
        <w:keepLines w:val="0"/>
        <w:pageBreakBefore w:val="0"/>
        <w:widowControl w:val="0"/>
        <w:shd w:val="clear" w:color="auto" w:fill="auto"/>
        <w:wordWrap/>
        <w:overflowPunct/>
        <w:topLinePunct w:val="0"/>
        <w:bidi w:val="0"/>
        <w:spacing w:before="0" w:after="0" w:line="600" w:lineRule="exact"/>
        <w:ind w:left="0" w:leftChars="0" w:right="0" w:firstLine="480" w:firstLineChars="200"/>
        <w:jc w:val="left"/>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我单位（本人）自愿参加本次政府采购活动，严格遵守《中华人民共和国政府采购法》及相关法律法规，坚守公开、公平、公正和诚实信用等原则，依法诚信经营，并郑重承诺：</w:t>
      </w:r>
    </w:p>
    <w:p w14:paraId="5D37935B">
      <w:pPr>
        <w:pStyle w:val="29"/>
        <w:keepNext w:val="0"/>
        <w:keepLines w:val="0"/>
        <w:pageBreakBefore w:val="0"/>
        <w:widowControl w:val="0"/>
        <w:shd w:val="clear" w:color="auto" w:fill="auto"/>
        <w:wordWrap/>
        <w:overflowPunct/>
        <w:topLinePunct w:val="0"/>
        <w:bidi w:val="0"/>
        <w:spacing w:before="0" w:afterAutospacing="0" w:line="610"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（一）我单位（本人）符合采购文件要求以及《中华人民共和国政府采购法》第二十二条规定的条件：</w:t>
      </w:r>
    </w:p>
    <w:p w14:paraId="0D7B4BF2">
      <w:pPr>
        <w:pStyle w:val="29"/>
        <w:keepNext w:val="0"/>
        <w:keepLines w:val="0"/>
        <w:pageBreakBefore w:val="0"/>
        <w:widowControl w:val="0"/>
        <w:numPr>
          <w:ilvl w:val="0"/>
          <w:numId w:val="0"/>
        </w:numPr>
        <w:shd w:val="clear" w:color="auto" w:fill="auto"/>
        <w:tabs>
          <w:tab w:val="left" w:pos="977"/>
        </w:tabs>
        <w:wordWrap/>
        <w:overflowPunct/>
        <w:topLinePunct w:val="0"/>
        <w:bidi w:val="0"/>
        <w:spacing w:beforeAutospacing="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1、</w:t>
      </w:r>
      <w:r>
        <w:rPr>
          <w:rFonts w:hint="eastAsia" w:ascii="宋体" w:hAnsi="宋体" w:eastAsia="宋体" w:cs="宋体"/>
          <w:b w:val="0"/>
          <w:bCs w:val="0"/>
          <w:i w:val="0"/>
          <w:iCs w:val="0"/>
          <w:smallCaps w:val="0"/>
          <w:strike w:val="0"/>
          <w:color w:val="auto"/>
          <w:spacing w:val="0"/>
          <w:w w:val="100"/>
          <w:position w:val="0"/>
          <w:sz w:val="24"/>
          <w:szCs w:val="24"/>
          <w:highlight w:val="none"/>
        </w:rPr>
        <w:t>具有独立承担民事责任的能力；</w:t>
      </w:r>
    </w:p>
    <w:p w14:paraId="0F3FEC42">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2、</w:t>
      </w:r>
      <w:r>
        <w:rPr>
          <w:rFonts w:hint="eastAsia" w:ascii="宋体" w:hAnsi="宋体" w:eastAsia="宋体" w:cs="宋体"/>
          <w:b w:val="0"/>
          <w:bCs w:val="0"/>
          <w:i w:val="0"/>
          <w:iCs w:val="0"/>
          <w:smallCaps w:val="0"/>
          <w:strike w:val="0"/>
          <w:color w:val="auto"/>
          <w:spacing w:val="0"/>
          <w:w w:val="100"/>
          <w:position w:val="0"/>
          <w:sz w:val="24"/>
          <w:szCs w:val="24"/>
          <w:highlight w:val="none"/>
        </w:rPr>
        <w:t>具有良好的商业信誉和健全的财务会计制度；</w:t>
      </w:r>
    </w:p>
    <w:p w14:paraId="4EEACE39">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3、</w:t>
      </w:r>
      <w:r>
        <w:rPr>
          <w:rFonts w:hint="eastAsia" w:ascii="宋体" w:hAnsi="宋体" w:eastAsia="宋体" w:cs="宋体"/>
          <w:b w:val="0"/>
          <w:bCs w:val="0"/>
          <w:i w:val="0"/>
          <w:iCs w:val="0"/>
          <w:smallCaps w:val="0"/>
          <w:strike w:val="0"/>
          <w:color w:val="auto"/>
          <w:spacing w:val="0"/>
          <w:w w:val="100"/>
          <w:position w:val="0"/>
          <w:sz w:val="24"/>
          <w:szCs w:val="24"/>
          <w:highlight w:val="none"/>
        </w:rPr>
        <w:t>具有履行合同所必需的设备和专业技术能力；</w:t>
      </w:r>
    </w:p>
    <w:p w14:paraId="7DA0BA39">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4、</w:t>
      </w:r>
      <w:r>
        <w:rPr>
          <w:rFonts w:hint="eastAsia" w:ascii="宋体" w:hAnsi="宋体" w:eastAsia="宋体" w:cs="宋体"/>
          <w:b w:val="0"/>
          <w:bCs w:val="0"/>
          <w:i w:val="0"/>
          <w:iCs w:val="0"/>
          <w:smallCaps w:val="0"/>
          <w:strike w:val="0"/>
          <w:color w:val="auto"/>
          <w:spacing w:val="0"/>
          <w:w w:val="100"/>
          <w:position w:val="0"/>
          <w:sz w:val="24"/>
          <w:szCs w:val="24"/>
          <w:highlight w:val="none"/>
        </w:rPr>
        <w:t>有依法缴纳税收和社会保障资金的良好记录；</w:t>
      </w:r>
    </w:p>
    <w:p w14:paraId="57FEF823">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5、</w:t>
      </w:r>
      <w:r>
        <w:rPr>
          <w:rFonts w:hint="eastAsia" w:ascii="宋体" w:hAnsi="宋体" w:eastAsia="宋体" w:cs="宋体"/>
          <w:b w:val="0"/>
          <w:bCs w:val="0"/>
          <w:i w:val="0"/>
          <w:iCs w:val="0"/>
          <w:smallCaps w:val="0"/>
          <w:strike w:val="0"/>
          <w:color w:val="auto"/>
          <w:spacing w:val="0"/>
          <w:w w:val="100"/>
          <w:position w:val="0"/>
          <w:sz w:val="24"/>
          <w:szCs w:val="24"/>
          <w:highlight w:val="none"/>
        </w:rPr>
        <w:t>参加政府采购活动前三年内，在经营活动中没有重大违法记录；</w:t>
      </w:r>
    </w:p>
    <w:p w14:paraId="1F3091F3">
      <w:pPr>
        <w:pStyle w:val="29"/>
        <w:keepNext w:val="0"/>
        <w:keepLines w:val="0"/>
        <w:pageBreakBefore w:val="0"/>
        <w:widowControl w:val="0"/>
        <w:numPr>
          <w:ilvl w:val="0"/>
          <w:numId w:val="0"/>
        </w:numPr>
        <w:shd w:val="clear" w:color="auto" w:fill="auto"/>
        <w:tabs>
          <w:tab w:val="left" w:pos="977"/>
        </w:tabs>
        <w:wordWrap/>
        <w:overflowPunct/>
        <w:topLinePunct w:val="0"/>
        <w:bidi w:val="0"/>
        <w:spacing w:before="0" w:after="0" w:line="610" w:lineRule="exact"/>
        <w:ind w:left="580" w:leftChars="0" w:right="0" w:rightChars="0"/>
        <w:jc w:val="both"/>
        <w:rPr>
          <w:rFonts w:hint="eastAsia" w:ascii="宋体" w:hAnsi="宋体" w:eastAsia="宋体" w:cs="宋体"/>
          <w:b w:val="0"/>
          <w:bCs w:val="0"/>
          <w:i w:val="0"/>
          <w:iCs w:val="0"/>
          <w:smallCaps w:val="0"/>
          <w:strike w:val="0"/>
          <w:color w:val="auto"/>
          <w:spacing w:val="0"/>
          <w:w w:val="100"/>
          <w:position w:val="0"/>
          <w:sz w:val="24"/>
          <w:szCs w:val="24"/>
          <w:highlight w:val="none"/>
        </w:rPr>
      </w:pPr>
      <w:r>
        <w:rPr>
          <w:rFonts w:hint="eastAsia" w:ascii="宋体" w:hAnsi="宋体" w:eastAsia="宋体" w:cs="宋体"/>
          <w:b w:val="0"/>
          <w:bCs w:val="0"/>
          <w:i w:val="0"/>
          <w:iCs w:val="0"/>
          <w:smallCaps w:val="0"/>
          <w:strike w:val="0"/>
          <w:color w:val="auto"/>
          <w:spacing w:val="0"/>
          <w:w w:val="100"/>
          <w:position w:val="0"/>
          <w:sz w:val="24"/>
          <w:szCs w:val="24"/>
          <w:highlight w:val="none"/>
          <w:lang w:val="en-US" w:eastAsia="zh-CN"/>
        </w:rPr>
        <w:t>6、</w:t>
      </w:r>
      <w:r>
        <w:rPr>
          <w:rFonts w:hint="eastAsia" w:ascii="宋体" w:hAnsi="宋体" w:eastAsia="宋体" w:cs="宋体"/>
          <w:b w:val="0"/>
          <w:bCs w:val="0"/>
          <w:i w:val="0"/>
          <w:iCs w:val="0"/>
          <w:smallCaps w:val="0"/>
          <w:strike w:val="0"/>
          <w:color w:val="auto"/>
          <w:spacing w:val="0"/>
          <w:w w:val="100"/>
          <w:position w:val="0"/>
          <w:sz w:val="24"/>
          <w:szCs w:val="24"/>
          <w:highlight w:val="none"/>
        </w:rPr>
        <w:t>符合法律、行政法规规定的其他条件。</w:t>
      </w:r>
    </w:p>
    <w:p w14:paraId="51ABDDE1">
      <w:pPr>
        <w:pStyle w:val="29"/>
        <w:keepNext w:val="0"/>
        <w:keepLines w:val="0"/>
        <w:pageBreakBefore w:val="0"/>
        <w:widowControl w:val="0"/>
        <w:shd w:val="clear" w:color="auto" w:fill="auto"/>
        <w:wordWrap/>
        <w:overflowPunct/>
        <w:topLinePunct w:val="0"/>
        <w:bidi w:val="0"/>
        <w:spacing w:before="0" w:after="0" w:line="653"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（二）我单位（本人）未被列入严重失信主体名单、失信被执行人、</w:t>
      </w:r>
      <w:r>
        <w:rPr>
          <w:rFonts w:hint="eastAsia" w:ascii="宋体" w:hAnsi="宋体" w:eastAsia="宋体" w:cs="宋体"/>
          <w:color w:val="auto"/>
          <w:spacing w:val="0"/>
          <w:w w:val="100"/>
          <w:position w:val="0"/>
          <w:sz w:val="24"/>
          <w:szCs w:val="24"/>
          <w:highlight w:val="none"/>
          <w:lang w:val="en-US" w:eastAsia="zh-CN"/>
        </w:rPr>
        <w:t>税收违法黑名单</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重大</w:t>
      </w:r>
      <w:r>
        <w:rPr>
          <w:rFonts w:hint="eastAsia" w:ascii="宋体" w:hAnsi="宋体" w:eastAsia="宋体" w:cs="宋体"/>
          <w:color w:val="auto"/>
          <w:spacing w:val="0"/>
          <w:w w:val="100"/>
          <w:position w:val="0"/>
          <w:sz w:val="24"/>
          <w:szCs w:val="24"/>
          <w:highlight w:val="none"/>
        </w:rPr>
        <w:t>税收违法</w:t>
      </w:r>
      <w:r>
        <w:rPr>
          <w:rFonts w:hint="eastAsia" w:ascii="宋体" w:hAnsi="宋体" w:eastAsia="宋体" w:cs="宋体"/>
          <w:color w:val="auto"/>
          <w:spacing w:val="0"/>
          <w:w w:val="100"/>
          <w:position w:val="0"/>
          <w:sz w:val="24"/>
          <w:szCs w:val="24"/>
          <w:highlight w:val="none"/>
          <w:lang w:val="en-US" w:eastAsia="zh-CN"/>
        </w:rPr>
        <w:t>失信主体）</w:t>
      </w:r>
      <w:r>
        <w:rPr>
          <w:rFonts w:hint="eastAsia" w:ascii="宋体" w:hAnsi="宋体" w:eastAsia="宋体" w:cs="宋体"/>
          <w:color w:val="auto"/>
          <w:spacing w:val="0"/>
          <w:w w:val="100"/>
          <w:position w:val="0"/>
          <w:sz w:val="24"/>
          <w:szCs w:val="24"/>
          <w:highlight w:val="none"/>
        </w:rPr>
        <w:t>、政府采购严重违法失信行为记录名单。</w:t>
      </w:r>
    </w:p>
    <w:p w14:paraId="093F573A">
      <w:pPr>
        <w:pStyle w:val="29"/>
        <w:keepNext w:val="0"/>
        <w:keepLines w:val="0"/>
        <w:pageBreakBefore w:val="0"/>
        <w:widowControl w:val="0"/>
        <w:shd w:val="clear" w:color="auto" w:fill="auto"/>
        <w:wordWrap/>
        <w:overflowPunct/>
        <w:topLinePunct w:val="0"/>
        <w:bidi w:val="0"/>
        <w:spacing w:before="0" w:after="580" w:line="605" w:lineRule="exact"/>
        <w:ind w:left="0" w:leftChars="0" w:right="0" w:firstLine="480" w:firstLineChars="200"/>
        <w:jc w:val="both"/>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xml:space="preserve">我单位（本人）对本承诺函及所承诺事项的真实性、合法性及有效性负责，并已知晓如所作信用承诺不实，可能涉嫌《中华人民共和国政府采购法》第七十七条第一款第（一）项规定的 </w:t>
      </w:r>
      <w:r>
        <w:rPr>
          <w:rFonts w:hint="eastAsia" w:ascii="宋体" w:hAnsi="宋体" w:eastAsia="宋体" w:cs="宋体"/>
          <w:color w:val="auto"/>
          <w:spacing w:val="0"/>
          <w:w w:val="100"/>
          <w:position w:val="0"/>
          <w:sz w:val="24"/>
          <w:szCs w:val="24"/>
          <w:highlight w:val="none"/>
          <w:lang w:val="zh-CN" w:eastAsia="zh-CN" w:bidi="zh-CN"/>
        </w:rPr>
        <w:t>“提供</w:t>
      </w:r>
      <w:r>
        <w:rPr>
          <w:rFonts w:hint="eastAsia" w:ascii="宋体" w:hAnsi="宋体" w:eastAsia="宋体" w:cs="宋体"/>
          <w:color w:val="auto"/>
          <w:spacing w:val="0"/>
          <w:w w:val="100"/>
          <w:position w:val="0"/>
          <w:sz w:val="24"/>
          <w:szCs w:val="24"/>
          <w:highlight w:val="none"/>
        </w:rPr>
        <w:t>虚假材料谋取中标、成交”违法情形。经调查属实的，自觉接受政府采购行政监管部门按照《中华人民共和国政府采购法》第七十七条：</w:t>
      </w:r>
      <w:r>
        <w:rPr>
          <w:rFonts w:hint="eastAsia" w:ascii="宋体" w:hAnsi="宋体" w:eastAsia="宋体" w:cs="宋体"/>
          <w:color w:val="auto"/>
          <w:spacing w:val="0"/>
          <w:w w:val="100"/>
          <w:position w:val="0"/>
          <w:sz w:val="24"/>
          <w:szCs w:val="24"/>
          <w:highlight w:val="none"/>
          <w:lang w:val="zh-CN" w:eastAsia="zh-CN" w:bidi="zh-CN"/>
        </w:rPr>
        <w:t>“处</w:t>
      </w:r>
      <w:r>
        <w:rPr>
          <w:rFonts w:hint="eastAsia" w:ascii="宋体" w:hAnsi="宋体" w:eastAsia="宋体" w:cs="宋体"/>
          <w:color w:val="auto"/>
          <w:spacing w:val="0"/>
          <w:w w:val="100"/>
          <w:position w:val="0"/>
          <w:sz w:val="24"/>
          <w:szCs w:val="24"/>
          <w:highlight w:val="none"/>
        </w:rPr>
        <w:t>以采购金额千分之五以上千分之十以下的罚款，列入不良行为记录名单，在一至三年内禁止参加政府采购活动，有违法所得的，并处没收违法所得，情节严重的，由市场监管部门吊销营业执照；构成犯罪的，依法追究刑事责任”处理。</w:t>
      </w:r>
    </w:p>
    <w:p w14:paraId="6A472296">
      <w:pPr>
        <w:pStyle w:val="29"/>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供应商名称（单位公章）：</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C3F68A1">
      <w:pPr>
        <w:pStyle w:val="29"/>
        <w:keepNext w:val="0"/>
        <w:keepLines w:val="0"/>
        <w:pageBreakBefore w:val="0"/>
        <w:widowControl w:val="0"/>
        <w:shd w:val="clear" w:color="auto" w:fill="auto"/>
        <w:wordWrap/>
        <w:overflowPunct/>
        <w:topLinePunct w:val="0"/>
        <w:bidi w:val="0"/>
        <w:spacing w:before="0" w:after="0" w:line="605" w:lineRule="exact"/>
        <w:ind w:left="0" w:right="0" w:firstLine="0"/>
        <w:jc w:val="center"/>
        <w:rPr>
          <w:rFonts w:hint="eastAsia" w:ascii="宋体" w:hAnsi="宋体" w:eastAsia="宋体" w:cs="宋体"/>
          <w:color w:val="auto"/>
          <w:spacing w:val="0"/>
          <w:w w:val="100"/>
          <w:position w:val="0"/>
          <w:sz w:val="24"/>
          <w:szCs w:val="24"/>
          <w:highlight w:val="none"/>
          <w:u w:val="single"/>
          <w:lang w:val="en-US" w:eastAsia="zh-CN"/>
        </w:rPr>
      </w:pPr>
      <w:r>
        <w:rPr>
          <w:rFonts w:hint="eastAsia" w:ascii="宋体" w:hAnsi="宋体" w:eastAsia="宋体" w:cs="宋体"/>
          <w:color w:val="auto"/>
          <w:spacing w:val="0"/>
          <w:w w:val="100"/>
          <w:position w:val="0"/>
          <w:sz w:val="24"/>
          <w:szCs w:val="24"/>
          <w:highlight w:val="none"/>
        </w:rPr>
        <w:t>或自然人（签字）：</w:t>
      </w:r>
      <w:r>
        <w:rPr>
          <w:rFonts w:hint="eastAsia" w:ascii="宋体" w:hAnsi="宋体" w:eastAsia="宋体" w:cs="宋体"/>
          <w:color w:val="auto"/>
          <w:spacing w:val="0"/>
          <w:w w:val="100"/>
          <w:position w:val="0"/>
          <w:sz w:val="24"/>
          <w:szCs w:val="24"/>
          <w:highlight w:val="none"/>
          <w:u w:val="single"/>
          <w:lang w:val="en-US" w:eastAsia="zh-CN"/>
        </w:rPr>
        <w:t xml:space="preserve">                          </w:t>
      </w:r>
    </w:p>
    <w:p w14:paraId="536A267D">
      <w:pPr>
        <w:pStyle w:val="29"/>
        <w:keepNext w:val="0"/>
        <w:keepLines w:val="0"/>
        <w:pageBreakBefore w:val="0"/>
        <w:widowControl w:val="0"/>
        <w:shd w:val="clear" w:color="auto" w:fill="auto"/>
        <w:wordWrap/>
        <w:overflowPunct/>
        <w:topLinePunct w:val="0"/>
        <w:bidi w:val="0"/>
        <w:spacing w:before="0" w:after="520" w:line="605" w:lineRule="exact"/>
        <w:ind w:left="0" w:right="0" w:firstLine="0"/>
        <w:jc w:val="right"/>
        <w:rPr>
          <w:rFonts w:hint="eastAsia" w:ascii="宋体" w:hAnsi="宋体" w:eastAsia="宋体" w:cs="宋体"/>
          <w:color w:val="auto"/>
          <w:spacing w:val="0"/>
          <w:w w:val="100"/>
          <w:position w:val="0"/>
          <w:sz w:val="24"/>
          <w:szCs w:val="24"/>
          <w:highlight w:val="none"/>
          <w:lang w:val="en-US" w:eastAsia="zh-CN"/>
        </w:rPr>
      </w:pPr>
    </w:p>
    <w:p w14:paraId="56E1497C">
      <w:pPr>
        <w:pStyle w:val="29"/>
        <w:keepNext w:val="0"/>
        <w:keepLines w:val="0"/>
        <w:pageBreakBefore w:val="0"/>
        <w:widowControl w:val="0"/>
        <w:shd w:val="clear" w:color="auto" w:fill="auto"/>
        <w:wordWrap/>
        <w:overflowPunct/>
        <w:topLinePunct w:val="0"/>
        <w:bidi w:val="0"/>
        <w:spacing w:before="0" w:after="520" w:line="605" w:lineRule="exact"/>
        <w:ind w:left="0" w:right="0" w:firstLine="0"/>
        <w:jc w:val="cente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u w:val="non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rPr>
        <w:t>月</w:t>
      </w:r>
      <w:r>
        <w:rPr>
          <w:rFonts w:hint="eastAsia" w:ascii="宋体" w:hAnsi="宋体" w:eastAsia="宋体" w:cs="宋体"/>
          <w:color w:val="auto"/>
          <w:spacing w:val="0"/>
          <w:w w:val="100"/>
          <w:position w:val="0"/>
          <w:sz w:val="24"/>
          <w:szCs w:val="24"/>
          <w:highlight w:val="none"/>
          <w:u w:val="single"/>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rPr>
        <w:t>日</w:t>
      </w:r>
    </w:p>
    <w:p w14:paraId="5EF85B6A">
      <w:pPr>
        <w:pStyle w:val="30"/>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rPr>
        <w:t>注:</w:t>
      </w:r>
    </w:p>
    <w:p w14:paraId="16431240">
      <w:pPr>
        <w:pStyle w:val="30"/>
        <w:keepNext w:val="0"/>
        <w:keepLines w:val="0"/>
        <w:pageBreakBefore w:val="0"/>
        <w:widowControl w:val="0"/>
        <w:shd w:val="clear" w:color="auto" w:fill="auto"/>
        <w:wordWrap/>
        <w:overflowPunct/>
        <w:topLinePunct w:val="0"/>
        <w:bidi w:val="0"/>
        <w:spacing w:before="0" w:after="0" w:line="602" w:lineRule="exact"/>
        <w:ind w:left="0" w:right="0" w:firstLine="0"/>
        <w:jc w:val="both"/>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1、</w:t>
      </w:r>
      <w:r>
        <w:rPr>
          <w:rFonts w:hint="eastAsia" w:ascii="宋体" w:hAnsi="宋体" w:eastAsia="宋体" w:cs="宋体"/>
          <w:b w:val="0"/>
          <w:bCs w:val="0"/>
          <w:color w:val="auto"/>
          <w:spacing w:val="0"/>
          <w:w w:val="100"/>
          <w:position w:val="0"/>
          <w:sz w:val="24"/>
          <w:szCs w:val="24"/>
          <w:highlight w:val="none"/>
        </w:rPr>
        <w:t>我单位（本人）专指参加政府采购活动的供应商（含自然人）</w:t>
      </w:r>
      <w:r>
        <w:rPr>
          <w:rFonts w:hint="eastAsia" w:ascii="宋体" w:hAnsi="宋体" w:eastAsia="宋体" w:cs="宋体"/>
          <w:b w:val="0"/>
          <w:bCs w:val="0"/>
          <w:color w:val="auto"/>
          <w:spacing w:val="0"/>
          <w:w w:val="100"/>
          <w:position w:val="0"/>
          <w:sz w:val="24"/>
          <w:szCs w:val="24"/>
          <w:highlight w:val="none"/>
          <w:lang w:eastAsia="zh-CN"/>
        </w:rPr>
        <w:t>。</w:t>
      </w:r>
    </w:p>
    <w:p w14:paraId="013F32F4">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lang w:eastAsia="zh-CN"/>
        </w:rPr>
      </w:pPr>
      <w:r>
        <w:rPr>
          <w:rFonts w:hint="eastAsia" w:ascii="宋体" w:hAnsi="宋体" w:eastAsia="宋体" w:cs="宋体"/>
          <w:b w:val="0"/>
          <w:bCs w:val="0"/>
          <w:color w:val="auto"/>
          <w:spacing w:val="0"/>
          <w:w w:val="100"/>
          <w:position w:val="0"/>
          <w:sz w:val="24"/>
          <w:szCs w:val="24"/>
          <w:highlight w:val="none"/>
          <w:lang w:val="en-US" w:eastAsia="zh-CN"/>
        </w:rPr>
        <w:t>2、</w:t>
      </w:r>
      <w:r>
        <w:rPr>
          <w:rFonts w:hint="eastAsia" w:ascii="宋体" w:hAnsi="宋体" w:eastAsia="宋体" w:cs="宋体"/>
          <w:b w:val="0"/>
          <w:bCs w:val="0"/>
          <w:color w:val="auto"/>
          <w:spacing w:val="0"/>
          <w:w w:val="100"/>
          <w:position w:val="0"/>
          <w:sz w:val="24"/>
          <w:szCs w:val="24"/>
          <w:highlight w:val="none"/>
        </w:rPr>
        <w:t>供应商须在投标文件中按此模板提供承诺函，既未提供</w:t>
      </w:r>
      <w:r>
        <w:rPr>
          <w:rFonts w:hint="eastAsia" w:ascii="宋体" w:hAnsi="宋体" w:eastAsia="宋体" w:cs="宋体"/>
          <w:b w:val="0"/>
          <w:bCs w:val="0"/>
          <w:color w:val="auto"/>
          <w:spacing w:val="0"/>
          <w:w w:val="100"/>
          <w:position w:val="0"/>
          <w:sz w:val="24"/>
          <w:szCs w:val="24"/>
          <w:highlight w:val="none"/>
          <w:lang w:val="en-US" w:eastAsia="zh-CN"/>
        </w:rPr>
        <w:t>上</w:t>
      </w:r>
      <w:r>
        <w:rPr>
          <w:rFonts w:hint="eastAsia" w:ascii="宋体" w:hAnsi="宋体" w:eastAsia="宋体" w:cs="宋体"/>
          <w:b w:val="0"/>
          <w:bCs w:val="0"/>
          <w:color w:val="auto"/>
          <w:spacing w:val="0"/>
          <w:w w:val="100"/>
          <w:position w:val="0"/>
          <w:sz w:val="24"/>
          <w:szCs w:val="24"/>
          <w:highlight w:val="none"/>
        </w:rPr>
        <w:t>述承诺函又未提供对应事项证明材料的，视为未实质响应招标文件要求，按无效投标处理</w:t>
      </w:r>
      <w:r>
        <w:rPr>
          <w:rFonts w:hint="eastAsia" w:ascii="宋体" w:hAnsi="宋体" w:eastAsia="宋体" w:cs="宋体"/>
          <w:b w:val="0"/>
          <w:bCs w:val="0"/>
          <w:color w:val="auto"/>
          <w:spacing w:val="0"/>
          <w:w w:val="100"/>
          <w:position w:val="0"/>
          <w:sz w:val="24"/>
          <w:szCs w:val="24"/>
          <w:highlight w:val="none"/>
          <w:lang w:eastAsia="zh-CN"/>
        </w:rPr>
        <w:t>。</w:t>
      </w:r>
    </w:p>
    <w:p w14:paraId="37545028">
      <w:pPr>
        <w:pageBreakBefore w:val="0"/>
        <w:widowControl w:val="0"/>
        <w:wordWrap/>
        <w:overflowPunct/>
        <w:topLinePunct w:val="0"/>
        <w:bidi w:val="0"/>
        <w:spacing w:line="420" w:lineRule="exact"/>
        <w:ind w:left="13" w:hanging="12" w:hangingChars="5"/>
        <w:rPr>
          <w:rFonts w:hint="eastAsia" w:ascii="宋体" w:hAnsi="宋体" w:eastAsia="宋体" w:cs="宋体"/>
          <w:b w:val="0"/>
          <w:bCs w:val="0"/>
          <w:color w:val="auto"/>
          <w:spacing w:val="0"/>
          <w:w w:val="100"/>
          <w:position w:val="0"/>
          <w:sz w:val="24"/>
          <w:szCs w:val="24"/>
          <w:highlight w:val="none"/>
        </w:rPr>
      </w:pPr>
      <w:r>
        <w:rPr>
          <w:rFonts w:hint="eastAsia" w:ascii="宋体" w:hAnsi="宋体" w:eastAsia="宋体" w:cs="宋体"/>
          <w:b w:val="0"/>
          <w:bCs w:val="0"/>
          <w:color w:val="auto"/>
          <w:spacing w:val="0"/>
          <w:w w:val="100"/>
          <w:position w:val="0"/>
          <w:sz w:val="24"/>
          <w:szCs w:val="24"/>
          <w:highlight w:val="none"/>
          <w:lang w:val="en-US" w:eastAsia="zh-CN"/>
        </w:rPr>
        <w:t>3、</w:t>
      </w:r>
      <w:r>
        <w:rPr>
          <w:rFonts w:hint="eastAsia" w:ascii="宋体" w:hAnsi="宋体" w:eastAsia="宋体" w:cs="宋体"/>
          <w:b w:val="0"/>
          <w:bCs w:val="0"/>
          <w:color w:val="auto"/>
          <w:spacing w:val="0"/>
          <w:w w:val="100"/>
          <w:position w:val="0"/>
          <w:sz w:val="24"/>
          <w:szCs w:val="24"/>
          <w:highlight w:val="none"/>
        </w:rPr>
        <w:t>采购人可以在公告中标结果后、签订政府采购合同前, 核实中标供应商所作信用承诺事项的真实性。</w:t>
      </w:r>
    </w:p>
    <w:p w14:paraId="3E593118">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宋体" w:hAnsi="宋体" w:eastAsia="宋体" w:cs="宋体"/>
          <w:b/>
          <w:bCs/>
          <w:color w:val="auto"/>
          <w:spacing w:val="0"/>
          <w:w w:val="100"/>
          <w:position w:val="0"/>
          <w:sz w:val="24"/>
          <w:szCs w:val="24"/>
          <w:highlight w:val="none"/>
        </w:rPr>
      </w:pPr>
    </w:p>
    <w:p w14:paraId="6D9E9BC3">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sectPr>
          <w:footerReference r:id="rId12" w:type="default"/>
          <w:pgSz w:w="11906" w:h="16839"/>
          <w:pgMar w:top="1431" w:right="1300" w:bottom="1429" w:left="1366" w:header="0" w:footer="994" w:gutter="0"/>
          <w:cols w:space="720" w:num="1"/>
        </w:sectPr>
      </w:pPr>
    </w:p>
    <w:p w14:paraId="0EA9DF89">
      <w:pPr>
        <w:keepNext w:val="0"/>
        <w:keepLines w:val="0"/>
        <w:pageBreakBefore w:val="0"/>
        <w:widowControl w:val="0"/>
        <w:kinsoku w:val="0"/>
        <w:wordWrap/>
        <w:overflowPunct/>
        <w:topLinePunct w:val="0"/>
        <w:autoSpaceDE w:val="0"/>
        <w:autoSpaceDN w:val="0"/>
        <w:bidi w:val="0"/>
        <w:adjustRightInd w:val="0"/>
        <w:snapToGrid w:val="0"/>
        <w:spacing w:before="78" w:afterAutospacing="0" w:line="360" w:lineRule="auto"/>
        <w:ind w:left="40"/>
        <w:jc w:val="both"/>
        <w:textAlignment w:val="baseline"/>
        <w:outlineLvl w:val="1"/>
        <w:rPr>
          <w:rFonts w:hint="eastAsia" w:ascii="宋体" w:hAnsi="宋体" w:eastAsia="宋体" w:cs="宋体"/>
          <w:b/>
          <w:bCs/>
          <w:color w:val="auto"/>
          <w:spacing w:val="0"/>
          <w:w w:val="100"/>
          <w:position w:val="0"/>
          <w:sz w:val="24"/>
          <w:szCs w:val="24"/>
          <w:highlight w:val="none"/>
          <w:lang w:val="en-US" w:eastAsia="zh-CN"/>
        </w:rPr>
      </w:pPr>
      <w:bookmarkStart w:id="123" w:name="bookmark61"/>
      <w:bookmarkEnd w:id="123"/>
      <w:bookmarkStart w:id="124" w:name="bookmark60"/>
      <w:bookmarkEnd w:id="124"/>
      <w:bookmarkStart w:id="125" w:name="_Toc29856"/>
      <w:r>
        <w:rPr>
          <w:rFonts w:hint="eastAsia" w:ascii="宋体" w:hAnsi="宋体" w:eastAsia="宋体" w:cs="宋体"/>
          <w:b/>
          <w:bCs/>
          <w:color w:val="auto"/>
          <w:spacing w:val="0"/>
          <w:sz w:val="24"/>
          <w:szCs w:val="24"/>
          <w:highlight w:val="none"/>
        </w:rPr>
        <w:t>说明：如</w:t>
      </w:r>
      <w:r>
        <w:rPr>
          <w:rFonts w:hint="eastAsia" w:ascii="宋体" w:hAnsi="宋体" w:eastAsia="宋体" w:cs="宋体"/>
          <w:b/>
          <w:bCs/>
          <w:color w:val="auto"/>
          <w:spacing w:val="0"/>
          <w:sz w:val="24"/>
          <w:szCs w:val="24"/>
          <w:highlight w:val="none"/>
          <w:lang w:eastAsia="zh-CN"/>
        </w:rPr>
        <w:t>投标人</w:t>
      </w:r>
      <w:r>
        <w:rPr>
          <w:rFonts w:hint="eastAsia" w:ascii="宋体" w:hAnsi="宋体" w:eastAsia="宋体" w:cs="宋体"/>
          <w:b/>
          <w:bCs/>
          <w:color w:val="auto"/>
          <w:spacing w:val="0"/>
          <w:sz w:val="24"/>
          <w:szCs w:val="24"/>
          <w:highlight w:val="none"/>
        </w:rPr>
        <w:t>提供了《江西省政府采购供应商资格信用承诺函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rPr>
        <w:t>的，</w:t>
      </w:r>
      <w:r>
        <w:rPr>
          <w:rFonts w:hint="eastAsia" w:ascii="宋体" w:hAnsi="宋体" w:eastAsia="宋体" w:cs="宋体"/>
          <w:b/>
          <w:bCs/>
          <w:color w:val="auto"/>
          <w:spacing w:val="0"/>
          <w:sz w:val="24"/>
          <w:szCs w:val="24"/>
          <w:highlight w:val="none"/>
          <w:lang w:val="en-US" w:eastAsia="zh-CN"/>
        </w:rPr>
        <w:t>视同提供了</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val="en-US" w:eastAsia="zh-CN"/>
        </w:rPr>
        <w:t>，未提供</w:t>
      </w:r>
      <w:r>
        <w:rPr>
          <w:rFonts w:hint="eastAsia" w:ascii="宋体" w:hAnsi="宋体" w:eastAsia="宋体" w:cs="宋体"/>
          <w:b/>
          <w:bCs/>
          <w:color w:val="auto"/>
          <w:spacing w:val="0"/>
          <w:sz w:val="24"/>
          <w:szCs w:val="24"/>
          <w:highlight w:val="none"/>
        </w:rPr>
        <w:t>《江西省政府采购供应商资格信用承诺函</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的，须</w:t>
      </w:r>
      <w:r>
        <w:rPr>
          <w:rFonts w:hint="eastAsia" w:ascii="宋体" w:hAnsi="宋体" w:eastAsia="宋体" w:cs="宋体"/>
          <w:b/>
          <w:bCs/>
          <w:color w:val="auto"/>
          <w:spacing w:val="0"/>
          <w:sz w:val="24"/>
          <w:szCs w:val="24"/>
          <w:highlight w:val="none"/>
        </w:rPr>
        <w:t>提供下列项证明文件</w:t>
      </w:r>
      <w:r>
        <w:rPr>
          <w:rFonts w:hint="eastAsia" w:ascii="宋体" w:hAnsi="宋体" w:eastAsia="宋体" w:cs="宋体"/>
          <w:b/>
          <w:bCs/>
          <w:color w:val="auto"/>
          <w:spacing w:val="0"/>
          <w:sz w:val="24"/>
          <w:szCs w:val="24"/>
          <w:highlight w:val="none"/>
          <w:lang w:eastAsia="zh-CN"/>
        </w:rPr>
        <w:t>，</w:t>
      </w:r>
      <w:r>
        <w:rPr>
          <w:rFonts w:hint="eastAsia" w:ascii="宋体" w:hAnsi="宋体" w:eastAsia="宋体" w:cs="宋体"/>
          <w:b/>
          <w:bCs/>
          <w:color w:val="auto"/>
          <w:spacing w:val="0"/>
          <w:sz w:val="24"/>
          <w:szCs w:val="24"/>
          <w:highlight w:val="none"/>
          <w:lang w:val="en-US" w:eastAsia="zh-CN"/>
        </w:rPr>
        <w:t>证明其满足</w:t>
      </w:r>
      <w:r>
        <w:rPr>
          <w:rFonts w:hint="eastAsia" w:ascii="宋体" w:hAnsi="宋体" w:eastAsia="宋体" w:cs="宋体"/>
          <w:b/>
          <w:bCs/>
          <w:color w:val="auto"/>
          <w:spacing w:val="0"/>
          <w:sz w:val="24"/>
          <w:szCs w:val="24"/>
          <w:highlight w:val="none"/>
        </w:rPr>
        <w:t>“《中华人民共和国政府采购法》第二十二条规定”。</w:t>
      </w:r>
      <w:r>
        <w:rPr>
          <w:rFonts w:hint="eastAsia" w:ascii="宋体" w:hAnsi="宋体" w:eastAsia="宋体" w:cs="宋体"/>
          <w:b/>
          <w:bCs/>
          <w:color w:val="auto"/>
          <w:spacing w:val="0"/>
          <w:sz w:val="24"/>
          <w:szCs w:val="24"/>
          <w:highlight w:val="none"/>
          <w:lang w:val="en-US" w:eastAsia="zh-CN"/>
        </w:rPr>
        <w:t>如为联合体投标的，联合体各方均应提供</w:t>
      </w:r>
      <w:r>
        <w:rPr>
          <w:rFonts w:hint="eastAsia" w:ascii="宋体" w:hAnsi="宋体" w:eastAsia="宋体" w:cs="宋体"/>
          <w:b/>
          <w:bCs/>
          <w:color w:val="auto"/>
          <w:spacing w:val="0"/>
          <w:sz w:val="24"/>
          <w:szCs w:val="24"/>
          <w:highlight w:val="none"/>
        </w:rPr>
        <w:t>满足“《中华人民共和国政府采购法》第二十二条规定”的证明文件</w:t>
      </w:r>
      <w:r>
        <w:rPr>
          <w:rFonts w:hint="eastAsia" w:ascii="宋体" w:hAnsi="宋体" w:eastAsia="宋体" w:cs="宋体"/>
          <w:b/>
          <w:bCs/>
          <w:color w:val="auto"/>
          <w:spacing w:val="0"/>
          <w:sz w:val="24"/>
          <w:szCs w:val="24"/>
          <w:highlight w:val="none"/>
          <w:lang w:eastAsia="zh-CN"/>
        </w:rPr>
        <w:t>。</w:t>
      </w:r>
      <w:bookmarkEnd w:id="125"/>
    </w:p>
    <w:p w14:paraId="126E395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0"/>
        <w:textAlignment w:val="baseline"/>
        <w:outlineLvl w:val="1"/>
        <w:rPr>
          <w:rFonts w:hint="eastAsia" w:ascii="宋体" w:hAnsi="宋体" w:eastAsia="宋体" w:cs="宋体"/>
          <w:color w:val="auto"/>
          <w:spacing w:val="0"/>
          <w:w w:val="100"/>
          <w:position w:val="0"/>
          <w:sz w:val="24"/>
          <w:szCs w:val="24"/>
          <w:highlight w:val="none"/>
          <w:lang w:eastAsia="zh-CN"/>
        </w:rPr>
      </w:pPr>
      <w:bookmarkStart w:id="126" w:name="_Toc15136"/>
      <w:r>
        <w:rPr>
          <w:rFonts w:hint="eastAsia" w:ascii="宋体" w:hAnsi="宋体" w:eastAsia="宋体" w:cs="宋体"/>
          <w:b/>
          <w:bCs/>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具有独立承担民事责任的能力的资格证明文件</w:t>
      </w:r>
      <w:bookmarkEnd w:id="126"/>
    </w:p>
    <w:p w14:paraId="1EA3C16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476" w:leftChars="0" w:right="99" w:firstLine="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如投标人是企业的（包括合伙企业）应提供有效的“企业法人营业执照 ”或“营业执照 ”；如投标人是事业单位的应提供“事业单位法人证书 ”；如投标人是非企业专业服务机构的应提供执业许可证等证明文件；投标人是个体工商户的应提供有效的“个体工商户营业执照 ”、组织机构代码证证明文件（实行“统一社会信用代码 ”的不需单独提供组织机构代码证）；如投标人是自然人的，应提供有效的自然人的身份证明(中国公民)。</w:t>
      </w:r>
    </w:p>
    <w:p w14:paraId="2FEC6CB3">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37"/>
        <w:textAlignment w:val="baseline"/>
        <w:outlineLvl w:val="1"/>
        <w:rPr>
          <w:rFonts w:hint="eastAsia" w:ascii="宋体" w:hAnsi="宋体" w:eastAsia="宋体" w:cs="宋体"/>
          <w:color w:val="auto"/>
          <w:spacing w:val="0"/>
          <w:w w:val="100"/>
          <w:position w:val="0"/>
          <w:sz w:val="24"/>
          <w:szCs w:val="24"/>
          <w:highlight w:val="none"/>
          <w:lang w:eastAsia="zh-CN"/>
        </w:rPr>
      </w:pPr>
      <w:bookmarkStart w:id="127" w:name="bookmark62"/>
      <w:bookmarkEnd w:id="127"/>
      <w:bookmarkStart w:id="128" w:name="_Toc19492"/>
      <w:r>
        <w:rPr>
          <w:rFonts w:hint="eastAsia" w:ascii="宋体" w:hAnsi="宋体" w:eastAsia="宋体" w:cs="宋体"/>
          <w:b/>
          <w:bCs/>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具有良好的商业信誉和健全的财务会计制度的证明文件</w:t>
      </w:r>
      <w:bookmarkEnd w:id="128"/>
    </w:p>
    <w:p w14:paraId="5262072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99" w:leftChars="0" w:right="99" w:firstLine="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投标人是法人的，提供开标前二个年度内任一年度经审计的财务状况报告，或在开标前三个月内其基本开户银行出具的资信证明；其他组织和自然人，没有经审计的财务报告，可以提供在开标前三个月内银行出具的资信证明；个体工商户提供开标前三个月中国人民银行征信中心开具个人信用报告。</w:t>
      </w:r>
    </w:p>
    <w:p w14:paraId="0FA5C39F">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44" w:leftChars="21" w:firstLine="0" w:firstLineChars="0"/>
        <w:textAlignment w:val="baseline"/>
        <w:outlineLvl w:val="1"/>
        <w:rPr>
          <w:rFonts w:hint="eastAsia" w:ascii="宋体" w:hAnsi="宋体" w:eastAsia="宋体" w:cs="宋体"/>
          <w:color w:val="auto"/>
          <w:spacing w:val="0"/>
          <w:w w:val="100"/>
          <w:position w:val="0"/>
          <w:sz w:val="24"/>
          <w:szCs w:val="24"/>
          <w:highlight w:val="none"/>
          <w:lang w:eastAsia="zh-CN"/>
        </w:rPr>
      </w:pPr>
      <w:bookmarkStart w:id="129" w:name="bookmark63"/>
      <w:bookmarkEnd w:id="129"/>
      <w:bookmarkStart w:id="130" w:name="_Toc1222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3、具有履行合同所必需的设备和专业技术能力的证明文件</w:t>
      </w:r>
      <w:bookmarkEnd w:id="130"/>
    </w:p>
    <w:p w14:paraId="52C8C5B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42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投标人提供具有履行合同所必</w:t>
      </w:r>
      <w:r>
        <w:rPr>
          <w:rFonts w:hint="eastAsia" w:ascii="宋体" w:hAnsi="宋体" w:eastAsia="宋体" w:cs="宋体"/>
          <w:color w:val="auto"/>
          <w:spacing w:val="0"/>
          <w:w w:val="100"/>
          <w:position w:val="0"/>
          <w:sz w:val="24"/>
          <w:szCs w:val="24"/>
          <w:highlight w:val="none"/>
          <w:lang w:val="en-US" w:eastAsia="zh-CN"/>
        </w:rPr>
        <w:t>需</w:t>
      </w:r>
      <w:r>
        <w:rPr>
          <w:rFonts w:hint="eastAsia" w:ascii="宋体" w:hAnsi="宋体" w:eastAsia="宋体" w:cs="宋体"/>
          <w:color w:val="auto"/>
          <w:spacing w:val="0"/>
          <w:w w:val="100"/>
          <w:position w:val="0"/>
          <w:sz w:val="24"/>
          <w:szCs w:val="24"/>
          <w:highlight w:val="none"/>
          <w:lang w:eastAsia="zh-CN"/>
        </w:rPr>
        <w:t>的设备和专业技术能力的承诺函。</w:t>
      </w:r>
    </w:p>
    <w:p w14:paraId="0B1FEBB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highlight w:val="none"/>
          <w:lang w:eastAsia="zh-CN"/>
        </w:rPr>
      </w:pPr>
      <w:bookmarkStart w:id="131" w:name="bookmark64"/>
      <w:bookmarkEnd w:id="131"/>
      <w:bookmarkStart w:id="132" w:name="_Toc1342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4、有依法缴纳税收和社会保障资金的良好记录的证明文件</w:t>
      </w:r>
      <w:bookmarkEnd w:id="132"/>
    </w:p>
    <w:p w14:paraId="5907549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55"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税务登记证（实行“统一社会信用代码 ”的不需单独提供）和开标前六个月内任 意一个月的企业缴税凭证或证明；</w:t>
      </w:r>
    </w:p>
    <w:p w14:paraId="4E78F590">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65" w:leftChars="0" w:right="99" w:firstLine="0" w:firstLineChars="0"/>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开标前六个月内任意一个月的缴纳社会保障资金的凭证或当地社会保障局出具的缴纳明细。依法免税或不需要缴纳社会保障资金的投标人，应当提供相关文件证明其依法免税或不需要缴纳社会保障资金。</w:t>
      </w:r>
    </w:p>
    <w:p w14:paraId="5E76B6D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37"/>
        <w:textAlignment w:val="baseline"/>
        <w:outlineLvl w:val="1"/>
        <w:rPr>
          <w:rFonts w:hint="eastAsia" w:ascii="宋体" w:hAnsi="宋体" w:eastAsia="宋体" w:cs="宋体"/>
          <w:color w:val="auto"/>
          <w:spacing w:val="0"/>
          <w:w w:val="100"/>
          <w:position w:val="0"/>
          <w:sz w:val="24"/>
          <w:szCs w:val="24"/>
          <w:highlight w:val="none"/>
          <w:lang w:eastAsia="zh-CN"/>
        </w:rPr>
      </w:pPr>
      <w:bookmarkStart w:id="133" w:name="bookmark65"/>
      <w:bookmarkEnd w:id="133"/>
      <w:bookmarkStart w:id="134" w:name="_Toc3215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5、参加政府采购</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活动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前三年内，在经营活动中没有重大违法记录的证明文件</w:t>
      </w:r>
      <w:bookmarkEnd w:id="134"/>
    </w:p>
    <w:p w14:paraId="7771B474">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23" w:leftChars="154" w:right="9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参加政府采购前三年内,在经营活动中没有重大违法记录承诺函；重大违法记录，是指投标人因违法经营受到刑事处罚或者责令停产停业、吊销许可证或者执照、较大罚款等行政处罚。</w:t>
      </w:r>
    </w:p>
    <w:p w14:paraId="1AD5BFCE">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60" w:lineRule="exact"/>
        <w:ind w:left="37"/>
        <w:jc w:val="both"/>
        <w:textAlignment w:val="baseline"/>
        <w:outlineLvl w:val="1"/>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pPr>
      <w:bookmarkStart w:id="135" w:name="_Toc11102"/>
      <w:r>
        <w:rPr>
          <w:rFonts w:hint="eastAsia" w:ascii="宋体" w:hAnsi="宋体" w:eastAsia="宋体" w:cs="宋体"/>
          <w:color w:val="auto"/>
          <w:spacing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sz w:val="24"/>
          <w:szCs w:val="24"/>
          <w:highlight w:val="none"/>
          <w:lang w:eastAsia="zh-CN"/>
          <w14:textOutline w14:w="4356" w14:cap="sq" w14:cmpd="sng" w14:algn="ctr">
            <w14:solidFill>
              <w14:srgbClr w14:val="000000"/>
            </w14:solidFill>
            <w14:prstDash w14:val="solid"/>
            <w14:bevel/>
          </w14:textOutline>
        </w:rPr>
        <w:t>法律、行政法规规定的其他条件的证明文件</w:t>
      </w:r>
      <w:bookmarkEnd w:id="135"/>
    </w:p>
    <w:p w14:paraId="0FBD066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zh-CN" w:eastAsia="zh-CN"/>
        </w:rPr>
      </w:pPr>
      <w:r>
        <w:rPr>
          <w:rFonts w:hint="eastAsia" w:ascii="宋体" w:hAnsi="宋体" w:eastAsia="宋体" w:cs="宋体"/>
          <w:color w:val="auto"/>
          <w:spacing w:val="0"/>
          <w:sz w:val="24"/>
          <w:szCs w:val="24"/>
          <w:highlight w:val="none"/>
          <w:lang w:eastAsia="zh-CN"/>
        </w:rPr>
        <w:t>提供材料说明：</w:t>
      </w:r>
      <w:r>
        <w:rPr>
          <w:rFonts w:hint="eastAsia" w:ascii="宋体" w:hAnsi="宋体" w:eastAsia="宋体" w:cs="宋体"/>
          <w:color w:val="auto"/>
          <w:spacing w:val="0"/>
          <w:sz w:val="24"/>
          <w:szCs w:val="24"/>
          <w:highlight w:val="none"/>
          <w:lang w:val="zh-CN" w:eastAsia="zh-CN"/>
        </w:rPr>
        <w:t>提供</w:t>
      </w:r>
      <w:r>
        <w:rPr>
          <w:rFonts w:hint="eastAsia" w:ascii="宋体" w:hAnsi="宋体" w:eastAsia="宋体" w:cs="宋体"/>
          <w:color w:val="auto"/>
          <w:spacing w:val="0"/>
          <w:sz w:val="24"/>
          <w:szCs w:val="24"/>
          <w:highlight w:val="none"/>
          <w:lang w:val="en-US" w:eastAsia="zh-CN"/>
        </w:rPr>
        <w:t>满足法律、行政法规规定的其他条件的承诺函（格式自拟）</w:t>
      </w:r>
      <w:r>
        <w:rPr>
          <w:rFonts w:hint="eastAsia" w:ascii="宋体" w:hAnsi="宋体" w:eastAsia="宋体" w:cs="宋体"/>
          <w:color w:val="auto"/>
          <w:spacing w:val="0"/>
          <w:sz w:val="24"/>
          <w:szCs w:val="24"/>
          <w:highlight w:val="none"/>
          <w:lang w:val="zh-CN" w:eastAsia="zh-CN"/>
        </w:rPr>
        <w:t>。</w:t>
      </w:r>
    </w:p>
    <w:p w14:paraId="4A792152">
      <w:pPr>
        <w:keepNext w:val="0"/>
        <w:keepLines w:val="0"/>
        <w:pageBreakBefore w:val="0"/>
        <w:widowControl w:val="0"/>
        <w:kinsoku w:val="0"/>
        <w:wordWrap/>
        <w:overflowPunct/>
        <w:topLinePunct w:val="0"/>
        <w:autoSpaceDE w:val="0"/>
        <w:autoSpaceDN w:val="0"/>
        <w:bidi w:val="0"/>
        <w:adjustRightInd w:val="0"/>
        <w:snapToGrid w:val="0"/>
        <w:spacing w:beforeAutospacing="0" w:line="560" w:lineRule="exact"/>
        <w:ind w:left="323" w:leftChars="154" w:right="99" w:firstLine="0" w:firstLineChars="0"/>
        <w:jc w:val="both"/>
        <w:textAlignment w:val="baseline"/>
        <w:rPr>
          <w:rFonts w:hint="eastAsia" w:ascii="宋体" w:hAnsi="宋体" w:eastAsia="宋体" w:cs="宋体"/>
          <w:color w:val="auto"/>
          <w:spacing w:val="0"/>
          <w:sz w:val="24"/>
          <w:szCs w:val="24"/>
          <w:highlight w:val="none"/>
          <w:lang w:val="en-US" w:eastAsia="zh-CN"/>
        </w:rPr>
      </w:pPr>
      <w:r>
        <w:rPr>
          <w:rFonts w:hint="eastAsia" w:ascii="宋体" w:hAnsi="宋体" w:eastAsia="宋体" w:cs="宋体"/>
          <w:b/>
          <w:bCs/>
          <w:color w:val="auto"/>
          <w:spacing w:val="0"/>
          <w:sz w:val="24"/>
          <w:szCs w:val="24"/>
          <w:highlight w:val="none"/>
          <w:lang w:val="en-US" w:eastAsia="zh-CN"/>
        </w:rPr>
        <w:t>备注：本项目对特定资格要求有规定并需要提供证明材料的，从其规定，与本条款不冲突。</w:t>
      </w:r>
    </w:p>
    <w:p w14:paraId="561DE72D">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val="en-US" w:eastAsia="zh-CN"/>
        </w:rPr>
        <w:sectPr>
          <w:footerReference r:id="rId13" w:type="default"/>
          <w:pgSz w:w="11906" w:h="16839"/>
          <w:pgMar w:top="1431" w:right="1786" w:bottom="1429" w:left="1786" w:header="0" w:footer="994" w:gutter="0"/>
          <w:cols w:space="720" w:num="1"/>
        </w:sectPr>
      </w:pPr>
      <w:r>
        <w:rPr>
          <w:rFonts w:hint="eastAsia" w:ascii="宋体" w:hAnsi="宋体" w:eastAsia="宋体" w:cs="宋体"/>
          <w:color w:val="auto"/>
          <w:spacing w:val="0"/>
          <w:w w:val="100"/>
          <w:position w:val="0"/>
          <w:highlight w:val="none"/>
          <w:lang w:val="en-US" w:eastAsia="zh-CN"/>
        </w:rPr>
        <w:t xml:space="preserve"> </w:t>
      </w:r>
    </w:p>
    <w:p w14:paraId="28151339">
      <w:pPr>
        <w:pageBreakBefore w:val="0"/>
        <w:widowControl w:val="0"/>
        <w:wordWrap/>
        <w:overflowPunct/>
        <w:topLinePunct w:val="0"/>
        <w:bidi w:val="0"/>
        <w:spacing w:before="100" w:line="219" w:lineRule="auto"/>
        <w:ind w:left="3013"/>
        <w:outlineLvl w:val="1"/>
        <w:rPr>
          <w:rFonts w:hint="eastAsia" w:ascii="宋体" w:hAnsi="宋体" w:eastAsia="宋体" w:cs="宋体"/>
          <w:color w:val="auto"/>
          <w:spacing w:val="0"/>
          <w:w w:val="100"/>
          <w:position w:val="0"/>
          <w:sz w:val="24"/>
          <w:szCs w:val="24"/>
          <w:highlight w:val="none"/>
          <w:lang w:eastAsia="zh-CN"/>
        </w:rPr>
      </w:pPr>
      <w:bookmarkStart w:id="136" w:name="bookmark66"/>
      <w:bookmarkEnd w:id="136"/>
      <w:bookmarkStart w:id="137" w:name="_Toc2863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法定代表人授权书</w:t>
      </w:r>
      <w:bookmarkEnd w:id="137"/>
    </w:p>
    <w:p w14:paraId="1E60B3AB">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6F9F56DE">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1B5F466E">
      <w:pPr>
        <w:keepNext w:val="0"/>
        <w:keepLines w:val="0"/>
        <w:pageBreakBefore w:val="0"/>
        <w:widowControl w:val="0"/>
        <w:kinsoku w:val="0"/>
        <w:wordWrap/>
        <w:overflowPunct/>
        <w:topLinePunct w:val="0"/>
        <w:autoSpaceDE w:val="0"/>
        <w:autoSpaceDN w:val="0"/>
        <w:bidi w:val="0"/>
        <w:adjustRightInd w:val="0"/>
        <w:snapToGrid w:val="0"/>
        <w:spacing w:afterAutospacing="0" w:line="480" w:lineRule="auto"/>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致：</w:t>
      </w:r>
      <w:r>
        <w:rPr>
          <w:rFonts w:hint="eastAsia" w:ascii="宋体" w:hAnsi="宋体" w:eastAsia="宋体" w:cs="宋体"/>
          <w:color w:val="auto"/>
          <w:spacing w:val="0"/>
          <w:position w:val="0"/>
          <w:sz w:val="24"/>
          <w:szCs w:val="24"/>
          <w:highlight w:val="none"/>
          <w:u w:val="single"/>
          <w:lang w:eastAsia="zh-CN"/>
        </w:rPr>
        <w:t>采购代理机构名称</w:t>
      </w:r>
      <w:r>
        <w:rPr>
          <w:rFonts w:hint="eastAsia" w:ascii="宋体" w:hAnsi="宋体" w:eastAsia="宋体" w:cs="宋体"/>
          <w:color w:val="auto"/>
          <w:spacing w:val="0"/>
          <w:position w:val="0"/>
          <w:sz w:val="24"/>
          <w:szCs w:val="24"/>
          <w:highlight w:val="none"/>
          <w:u w:val="single"/>
          <w:lang w:val="en-US" w:eastAsia="zh-CN"/>
        </w:rPr>
        <w:t xml:space="preserve">       </w:t>
      </w:r>
    </w:p>
    <w:p w14:paraId="7E0060D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ind w:firstLine="480" w:firstLineChars="200"/>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本人_______（姓名）系________________（投标人名称）的法定代表人（单位负责人），现委托_______（姓名）为我方代理人。代理人根据授权，以我方名义签署、澄清确认、提交、撤回、修改________________（项目名称）投标文件和处理有关事宜，其法律后果由我方承担。 </w:t>
      </w:r>
    </w:p>
    <w:p w14:paraId="1E27EA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委托期限：自本授权委托书签署之日起至投标有效期届满之日止。 </w:t>
      </w:r>
    </w:p>
    <w:p w14:paraId="04BD6DF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代理人无转委托权。 </w:t>
      </w:r>
    </w:p>
    <w:p w14:paraId="1C78DEB0">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投标人名称（加盖公章）：________________ </w:t>
      </w:r>
    </w:p>
    <w:p w14:paraId="42707E64">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法定代表人（单位负责人）（签字或签章）：________________ </w:t>
      </w:r>
    </w:p>
    <w:p w14:paraId="22C06D3C">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委托代理人（签字或签章）：________________ </w:t>
      </w:r>
    </w:p>
    <w:p w14:paraId="11EEA2E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日期：_____年______月______日 </w:t>
      </w:r>
    </w:p>
    <w:p w14:paraId="3DD9817D">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lang w:eastAsia="zh-CN"/>
        </w:rPr>
      </w:pPr>
      <w:r>
        <w:rPr>
          <w:rFonts w:hint="eastAsia" w:ascii="宋体" w:hAnsi="宋体" w:eastAsia="宋体" w:cs="宋体"/>
          <w:snapToGrid w:val="0"/>
          <w:color w:val="000000"/>
          <w:kern w:val="0"/>
          <w:sz w:val="24"/>
          <w:szCs w:val="24"/>
          <w:highlight w:val="none"/>
          <w:lang w:val="en-US" w:eastAsia="zh-CN" w:bidi="ar"/>
        </w:rPr>
        <w:t>附：法定代表人（单位负责人）及委托代理人的身份证原件证扫描件（正、反面）</w:t>
      </w:r>
    </w:p>
    <w:p w14:paraId="12FD2796">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highlight w:val="none"/>
          <w:lang w:eastAsia="zh-CN"/>
        </w:rPr>
      </w:pPr>
    </w:p>
    <w:p w14:paraId="3CB0BB62">
      <w:pPr>
        <w:keepNext w:val="0"/>
        <w:keepLines w:val="0"/>
        <w:pageBreakBefore w:val="0"/>
        <w:widowControl/>
        <w:kinsoku w:val="0"/>
        <w:wordWrap/>
        <w:overflowPunct/>
        <w:topLinePunct w:val="0"/>
        <w:autoSpaceDE w:val="0"/>
        <w:autoSpaceDN w:val="0"/>
        <w:bidi w:val="0"/>
        <w:adjustRightInd w:val="0"/>
        <w:snapToGrid w:val="0"/>
        <w:spacing w:line="360" w:lineRule="exact"/>
        <w:jc w:val="left"/>
        <w:textAlignment w:val="baseline"/>
        <w:rPr>
          <w:rFonts w:hint="eastAsia" w:ascii="宋体" w:hAnsi="宋体" w:eastAsia="宋体" w:cs="宋体"/>
          <w:sz w:val="24"/>
          <w:szCs w:val="24"/>
          <w:highlight w:val="none"/>
          <w:lang w:eastAsia="zh-CN"/>
        </w:rPr>
      </w:pPr>
    </w:p>
    <w:p w14:paraId="0F216000">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说明：</w:t>
      </w:r>
    </w:p>
    <w:p w14:paraId="0966758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.若投标文件中签字处为授权委托人签署，提供《</w:t>
      </w:r>
      <w:r>
        <w:rPr>
          <w:rFonts w:hint="eastAsia" w:ascii="宋体" w:hAnsi="宋体" w:eastAsia="宋体" w:cs="宋体"/>
          <w:sz w:val="24"/>
          <w:szCs w:val="24"/>
          <w:highlight w:val="none"/>
          <w:lang w:val="en-US" w:eastAsia="zh-CN"/>
        </w:rPr>
        <w:t>法定代表人</w:t>
      </w:r>
      <w:r>
        <w:rPr>
          <w:rFonts w:hint="eastAsia" w:ascii="宋体" w:hAnsi="宋体" w:eastAsia="宋体" w:cs="宋体"/>
          <w:sz w:val="24"/>
          <w:szCs w:val="24"/>
          <w:highlight w:val="none"/>
          <w:lang w:eastAsia="zh-CN"/>
        </w:rPr>
        <w:t>授权书》，若投标文件中签字之处均为法定代表人（单位负责人）本人签署，则提供《法定代表人（单位负责人）资格声明》。</w:t>
      </w:r>
    </w:p>
    <w:p w14:paraId="3EB1978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lang w:eastAsia="zh-CN"/>
        </w:rPr>
        <w:t>.若投标人为事业单位或其他组织或分支机构，则法定代表人（单位负责人）处的签署人为单位负责人。</w:t>
      </w:r>
    </w:p>
    <w:p w14:paraId="46A992EF">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3.投标人为自然人的情形，无需提供本《</w:t>
      </w:r>
      <w:r>
        <w:rPr>
          <w:rFonts w:hint="eastAsia" w:ascii="宋体" w:hAnsi="宋体" w:eastAsia="宋体" w:cs="宋体"/>
          <w:sz w:val="24"/>
          <w:szCs w:val="24"/>
          <w:highlight w:val="none"/>
          <w:lang w:val="en-US" w:eastAsia="zh-CN"/>
        </w:rPr>
        <w:t>法定代表人</w:t>
      </w:r>
      <w:r>
        <w:rPr>
          <w:rFonts w:hint="eastAsia" w:ascii="宋体" w:hAnsi="宋体" w:eastAsia="宋体" w:cs="宋体"/>
          <w:sz w:val="24"/>
          <w:szCs w:val="24"/>
          <w:highlight w:val="none"/>
          <w:lang w:eastAsia="zh-CN"/>
        </w:rPr>
        <w:t>授权书》。</w:t>
      </w:r>
    </w:p>
    <w:p w14:paraId="76670334">
      <w:pPr>
        <w:rPr>
          <w:rFonts w:hint="eastAsia" w:ascii="宋体" w:hAnsi="宋体" w:eastAsia="宋体" w:cs="宋体"/>
          <w:highlight w:val="none"/>
          <w:lang w:eastAsia="zh-CN"/>
        </w:rPr>
      </w:pPr>
      <w:r>
        <w:rPr>
          <w:rFonts w:hint="eastAsia" w:ascii="宋体" w:hAnsi="宋体" w:eastAsia="宋体" w:cs="宋体"/>
          <w:highlight w:val="none"/>
          <w:lang w:eastAsia="zh-CN"/>
        </w:rPr>
        <w:br w:type="page"/>
      </w:r>
    </w:p>
    <w:p w14:paraId="4A8D2446">
      <w:pPr>
        <w:pageBreakBefore w:val="0"/>
        <w:widowControl w:val="0"/>
        <w:wordWrap/>
        <w:overflowPunct/>
        <w:topLinePunct w:val="0"/>
        <w:bidi w:val="0"/>
        <w:spacing w:before="100" w:line="219" w:lineRule="auto"/>
        <w:ind w:left="12" w:leftChars="0" w:hanging="12" w:hangingChars="5"/>
        <w:jc w:val="center"/>
        <w:outlineLvl w:val="1"/>
        <w:rPr>
          <w:rFonts w:hint="eastAsia" w:ascii="宋体" w:hAnsi="宋体" w:eastAsia="宋体" w:cs="宋体"/>
          <w:color w:val="auto"/>
          <w:spacing w:val="0"/>
          <w:position w:val="0"/>
          <w:sz w:val="24"/>
          <w:szCs w:val="24"/>
          <w:highlight w:val="none"/>
          <w:lang w:eastAsia="zh-CN"/>
          <w14:textOutline w14:w="4356" w14:cap="sq" w14:cmpd="sng" w14:algn="ctr">
            <w14:solidFill>
              <w14:srgbClr w14:val="000000"/>
            </w14:solidFill>
            <w14:prstDash w14:val="solid"/>
            <w14:bevel/>
          </w14:textOutline>
        </w:rPr>
      </w:pPr>
      <w:bookmarkStart w:id="138" w:name="_Toc14216"/>
      <w:r>
        <w:rPr>
          <w:rFonts w:hint="eastAsia" w:ascii="宋体" w:hAnsi="宋体" w:eastAsia="宋体" w:cs="宋体"/>
          <w:color w:val="auto"/>
          <w:spacing w:val="0"/>
          <w:position w:val="0"/>
          <w:sz w:val="24"/>
          <w:szCs w:val="24"/>
          <w:highlight w:val="none"/>
          <w:lang w:val="en-US" w:eastAsia="zh-CN"/>
          <w14:textOutline w14:w="4356" w14:cap="sq" w14:cmpd="sng" w14:algn="ctr">
            <w14:solidFill>
              <w14:srgbClr w14:val="000000"/>
            </w14:solidFill>
            <w14:prstDash w14:val="solid"/>
            <w14:bevel/>
          </w14:textOutline>
        </w:rPr>
        <w:t>法定代表人（单位负责人）资格声明</w:t>
      </w:r>
      <w:bookmarkEnd w:id="138"/>
    </w:p>
    <w:p w14:paraId="603A5FB6">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highlight w:val="none"/>
          <w:lang w:val="en-US" w:eastAsia="zh-CN" w:bidi="ar"/>
        </w:rPr>
      </w:pPr>
    </w:p>
    <w:p w14:paraId="612F9E15">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致：</w:t>
      </w:r>
      <w:r>
        <w:rPr>
          <w:rFonts w:hint="eastAsia" w:ascii="宋体" w:hAnsi="宋体" w:eastAsia="宋体" w:cs="宋体"/>
          <w:snapToGrid w:val="0"/>
          <w:color w:val="000000"/>
          <w:kern w:val="0"/>
          <w:sz w:val="24"/>
          <w:szCs w:val="24"/>
          <w:highlight w:val="none"/>
          <w:u w:val="single"/>
          <w:lang w:val="en-US" w:eastAsia="zh-CN" w:bidi="ar"/>
        </w:rPr>
        <w:t xml:space="preserve">（采购代理机构名称） </w:t>
      </w:r>
    </w:p>
    <w:p w14:paraId="5F47B75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兹证明： </w:t>
      </w:r>
    </w:p>
    <w:p w14:paraId="03482F39">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highlight w:val="none"/>
          <w:u w:val="single"/>
          <w:lang w:val="en-US" w:eastAsia="zh-CN" w:bidi="ar"/>
        </w:rPr>
      </w:pPr>
      <w:r>
        <w:rPr>
          <w:rFonts w:hint="eastAsia" w:ascii="宋体" w:hAnsi="宋体" w:eastAsia="宋体" w:cs="宋体"/>
          <w:snapToGrid w:val="0"/>
          <w:color w:val="000000"/>
          <w:kern w:val="0"/>
          <w:sz w:val="24"/>
          <w:szCs w:val="24"/>
          <w:highlight w:val="none"/>
          <w:lang w:val="en-US" w:eastAsia="zh-CN" w:bidi="ar"/>
        </w:rPr>
        <w:t>姓名：</w:t>
      </w:r>
      <w:r>
        <w:rPr>
          <w:rFonts w:hint="eastAsia" w:ascii="宋体" w:hAnsi="宋体" w:eastAsia="宋体" w:cs="宋体"/>
          <w:snapToGrid w:val="0"/>
          <w:color w:val="000000"/>
          <w:kern w:val="0"/>
          <w:sz w:val="24"/>
          <w:szCs w:val="24"/>
          <w:highlight w:val="none"/>
          <w:u w:val="single"/>
          <w:lang w:val="en-US" w:eastAsia="zh-CN" w:bidi="ar"/>
        </w:rPr>
        <w:t xml:space="preserve">                </w:t>
      </w:r>
      <w:r>
        <w:rPr>
          <w:rFonts w:hint="eastAsia" w:ascii="宋体" w:hAnsi="宋体" w:eastAsia="宋体" w:cs="宋体"/>
          <w:snapToGrid w:val="0"/>
          <w:color w:val="000000"/>
          <w:kern w:val="0"/>
          <w:sz w:val="24"/>
          <w:szCs w:val="24"/>
          <w:highlight w:val="none"/>
          <w:lang w:val="en-US" w:eastAsia="zh-CN" w:bidi="ar"/>
        </w:rPr>
        <w:t>性别：</w:t>
      </w:r>
      <w:r>
        <w:rPr>
          <w:rFonts w:hint="eastAsia" w:ascii="宋体" w:hAnsi="宋体" w:eastAsia="宋体" w:cs="宋体"/>
          <w:snapToGrid w:val="0"/>
          <w:color w:val="000000"/>
          <w:kern w:val="0"/>
          <w:sz w:val="24"/>
          <w:szCs w:val="24"/>
          <w:highlight w:val="none"/>
          <w:u w:val="single"/>
          <w:lang w:val="en-US" w:eastAsia="zh-CN" w:bidi="ar"/>
        </w:rPr>
        <w:t xml:space="preserve">          </w:t>
      </w:r>
      <w:r>
        <w:rPr>
          <w:rFonts w:hint="eastAsia" w:ascii="宋体" w:hAnsi="宋体" w:eastAsia="宋体" w:cs="宋体"/>
          <w:snapToGrid w:val="0"/>
          <w:color w:val="000000"/>
          <w:kern w:val="0"/>
          <w:sz w:val="24"/>
          <w:szCs w:val="24"/>
          <w:highlight w:val="none"/>
          <w:lang w:val="en-US" w:eastAsia="zh-CN" w:bidi="ar"/>
        </w:rPr>
        <w:t>年龄：</w:t>
      </w:r>
      <w:r>
        <w:rPr>
          <w:rFonts w:hint="eastAsia" w:ascii="宋体" w:hAnsi="宋体" w:eastAsia="宋体" w:cs="宋体"/>
          <w:snapToGrid w:val="0"/>
          <w:color w:val="000000"/>
          <w:kern w:val="0"/>
          <w:sz w:val="24"/>
          <w:szCs w:val="24"/>
          <w:highlight w:val="none"/>
          <w:u w:val="single"/>
          <w:lang w:val="en-US" w:eastAsia="zh-CN" w:bidi="ar"/>
        </w:rPr>
        <w:t xml:space="preserve">       </w:t>
      </w:r>
      <w:r>
        <w:rPr>
          <w:rFonts w:hint="eastAsia" w:ascii="宋体" w:hAnsi="宋体" w:eastAsia="宋体" w:cs="宋体"/>
          <w:snapToGrid w:val="0"/>
          <w:color w:val="000000"/>
          <w:kern w:val="0"/>
          <w:sz w:val="24"/>
          <w:szCs w:val="24"/>
          <w:highlight w:val="none"/>
          <w:lang w:val="en-US" w:eastAsia="zh-CN" w:bidi="ar"/>
        </w:rPr>
        <w:t>职务：</w:t>
      </w:r>
      <w:r>
        <w:rPr>
          <w:rFonts w:hint="eastAsia" w:ascii="宋体" w:hAnsi="宋体" w:eastAsia="宋体" w:cs="宋体"/>
          <w:snapToGrid w:val="0"/>
          <w:color w:val="000000"/>
          <w:kern w:val="0"/>
          <w:sz w:val="24"/>
          <w:szCs w:val="24"/>
          <w:highlight w:val="none"/>
          <w:u w:val="single"/>
          <w:lang w:val="en-US" w:eastAsia="zh-CN" w:bidi="ar"/>
        </w:rPr>
        <w:t xml:space="preserve">        </w:t>
      </w:r>
    </w:p>
    <w:p w14:paraId="1C60B74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系</w:t>
      </w:r>
      <w:r>
        <w:rPr>
          <w:rFonts w:hint="eastAsia" w:ascii="宋体" w:hAnsi="宋体" w:eastAsia="宋体" w:cs="宋体"/>
          <w:snapToGrid w:val="0"/>
          <w:color w:val="000000"/>
          <w:kern w:val="0"/>
          <w:sz w:val="24"/>
          <w:szCs w:val="24"/>
          <w:highlight w:val="none"/>
          <w:u w:val="single"/>
          <w:lang w:val="en-US" w:eastAsia="zh-CN" w:bidi="ar"/>
        </w:rPr>
        <w:t xml:space="preserve">            （投标人名称）</w:t>
      </w:r>
      <w:r>
        <w:rPr>
          <w:rFonts w:hint="eastAsia" w:ascii="宋体" w:hAnsi="宋体" w:eastAsia="宋体" w:cs="宋体"/>
          <w:snapToGrid w:val="0"/>
          <w:color w:val="000000"/>
          <w:kern w:val="0"/>
          <w:sz w:val="24"/>
          <w:szCs w:val="24"/>
          <w:highlight w:val="none"/>
          <w:lang w:val="en-US" w:eastAsia="zh-CN" w:bidi="ar"/>
        </w:rPr>
        <w:t xml:space="preserve">的法定代表人（单位负责人）。 </w:t>
      </w:r>
    </w:p>
    <w:p w14:paraId="7CEE85B3">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napToGrid w:val="0"/>
          <w:color w:val="000000"/>
          <w:kern w:val="0"/>
          <w:sz w:val="24"/>
          <w:szCs w:val="24"/>
          <w:highlight w:val="none"/>
          <w:lang w:val="en-US" w:eastAsia="zh-CN" w:bidi="ar"/>
        </w:rPr>
      </w:pPr>
    </w:p>
    <w:p w14:paraId="4515B29E">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投标人名称（加盖公章）：________________ </w:t>
      </w:r>
    </w:p>
    <w:p w14:paraId="02C3ED72">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zh-CN" w:bidi="ar"/>
        </w:rPr>
        <w:t xml:space="preserve">法定代表人（单位负责人）（签字或签章）：_______ </w:t>
      </w:r>
    </w:p>
    <w:p w14:paraId="382385DA">
      <w:pPr>
        <w:keepNext w:val="0"/>
        <w:keepLines w:val="0"/>
        <w:pageBreakBefore w:val="0"/>
        <w:widowControl/>
        <w:suppressLineNumbers w:val="0"/>
        <w:kinsoku w:val="0"/>
        <w:wordWrap/>
        <w:overflowPunct/>
        <w:topLinePunct w:val="0"/>
        <w:autoSpaceDE w:val="0"/>
        <w:autoSpaceDN w:val="0"/>
        <w:bidi w:val="0"/>
        <w:adjustRightInd w:val="0"/>
        <w:snapToGrid w:val="0"/>
        <w:spacing w:line="480" w:lineRule="auto"/>
        <w:jc w:val="left"/>
        <w:textAlignment w:val="baseline"/>
        <w:rPr>
          <w:rFonts w:hint="eastAsia" w:ascii="宋体" w:hAnsi="宋体" w:eastAsia="宋体" w:cs="宋体"/>
          <w:highlight w:val="none"/>
        </w:rPr>
      </w:pPr>
      <w:r>
        <w:rPr>
          <w:rFonts w:hint="eastAsia" w:ascii="宋体" w:hAnsi="宋体" w:eastAsia="宋体" w:cs="宋体"/>
          <w:snapToGrid w:val="0"/>
          <w:color w:val="000000"/>
          <w:kern w:val="0"/>
          <w:sz w:val="24"/>
          <w:szCs w:val="24"/>
          <w:highlight w:val="none"/>
          <w:lang w:val="en-US" w:eastAsia="zh-CN" w:bidi="ar"/>
        </w:rPr>
        <w:t>日期：_____年______月______日</w:t>
      </w:r>
    </w:p>
    <w:p w14:paraId="5A671323">
      <w:pPr>
        <w:pStyle w:val="16"/>
        <w:ind w:left="0" w:leftChars="0" w:firstLine="0" w:firstLineChars="0"/>
        <w:jc w:val="left"/>
        <w:rPr>
          <w:rFonts w:hint="eastAsia" w:ascii="宋体" w:hAnsi="宋体" w:eastAsia="宋体" w:cs="宋体"/>
          <w:highlight w:val="none"/>
          <w:lang w:eastAsia="zh-CN"/>
        </w:rPr>
      </w:pPr>
    </w:p>
    <w:p w14:paraId="2F6606A9">
      <w:pPr>
        <w:pStyle w:val="16"/>
        <w:ind w:left="0" w:leftChars="0" w:firstLine="0" w:firstLineChars="0"/>
        <w:jc w:val="left"/>
        <w:rPr>
          <w:rFonts w:hint="eastAsia" w:ascii="宋体" w:hAnsi="宋体" w:eastAsia="宋体" w:cs="宋体"/>
          <w:highlight w:val="none"/>
          <w:lang w:eastAsia="zh-CN"/>
        </w:rPr>
      </w:pPr>
    </w:p>
    <w:p w14:paraId="5FD50577">
      <w:pPr>
        <w:keepNext w:val="0"/>
        <w:keepLines w:val="0"/>
        <w:pageBreakBefore w:val="0"/>
        <w:widowControl/>
        <w:kinsoku w:val="0"/>
        <w:wordWrap/>
        <w:overflowPunct/>
        <w:topLinePunct w:val="0"/>
        <w:autoSpaceDE w:val="0"/>
        <w:autoSpaceDN w:val="0"/>
        <w:bidi w:val="0"/>
        <w:adjustRightInd w:val="0"/>
        <w:snapToGrid w:val="0"/>
        <w:spacing w:line="360" w:lineRule="exact"/>
        <w:ind w:firstLine="480" w:firstLineChars="200"/>
        <w:jc w:val="left"/>
        <w:textAlignment w:val="baseline"/>
        <w:rPr>
          <w:rFonts w:hint="eastAsia" w:ascii="宋体" w:hAnsi="宋体" w:eastAsia="宋体" w:cs="宋体"/>
          <w:sz w:val="24"/>
          <w:szCs w:val="24"/>
          <w:highlight w:val="none"/>
          <w:lang w:eastAsia="zh-CN"/>
        </w:rPr>
      </w:pPr>
      <w:r>
        <w:rPr>
          <w:rFonts w:hint="eastAsia" w:ascii="宋体" w:hAnsi="宋体" w:eastAsia="宋体" w:cs="宋体"/>
          <w:snapToGrid w:val="0"/>
          <w:color w:val="000000"/>
          <w:kern w:val="0"/>
          <w:sz w:val="24"/>
          <w:szCs w:val="24"/>
          <w:highlight w:val="none"/>
          <w:lang w:val="en-US" w:eastAsia="zh-CN" w:bidi="ar"/>
        </w:rPr>
        <w:t>附：法定代表人（单位负责人）身份证原件证扫描件（正、反面）</w:t>
      </w:r>
    </w:p>
    <w:p w14:paraId="4418514C">
      <w:pPr>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br w:type="page"/>
      </w:r>
    </w:p>
    <w:p w14:paraId="36BF6F34">
      <w:pPr>
        <w:pStyle w:val="6"/>
        <w:rPr>
          <w:rFonts w:hint="eastAsia" w:ascii="宋体" w:hAnsi="宋体" w:eastAsia="宋体" w:cs="宋体"/>
          <w:highlight w:val="none"/>
          <w:lang w:eastAsia="zh-CN"/>
        </w:rPr>
      </w:pPr>
    </w:p>
    <w:p w14:paraId="1AD8C0A8">
      <w:pPr>
        <w:keepNext w:val="0"/>
        <w:keepLines w:val="0"/>
        <w:pageBreakBefore w:val="0"/>
        <w:widowControl w:val="0"/>
        <w:kinsoku w:val="0"/>
        <w:wordWrap/>
        <w:overflowPunct/>
        <w:topLinePunct w:val="0"/>
        <w:autoSpaceDE w:val="0"/>
        <w:autoSpaceDN w:val="0"/>
        <w:bidi w:val="0"/>
        <w:adjustRightInd w:val="0"/>
        <w:snapToGrid w:val="0"/>
        <w:spacing w:before="101" w:line="360" w:lineRule="auto"/>
        <w:ind w:left="3013"/>
        <w:textAlignment w:val="baseline"/>
        <w:outlineLvl w:val="1"/>
        <w:rPr>
          <w:rFonts w:hint="eastAsia" w:ascii="宋体" w:hAnsi="宋体" w:eastAsia="宋体" w:cs="宋体"/>
          <w:color w:val="auto"/>
          <w:spacing w:val="0"/>
          <w:w w:val="100"/>
          <w:position w:val="0"/>
          <w:sz w:val="24"/>
          <w:szCs w:val="24"/>
          <w:highlight w:val="none"/>
          <w:lang w:eastAsia="zh-CN"/>
        </w:rPr>
      </w:pPr>
      <w:bookmarkStart w:id="139" w:name="bookmark67"/>
      <w:bookmarkEnd w:id="139"/>
      <w:bookmarkStart w:id="140" w:name="_Toc14602"/>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3</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投标人的资格声明</w:t>
      </w:r>
      <w:bookmarkEnd w:id="140"/>
    </w:p>
    <w:p w14:paraId="3048EEB2">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4455FCC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5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（参考格式）</w:t>
      </w:r>
    </w:p>
    <w:p w14:paraId="0560DBE1">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7"/>
        <w:textAlignment w:val="baseline"/>
        <w:rPr>
          <w:rFonts w:hint="eastAsia" w:ascii="宋体" w:hAnsi="宋体" w:eastAsia="宋体" w:cs="宋体"/>
          <w:color w:val="auto"/>
          <w:spacing w:val="0"/>
          <w:w w:val="100"/>
          <w:position w:val="0"/>
          <w:highlight w:val="none"/>
          <w:u w:val="single"/>
          <w:lang w:val="en-US" w:eastAsia="zh-CN"/>
        </w:rPr>
      </w:pPr>
      <w:r>
        <w:rPr>
          <w:rFonts w:hint="eastAsia" w:ascii="宋体" w:hAnsi="宋体" w:eastAsia="宋体" w:cs="宋体"/>
          <w:color w:val="auto"/>
          <w:spacing w:val="0"/>
          <w:w w:val="100"/>
          <w:position w:val="0"/>
          <w:sz w:val="24"/>
          <w:szCs w:val="24"/>
          <w:highlight w:val="none"/>
          <w:lang w:eastAsia="zh-CN"/>
        </w:rPr>
        <w:t>致：</w:t>
      </w:r>
      <w:r>
        <w:rPr>
          <w:rFonts w:hint="eastAsia" w:ascii="宋体" w:hAnsi="宋体" w:eastAsia="宋体" w:cs="宋体"/>
          <w:color w:val="auto"/>
          <w:spacing w:val="0"/>
          <w:w w:val="100"/>
          <w:position w:val="0"/>
          <w:sz w:val="24"/>
          <w:szCs w:val="24"/>
          <w:highlight w:val="none"/>
          <w:u w:val="single"/>
          <w:lang w:eastAsia="zh-CN"/>
        </w:rPr>
        <w:t>采购代理机构名称</w:t>
      </w:r>
      <w:r>
        <w:rPr>
          <w:rFonts w:hint="eastAsia" w:ascii="宋体" w:hAnsi="宋体" w:eastAsia="宋体" w:cs="宋体"/>
          <w:color w:val="auto"/>
          <w:spacing w:val="0"/>
          <w:w w:val="100"/>
          <w:position w:val="0"/>
          <w:sz w:val="24"/>
          <w:szCs w:val="24"/>
          <w:highlight w:val="none"/>
          <w:u w:val="single"/>
          <w:lang w:val="en-US" w:eastAsia="zh-CN"/>
        </w:rPr>
        <w:t xml:space="preserve">   </w:t>
      </w:r>
    </w:p>
    <w:p w14:paraId="72D618BF">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11AC62A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38" w:firstLine="479"/>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为响应贵方</w:t>
      </w:r>
      <w:r>
        <w:rPr>
          <w:rFonts w:hint="eastAsia" w:ascii="宋体" w:hAnsi="宋体" w:eastAsia="宋体" w:cs="宋体"/>
          <w:color w:val="auto"/>
          <w:spacing w:val="0"/>
          <w:w w:val="100"/>
          <w:position w:val="0"/>
          <w:sz w:val="24"/>
          <w:szCs w:val="24"/>
          <w:highlight w:val="none"/>
          <w:u w:val="single"/>
          <w:lang w:eastAsia="zh-CN"/>
        </w:rPr>
        <w:t>（项目名称、项目编号）</w:t>
      </w:r>
      <w:r>
        <w:rPr>
          <w:rFonts w:hint="eastAsia" w:ascii="宋体" w:hAnsi="宋体" w:eastAsia="宋体" w:cs="宋体"/>
          <w:color w:val="auto"/>
          <w:spacing w:val="0"/>
          <w:w w:val="100"/>
          <w:position w:val="0"/>
          <w:sz w:val="24"/>
          <w:szCs w:val="24"/>
          <w:highlight w:val="none"/>
          <w:lang w:eastAsia="zh-CN"/>
        </w:rPr>
        <w:t>投标邀请，下述签字人愿参与投标，提供采购需求规定的货物和有关服务，提交下述文件并声明全部说明是真实的和正确的。</w:t>
      </w:r>
    </w:p>
    <w:p w14:paraId="67070F0F">
      <w:pPr>
        <w:keepNext w:val="0"/>
        <w:keepLines w:val="0"/>
        <w:pageBreakBefore w:val="0"/>
        <w:widowControl w:val="0"/>
        <w:kinsoku w:val="0"/>
        <w:wordWrap/>
        <w:overflowPunct/>
        <w:topLinePunct w:val="0"/>
        <w:autoSpaceDE w:val="0"/>
        <w:autoSpaceDN w:val="0"/>
        <w:bidi w:val="0"/>
        <w:adjustRightInd w:val="0"/>
        <w:snapToGrid w:val="0"/>
        <w:spacing w:before="187" w:line="360" w:lineRule="auto"/>
        <w:ind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1</w:t>
      </w:r>
      <w:r>
        <w:rPr>
          <w:rFonts w:hint="eastAsia" w:ascii="宋体" w:hAnsi="宋体" w:eastAsia="宋体" w:cs="宋体"/>
          <w:color w:val="auto"/>
          <w:spacing w:val="0"/>
          <w:w w:val="100"/>
          <w:position w:val="0"/>
          <w:sz w:val="24"/>
          <w:szCs w:val="24"/>
          <w:highlight w:val="none"/>
          <w:lang w:eastAsia="zh-CN"/>
        </w:rPr>
        <w:t>.下述签字人在证书中证明本资格文件中的内容是真实的和正确的；</w:t>
      </w:r>
    </w:p>
    <w:p w14:paraId="6747E252">
      <w:pPr>
        <w:keepNext w:val="0"/>
        <w:keepLines w:val="0"/>
        <w:pageBreakBefore w:val="0"/>
        <w:widowControl w:val="0"/>
        <w:kinsoku w:val="0"/>
        <w:wordWrap/>
        <w:overflowPunct/>
        <w:topLinePunct w:val="0"/>
        <w:autoSpaceDE w:val="0"/>
        <w:autoSpaceDN w:val="0"/>
        <w:bidi w:val="0"/>
        <w:adjustRightInd w:val="0"/>
        <w:snapToGrid w:val="0"/>
        <w:spacing w:before="183" w:afterAutospacing="0" w:line="360" w:lineRule="auto"/>
        <w:ind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rPr>
        <w:t>2</w:t>
      </w:r>
      <w:r>
        <w:rPr>
          <w:rFonts w:hint="eastAsia" w:ascii="宋体" w:hAnsi="宋体" w:eastAsia="宋体" w:cs="宋体"/>
          <w:color w:val="auto"/>
          <w:spacing w:val="0"/>
          <w:w w:val="100"/>
          <w:position w:val="0"/>
          <w:sz w:val="24"/>
          <w:szCs w:val="24"/>
          <w:highlight w:val="none"/>
          <w:lang w:eastAsia="zh-CN"/>
        </w:rPr>
        <w:t>.我方没有单位负责人为同一人或者存在直接控股、管理关系的不同供应商，参</w:t>
      </w:r>
      <w:r>
        <w:rPr>
          <w:rFonts w:hint="eastAsia" w:ascii="宋体" w:hAnsi="宋体" w:eastAsia="宋体" w:cs="宋体"/>
          <w:color w:val="auto"/>
          <w:spacing w:val="0"/>
          <w:w w:val="100"/>
          <w:position w:val="0"/>
          <w:sz w:val="24"/>
          <w:szCs w:val="24"/>
          <w:highlight w:val="none"/>
          <w:lang w:val="en-US" w:eastAsia="zh-CN"/>
        </w:rPr>
        <w:t>加本项目采购活动的情形；</w:t>
      </w:r>
    </w:p>
    <w:p w14:paraId="5D4B25AE">
      <w:pPr>
        <w:keepNext w:val="0"/>
        <w:keepLines w:val="0"/>
        <w:pageBreakBefore w:val="0"/>
        <w:widowControl w:val="0"/>
        <w:kinsoku w:val="0"/>
        <w:wordWrap/>
        <w:overflowPunct/>
        <w:topLinePunct w:val="0"/>
        <w:autoSpaceDE w:val="0"/>
        <w:autoSpaceDN w:val="0"/>
        <w:bidi w:val="0"/>
        <w:adjustRightInd w:val="0"/>
        <w:snapToGrid w:val="0"/>
        <w:spacing w:beforeAutospacing="0" w:line="360" w:lineRule="auto"/>
        <w:ind w:right="0" w:rightChars="0" w:firstLine="480" w:firstLineChars="200"/>
        <w:jc w:val="both"/>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lang w:eastAsia="zh-CN"/>
        </w:rPr>
        <w:t>.我方没有为本项目提供整体设计、规范编制或者项目管理、监理、检测等服务的</w:t>
      </w:r>
      <w:r>
        <w:rPr>
          <w:rFonts w:hint="eastAsia" w:ascii="宋体" w:hAnsi="宋体" w:eastAsia="宋体" w:cs="宋体"/>
          <w:color w:val="auto"/>
          <w:spacing w:val="0"/>
          <w:w w:val="100"/>
          <w:position w:val="0"/>
          <w:sz w:val="24"/>
          <w:szCs w:val="24"/>
          <w:highlight w:val="none"/>
          <w:lang w:val="en-US" w:eastAsia="zh-CN"/>
        </w:rPr>
        <w:t>情形。</w:t>
      </w:r>
    </w:p>
    <w:p w14:paraId="20AF08A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37A850EC">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2583E22A">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68C2D7D9">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highlight w:val="none"/>
          <w:lang w:eastAsia="zh-CN"/>
        </w:rPr>
      </w:pPr>
    </w:p>
    <w:p w14:paraId="2EE6EC7B">
      <w:pPr>
        <w:keepNext w:val="0"/>
        <w:keepLines w:val="0"/>
        <w:pageBreakBefore w:val="0"/>
        <w:widowControl w:val="0"/>
        <w:kinsoku w:val="0"/>
        <w:wordWrap/>
        <w:overflowPunct/>
        <w:topLinePunct w:val="0"/>
        <w:autoSpaceDE w:val="0"/>
        <w:autoSpaceDN w:val="0"/>
        <w:bidi w:val="0"/>
        <w:adjustRightInd w:val="0"/>
        <w:snapToGrid w:val="0"/>
        <w:spacing w:before="78" w:line="480" w:lineRule="auto"/>
        <w:ind w:left="4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投标人代</w:t>
      </w:r>
      <w:r>
        <w:rPr>
          <w:rFonts w:hint="eastAsia" w:ascii="宋体" w:hAnsi="宋体" w:eastAsia="宋体" w:cs="宋体"/>
          <w:color w:val="auto"/>
          <w:spacing w:val="0"/>
          <w:w w:val="100"/>
          <w:position w:val="0"/>
          <w:sz w:val="24"/>
          <w:szCs w:val="24"/>
          <w:highlight w:val="none"/>
          <w:lang w:eastAsia="zh-CN"/>
        </w:rPr>
        <w:t>表（</w:t>
      </w:r>
      <w:r>
        <w:rPr>
          <w:rFonts w:hint="eastAsia" w:ascii="宋体" w:hAnsi="宋体" w:eastAsia="宋体" w:cs="宋体"/>
          <w:color w:val="auto"/>
          <w:spacing w:val="0"/>
          <w:w w:val="100"/>
          <w:position w:val="0"/>
          <w:sz w:val="24"/>
          <w:szCs w:val="24"/>
          <w:highlight w:val="none"/>
          <w:lang w:val="en-US" w:eastAsia="zh-CN"/>
        </w:rPr>
        <w:t>或自然人</w:t>
      </w:r>
      <w:r>
        <w:rPr>
          <w:rFonts w:hint="eastAsia" w:ascii="宋体" w:hAnsi="宋体" w:eastAsia="宋体" w:cs="宋体"/>
          <w:color w:val="auto"/>
          <w:spacing w:val="0"/>
          <w:w w:val="100"/>
          <w:position w:val="0"/>
          <w:sz w:val="24"/>
          <w:szCs w:val="24"/>
          <w:highlight w:val="none"/>
          <w:lang w:eastAsia="zh-CN"/>
        </w:rPr>
        <w:t>）签字或签章：</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p>
    <w:p w14:paraId="047161FF">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highlight w:val="none"/>
          <w:u w:val="single"/>
          <w:lang w:eastAsia="zh-CN"/>
        </w:rPr>
      </w:pPr>
      <w:r>
        <w:rPr>
          <w:rFonts w:hint="eastAsia" w:ascii="宋体" w:hAnsi="宋体" w:eastAsia="宋体" w:cs="宋体"/>
          <w:color w:val="auto"/>
          <w:spacing w:val="0"/>
          <w:w w:val="100"/>
          <w:position w:val="0"/>
          <w:sz w:val="24"/>
          <w:szCs w:val="24"/>
          <w:highlight w:val="none"/>
          <w:lang w:eastAsia="zh-CN"/>
        </w:rPr>
        <w:t>投标人盖章：</w:t>
      </w:r>
      <w:r>
        <w:rPr>
          <w:rFonts w:hint="eastAsia" w:ascii="宋体" w:hAnsi="宋体" w:eastAsia="宋体" w:cs="宋体"/>
          <w:color w:val="auto"/>
          <w:spacing w:val="0"/>
          <w:w w:val="100"/>
          <w:position w:val="0"/>
          <w:sz w:val="24"/>
          <w:szCs w:val="24"/>
          <w:highlight w:val="none"/>
          <w:u w:val="single"/>
          <w:lang w:eastAsia="zh-CN"/>
        </w:rPr>
        <w:t xml:space="preserve">                                 </w:t>
      </w:r>
    </w:p>
    <w:p w14:paraId="14AAA3B2">
      <w:pPr>
        <w:keepNext w:val="0"/>
        <w:keepLines w:val="0"/>
        <w:pageBreakBefore w:val="0"/>
        <w:widowControl w:val="0"/>
        <w:kinsoku w:val="0"/>
        <w:wordWrap/>
        <w:overflowPunct/>
        <w:topLinePunct w:val="0"/>
        <w:autoSpaceDE w:val="0"/>
        <w:autoSpaceDN w:val="0"/>
        <w:bidi w:val="0"/>
        <w:adjustRightInd w:val="0"/>
        <w:snapToGrid w:val="0"/>
        <w:spacing w:before="1" w:line="480" w:lineRule="auto"/>
        <w:ind w:left="4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日</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lang w:eastAsia="zh-CN"/>
        </w:rPr>
        <w:t>期：</w:t>
      </w:r>
      <w:r>
        <w:rPr>
          <w:rFonts w:hint="eastAsia" w:ascii="宋体" w:hAnsi="宋体" w:eastAsia="宋体" w:cs="宋体"/>
          <w:color w:val="auto"/>
          <w:spacing w:val="0"/>
          <w:w w:val="100"/>
          <w:position w:val="0"/>
          <w:sz w:val="24"/>
          <w:szCs w:val="24"/>
          <w:highlight w:val="none"/>
          <w:u w:val="single"/>
          <w:lang w:eastAsia="zh-CN"/>
        </w:rPr>
        <w:t xml:space="preserve">                                   </w:t>
      </w:r>
    </w:p>
    <w:p w14:paraId="070AC374">
      <w:pPr>
        <w:keepNext w:val="0"/>
        <w:keepLines w:val="0"/>
        <w:pageBreakBefore w:val="0"/>
        <w:widowControl w:val="0"/>
        <w:kinsoku w:val="0"/>
        <w:wordWrap/>
        <w:overflowPunct/>
        <w:topLinePunct w:val="0"/>
        <w:autoSpaceDE w:val="0"/>
        <w:autoSpaceDN w:val="0"/>
        <w:bidi w:val="0"/>
        <w:adjustRightInd w:val="0"/>
        <w:snapToGrid w:val="0"/>
        <w:spacing w:line="480" w:lineRule="auto"/>
        <w:textAlignment w:val="baseline"/>
        <w:rPr>
          <w:rFonts w:hint="eastAsia" w:ascii="宋体" w:hAnsi="宋体" w:eastAsia="宋体" w:cs="宋体"/>
          <w:color w:val="auto"/>
          <w:spacing w:val="0"/>
          <w:w w:val="100"/>
          <w:position w:val="0"/>
          <w:sz w:val="24"/>
          <w:szCs w:val="24"/>
          <w:highlight w:val="none"/>
          <w:lang w:eastAsia="zh-CN"/>
        </w:rPr>
        <w:sectPr>
          <w:footerReference r:id="rId14" w:type="default"/>
          <w:pgSz w:w="11906" w:h="16839"/>
          <w:pgMar w:top="1431" w:right="1786" w:bottom="1429" w:left="1786" w:header="0" w:footer="994" w:gutter="0"/>
          <w:cols w:space="720" w:num="1"/>
        </w:sectPr>
      </w:pPr>
    </w:p>
    <w:p w14:paraId="2ADC45E1">
      <w:pPr>
        <w:pageBreakBefore w:val="0"/>
        <w:widowControl w:val="0"/>
        <w:wordWrap/>
        <w:overflowPunct/>
        <w:topLinePunct w:val="0"/>
        <w:bidi w:val="0"/>
        <w:spacing w:before="101" w:line="219" w:lineRule="auto"/>
        <w:ind w:left="3133"/>
        <w:outlineLvl w:val="1"/>
        <w:rPr>
          <w:rFonts w:hint="eastAsia" w:ascii="宋体" w:hAnsi="宋体" w:eastAsia="宋体" w:cs="宋体"/>
          <w:color w:val="auto"/>
          <w:spacing w:val="0"/>
          <w:w w:val="100"/>
          <w:position w:val="0"/>
          <w:sz w:val="24"/>
          <w:szCs w:val="24"/>
          <w:highlight w:val="none"/>
          <w:lang w:eastAsia="zh-CN"/>
        </w:rPr>
      </w:pPr>
      <w:bookmarkStart w:id="141" w:name="bookmark68"/>
      <w:bookmarkEnd w:id="141"/>
      <w:bookmarkStart w:id="142" w:name="bookmark73"/>
      <w:bookmarkEnd w:id="142"/>
      <w:bookmarkStart w:id="143" w:name="_Toc1567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 xml:space="preserve">4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投标保证金凭证</w:t>
      </w:r>
      <w:bookmarkEnd w:id="143"/>
    </w:p>
    <w:p w14:paraId="41055962">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rPr>
      </w:pPr>
      <w:bookmarkStart w:id="144" w:name="bookmark74"/>
      <w:bookmarkEnd w:id="144"/>
      <w:bookmarkStart w:id="145" w:name="bookmark69"/>
      <w:bookmarkEnd w:id="145"/>
    </w:p>
    <w:p w14:paraId="6851F7F9">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附：投标人盖章的保证金凭证</w:t>
      </w:r>
      <w:r>
        <w:rPr>
          <w:rFonts w:hint="eastAsia" w:ascii="宋体" w:hAnsi="宋体" w:eastAsia="宋体" w:cs="宋体"/>
          <w:color w:val="auto"/>
          <w:spacing w:val="0"/>
          <w:w w:val="100"/>
          <w:position w:val="0"/>
          <w:sz w:val="24"/>
          <w:szCs w:val="24"/>
          <w:highlight w:val="none"/>
          <w:lang w:val="en-US" w:eastAsia="zh-CN"/>
        </w:rPr>
        <w:t>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val="en-US" w:eastAsia="zh-CN"/>
        </w:rPr>
        <w:t xml:space="preserve"> </w:t>
      </w:r>
    </w:p>
    <w:p w14:paraId="648F0C99">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本项目保证金应当采用支票、汇票、本票、网上银行支付或者金融机构、担保机构出具的保函、保险公司出具的保证保险等非现金形式交纳。</w:t>
      </w:r>
    </w:p>
    <w:p w14:paraId="1CB9357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rPr>
        <w:t>采用银行电汇、转账、网上银行形式：</w:t>
      </w:r>
    </w:p>
    <w:p w14:paraId="6569471C">
      <w:pPr>
        <w:keepNext w:val="0"/>
        <w:keepLines w:val="0"/>
        <w:pageBreakBefore w:val="0"/>
        <w:widowControl w:val="0"/>
        <w:kinsoku/>
        <w:wordWrap/>
        <w:overflowPunct/>
        <w:topLinePunct w:val="0"/>
        <w:autoSpaceDE/>
        <w:autoSpaceDN/>
        <w:bidi w:val="0"/>
        <w:adjustRightInd/>
        <w:snapToGrid/>
        <w:spacing w:line="360" w:lineRule="auto"/>
        <w:ind w:left="479" w:leftChars="228"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保证金交至</w:t>
      </w:r>
      <w:r>
        <w:rPr>
          <w:rFonts w:hint="eastAsia" w:ascii="宋体" w:hAnsi="宋体" w:eastAsia="宋体" w:cs="宋体"/>
          <w:color w:val="auto"/>
          <w:spacing w:val="0"/>
          <w:w w:val="100"/>
          <w:position w:val="0"/>
          <w:sz w:val="24"/>
          <w:szCs w:val="24"/>
          <w:highlight w:val="none"/>
          <w:lang w:val="en-US" w:eastAsia="zh-CN"/>
        </w:rPr>
        <w:t>招标文件规定的</w:t>
      </w:r>
      <w:r>
        <w:rPr>
          <w:rFonts w:hint="eastAsia" w:ascii="宋体" w:hAnsi="宋体" w:eastAsia="宋体" w:cs="宋体"/>
          <w:color w:val="auto"/>
          <w:spacing w:val="0"/>
          <w:w w:val="100"/>
          <w:position w:val="0"/>
          <w:sz w:val="24"/>
          <w:szCs w:val="24"/>
          <w:highlight w:val="none"/>
        </w:rPr>
        <w:t>账户，并在投标文件中提供交纳保证金凭证</w:t>
      </w:r>
      <w:r>
        <w:rPr>
          <w:rFonts w:hint="eastAsia" w:ascii="宋体" w:hAnsi="宋体" w:eastAsia="宋体" w:cs="宋体"/>
          <w:color w:val="auto"/>
          <w:spacing w:val="0"/>
          <w:w w:val="100"/>
          <w:position w:val="0"/>
          <w:sz w:val="24"/>
          <w:szCs w:val="24"/>
          <w:highlight w:val="none"/>
          <w:lang w:val="en-US" w:eastAsia="zh-CN"/>
        </w:rPr>
        <w:t>原件扫描件</w:t>
      </w:r>
      <w:r>
        <w:rPr>
          <w:rFonts w:hint="eastAsia" w:ascii="宋体" w:hAnsi="宋体" w:eastAsia="宋体" w:cs="宋体"/>
          <w:color w:val="auto"/>
          <w:spacing w:val="0"/>
          <w:w w:val="100"/>
          <w:position w:val="0"/>
          <w:sz w:val="24"/>
          <w:szCs w:val="24"/>
          <w:highlight w:val="none"/>
        </w:rPr>
        <w:t>或截图</w:t>
      </w:r>
      <w:r>
        <w:rPr>
          <w:rFonts w:hint="eastAsia" w:ascii="宋体" w:hAnsi="宋体" w:eastAsia="宋体" w:cs="宋体"/>
          <w:color w:val="auto"/>
          <w:spacing w:val="0"/>
          <w:w w:val="100"/>
          <w:position w:val="0"/>
          <w:sz w:val="24"/>
          <w:szCs w:val="24"/>
          <w:highlight w:val="none"/>
          <w:lang w:eastAsia="zh-CN"/>
        </w:rPr>
        <w:t>：</w:t>
      </w:r>
    </w:p>
    <w:p w14:paraId="10C2CA24">
      <w:pPr>
        <w:keepNext w:val="0"/>
        <w:keepLines w:val="0"/>
        <w:pageBreakBefore w:val="0"/>
        <w:widowControl w:val="0"/>
        <w:kinsoku/>
        <w:wordWrap/>
        <w:overflowPunct/>
        <w:topLinePunct w:val="0"/>
        <w:autoSpaceDE/>
        <w:autoSpaceDN/>
        <w:bidi w:val="0"/>
        <w:adjustRightInd/>
        <w:snapToGrid/>
        <w:spacing w:line="360" w:lineRule="auto"/>
        <w:ind w:left="0" w:leftChars="0" w:firstLine="9" w:firstLineChars="4"/>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2、采用保函形式：</w:t>
      </w:r>
    </w:p>
    <w:p w14:paraId="1830B229">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2.1采用银行保函的，须为</w:t>
      </w:r>
      <w:r>
        <w:rPr>
          <w:rFonts w:hint="eastAsia" w:ascii="宋体" w:hAnsi="宋体" w:eastAsia="宋体" w:cs="宋体"/>
          <w:color w:val="auto"/>
          <w:spacing w:val="0"/>
          <w:w w:val="100"/>
          <w:position w:val="0"/>
          <w:sz w:val="24"/>
          <w:szCs w:val="24"/>
          <w:highlight w:val="none"/>
          <w:lang w:eastAsia="zh-CN"/>
        </w:rPr>
        <w:t>投标人</w:t>
      </w:r>
      <w:r>
        <w:rPr>
          <w:rFonts w:hint="eastAsia" w:ascii="宋体" w:hAnsi="宋体" w:eastAsia="宋体" w:cs="宋体"/>
          <w:color w:val="auto"/>
          <w:spacing w:val="0"/>
          <w:w w:val="100"/>
          <w:position w:val="0"/>
          <w:sz w:val="24"/>
          <w:szCs w:val="24"/>
          <w:highlight w:val="none"/>
        </w:rPr>
        <w:t>基本账户（</w:t>
      </w:r>
      <w:r>
        <w:rPr>
          <w:rFonts w:hint="eastAsia" w:ascii="宋体" w:hAnsi="宋体" w:eastAsia="宋体" w:cs="宋体"/>
          <w:color w:val="auto"/>
          <w:spacing w:val="0"/>
          <w:w w:val="100"/>
          <w:position w:val="0"/>
          <w:sz w:val="24"/>
          <w:szCs w:val="24"/>
          <w:highlight w:val="none"/>
          <w:lang w:val="en-US" w:eastAsia="zh-CN"/>
        </w:rPr>
        <w:t>投标</w:t>
      </w:r>
      <w:r>
        <w:rPr>
          <w:rFonts w:hint="eastAsia" w:ascii="宋体" w:hAnsi="宋体" w:eastAsia="宋体" w:cs="宋体"/>
          <w:color w:val="auto"/>
          <w:spacing w:val="0"/>
          <w:w w:val="100"/>
          <w:position w:val="0"/>
          <w:sz w:val="24"/>
          <w:szCs w:val="24"/>
          <w:highlight w:val="none"/>
        </w:rPr>
        <w:t>文件中提供开户许可复印件）或江西省辖区内商业银行营业网点出具的不可撤销、见索即付的独立保函；采用专业担保机构出具保函的，须为担保机构出具的不可撤销、见索即付的独立保函；</w:t>
      </w:r>
    </w:p>
    <w:p w14:paraId="2B2713AE">
      <w:pPr>
        <w:keepNext w:val="0"/>
        <w:keepLines w:val="0"/>
        <w:pageBreakBefore w:val="0"/>
        <w:widowControl w:val="0"/>
        <w:kinsoku/>
        <w:wordWrap/>
        <w:overflowPunct/>
        <w:topLinePunct w:val="0"/>
        <w:autoSpaceDE/>
        <w:autoSpaceDN/>
        <w:bidi w:val="0"/>
        <w:adjustRightInd/>
        <w:snapToGrid/>
        <w:spacing w:line="360" w:lineRule="auto"/>
        <w:ind w:left="480" w:leftChars="0" w:hanging="480" w:hangingChars="20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2.2采用银行、保证保险的电子保单的形式需通过银行、保险公司官方网站（无需授权）验证查询；采用专业担保机构出具的保函需通过</w:t>
      </w:r>
      <w:r>
        <w:rPr>
          <w:rFonts w:hint="eastAsia" w:ascii="宋体" w:hAnsi="宋体" w:eastAsia="宋体" w:cs="宋体"/>
          <w:color w:val="auto"/>
          <w:spacing w:val="0"/>
          <w:w w:val="100"/>
          <w:position w:val="0"/>
          <w:sz w:val="24"/>
          <w:szCs w:val="24"/>
          <w:highlight w:val="none"/>
          <w:lang w:val="en-US" w:eastAsia="zh-CN"/>
        </w:rPr>
        <w:t>官方</w:t>
      </w:r>
      <w:r>
        <w:rPr>
          <w:rFonts w:hint="eastAsia" w:ascii="宋体" w:hAnsi="宋体" w:eastAsia="宋体" w:cs="宋体"/>
          <w:color w:val="auto"/>
          <w:spacing w:val="0"/>
          <w:w w:val="100"/>
          <w:position w:val="0"/>
          <w:sz w:val="24"/>
          <w:szCs w:val="24"/>
          <w:highlight w:val="none"/>
        </w:rPr>
        <w:t>网站验证查询，如以上渠道未能验证查询到的，视为无效保函</w:t>
      </w:r>
      <w:r>
        <w:rPr>
          <w:rFonts w:hint="eastAsia" w:ascii="宋体" w:hAnsi="宋体" w:eastAsia="宋体" w:cs="宋体"/>
          <w:color w:val="auto"/>
          <w:spacing w:val="0"/>
          <w:w w:val="100"/>
          <w:position w:val="0"/>
          <w:sz w:val="24"/>
          <w:szCs w:val="24"/>
          <w:highlight w:val="none"/>
          <w:lang w:eastAsia="zh-CN"/>
        </w:rPr>
        <w:t>；</w:t>
      </w:r>
    </w:p>
    <w:p w14:paraId="7703CBC9">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3</w:t>
      </w:r>
      <w:r>
        <w:rPr>
          <w:rFonts w:hint="eastAsia" w:ascii="宋体" w:hAnsi="宋体" w:eastAsia="宋体" w:cs="宋体"/>
          <w:color w:val="auto"/>
          <w:spacing w:val="0"/>
          <w:w w:val="100"/>
          <w:position w:val="0"/>
          <w:sz w:val="24"/>
          <w:szCs w:val="24"/>
          <w:highlight w:val="none"/>
        </w:rPr>
        <w:t>保函有效期须不少于投标有效期，否则视为不满足要求</w:t>
      </w:r>
      <w:r>
        <w:rPr>
          <w:rFonts w:hint="eastAsia" w:ascii="宋体" w:hAnsi="宋体" w:eastAsia="宋体" w:cs="宋体"/>
          <w:color w:val="auto"/>
          <w:spacing w:val="0"/>
          <w:w w:val="100"/>
          <w:position w:val="0"/>
          <w:sz w:val="24"/>
          <w:szCs w:val="24"/>
          <w:highlight w:val="none"/>
          <w:lang w:eastAsia="zh-CN"/>
        </w:rPr>
        <w:t>；</w:t>
      </w:r>
    </w:p>
    <w:p w14:paraId="4F2514E4">
      <w:pPr>
        <w:keepNext w:val="0"/>
        <w:keepLines w:val="0"/>
        <w:pageBreakBefore w:val="0"/>
        <w:widowControl w:val="0"/>
        <w:kinsoku/>
        <w:wordWrap/>
        <w:overflowPunct/>
        <w:topLinePunct w:val="0"/>
        <w:autoSpaceDE/>
        <w:autoSpaceDN/>
        <w:bidi w:val="0"/>
        <w:adjustRightInd/>
        <w:snapToGrid/>
        <w:spacing w:line="360" w:lineRule="auto"/>
        <w:ind w:left="434" w:leftChars="0" w:hanging="434" w:hangingChars="181"/>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4保函保证担保范围须包含采购文件约定的不予退还投标保证金的情形，</w:t>
      </w:r>
      <w:r>
        <w:rPr>
          <w:rFonts w:hint="eastAsia" w:ascii="宋体" w:hAnsi="宋体" w:eastAsia="宋体" w:cs="宋体"/>
          <w:color w:val="auto"/>
          <w:spacing w:val="0"/>
          <w:w w:val="100"/>
          <w:position w:val="0"/>
          <w:sz w:val="24"/>
          <w:szCs w:val="24"/>
          <w:highlight w:val="none"/>
        </w:rPr>
        <w:t>否则视为不满足要求。</w:t>
      </w:r>
    </w:p>
    <w:p w14:paraId="5800D8B0">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3、采用其他形式缴纳保证金的，需提供符合国家规定的相应凭证。</w:t>
      </w:r>
    </w:p>
    <w:p w14:paraId="08604E6C">
      <w:pPr>
        <w:keepNext w:val="0"/>
        <w:keepLines w:val="0"/>
        <w:pageBreakBefore w:val="0"/>
        <w:widowControl w:val="0"/>
        <w:kinsoku/>
        <w:wordWrap/>
        <w:overflowPunct/>
        <w:topLinePunct w:val="0"/>
        <w:autoSpaceDE/>
        <w:autoSpaceDN/>
        <w:bidi w:val="0"/>
        <w:adjustRightInd/>
        <w:snapToGrid/>
        <w:spacing w:line="360" w:lineRule="auto"/>
        <w:ind w:left="359" w:leftChars="171" w:firstLine="0" w:firstLineChars="0"/>
        <w:jc w:val="both"/>
        <w:textAlignment w:val="auto"/>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未提供保证金凭证、或提供的保证金凭证及资料不满足上述要求的，视为未缴纳保证金。</w:t>
      </w:r>
    </w:p>
    <w:p w14:paraId="098D2465">
      <w:pPr>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br w:type="page"/>
      </w:r>
    </w:p>
    <w:p w14:paraId="14568F05">
      <w:pPr>
        <w:pageBreakBefore w:val="0"/>
        <w:widowControl w:val="0"/>
        <w:wordWrap/>
        <w:overflowPunct/>
        <w:topLinePunct w:val="0"/>
        <w:bidi w:val="0"/>
        <w:spacing w:before="101" w:line="219" w:lineRule="auto"/>
        <w:jc w:val="center"/>
        <w:outlineLvl w:val="1"/>
        <w:rPr>
          <w:rFonts w:hint="eastAsia" w:ascii="宋体" w:hAnsi="宋体" w:eastAsia="宋体" w:cs="宋体"/>
          <w:color w:val="auto"/>
          <w:spacing w:val="0"/>
          <w:w w:val="100"/>
          <w:position w:val="0"/>
          <w:sz w:val="24"/>
          <w:szCs w:val="24"/>
          <w:highlight w:val="none"/>
          <w:lang w:eastAsia="zh-CN"/>
        </w:rPr>
      </w:pPr>
      <w:bookmarkStart w:id="146" w:name="_Toc8196"/>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制造商出具的授权函（适用于进口产品参加投标）</w:t>
      </w:r>
      <w:bookmarkEnd w:id="146"/>
    </w:p>
    <w:p w14:paraId="6B07B96C">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45929E1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w:t>
      </w:r>
      <w:r>
        <w:rPr>
          <w:rFonts w:hint="eastAsia" w:ascii="宋体" w:hAnsi="宋体" w:eastAsia="宋体" w:cs="宋体"/>
          <w:color w:val="auto"/>
          <w:spacing w:val="0"/>
          <w:w w:val="100"/>
          <w:position w:val="0"/>
          <w:sz w:val="24"/>
          <w:szCs w:val="24"/>
          <w:highlight w:val="none"/>
          <w:lang w:val="en-US" w:eastAsia="zh-CN"/>
        </w:rPr>
        <w:t>本格式仅作为“制造商出具的授权函”格式，如</w:t>
      </w:r>
      <w:r>
        <w:rPr>
          <w:rFonts w:hint="eastAsia" w:ascii="宋体" w:hAnsi="宋体" w:eastAsia="宋体" w:cs="宋体"/>
          <w:color w:val="auto"/>
          <w:spacing w:val="0"/>
          <w:w w:val="100"/>
          <w:position w:val="0"/>
          <w:sz w:val="24"/>
          <w:szCs w:val="24"/>
          <w:highlight w:val="none"/>
          <w:lang w:eastAsia="zh-CN"/>
        </w:rPr>
        <w:t>是“制造商的授权代理商出具的授权函”请参照本格式另行制定，招标文件另有规定的从其规定）</w:t>
      </w:r>
    </w:p>
    <w:p w14:paraId="3BCA3885">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6937AE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jc w:val="both"/>
        <w:textAlignment w:val="baseline"/>
        <w:rPr>
          <w:rFonts w:hint="eastAsia" w:ascii="宋体" w:hAnsi="宋体" w:eastAsia="宋体" w:cs="宋体"/>
          <w:color w:val="auto"/>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致：采购代理机构</w:t>
      </w:r>
    </w:p>
    <w:p w14:paraId="6DCDB3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我们</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，主要营业地点设在(</w:t>
      </w:r>
      <w:r>
        <w:rPr>
          <w:rFonts w:hint="eastAsia" w:ascii="宋体" w:hAnsi="宋体" w:eastAsia="宋体" w:cs="宋体"/>
          <w:color w:val="auto"/>
          <w:spacing w:val="0"/>
          <w:w w:val="100"/>
          <w:position w:val="0"/>
          <w:sz w:val="24"/>
          <w:szCs w:val="24"/>
          <w:highlight w:val="none"/>
          <w:u w:val="single"/>
          <w:lang w:eastAsia="zh-CN"/>
        </w:rPr>
        <w:t>制造商地址)</w:t>
      </w:r>
      <w:r>
        <w:rPr>
          <w:rFonts w:hint="eastAsia" w:ascii="宋体" w:hAnsi="宋体" w:eastAsia="宋体" w:cs="宋体"/>
          <w:color w:val="auto"/>
          <w:spacing w:val="0"/>
          <w:w w:val="100"/>
          <w:position w:val="0"/>
          <w:sz w:val="24"/>
          <w:szCs w:val="24"/>
          <w:highlight w:val="none"/>
          <w:lang w:eastAsia="zh-CN"/>
        </w:rPr>
        <w:t>。我们获悉按中华人民共和国法律成立的,主要营业地点设在</w:t>
      </w:r>
      <w:r>
        <w:rPr>
          <w:rFonts w:hint="eastAsia" w:ascii="宋体" w:hAnsi="宋体" w:eastAsia="宋体" w:cs="宋体"/>
          <w:color w:val="auto"/>
          <w:spacing w:val="0"/>
          <w:w w:val="100"/>
          <w:position w:val="0"/>
          <w:sz w:val="24"/>
          <w:szCs w:val="24"/>
          <w:highlight w:val="none"/>
          <w:u w:val="single"/>
          <w:lang w:eastAsia="zh-CN"/>
        </w:rPr>
        <w:t>(投标人地址)</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将以我方的产品</w:t>
      </w:r>
    </w:p>
    <w:p w14:paraId="16C74DC5">
      <w:pPr>
        <w:keepNext w:val="0"/>
        <w:keepLines w:val="0"/>
        <w:pageBreakBefore w:val="0"/>
        <w:widowControl w:val="0"/>
        <w:kinsoku w:val="0"/>
        <w:wordWrap/>
        <w:overflowPunct/>
        <w:topLinePunct w:val="0"/>
        <w:autoSpaceDE w:val="0"/>
        <w:autoSpaceDN w:val="0"/>
        <w:bidi w:val="0"/>
        <w:adjustRightInd w:val="0"/>
        <w:snapToGrid w:val="0"/>
        <w:spacing w:line="500" w:lineRule="atLeast"/>
        <w:ind w:left="36"/>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对贵公司的招标项目进行投标，我们特作如下说明：</w:t>
      </w:r>
    </w:p>
    <w:p w14:paraId="35DB8FC8">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45" w:firstLine="48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（1）同意</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在中华人民共和国境内以</w:t>
      </w:r>
      <w:r>
        <w:rPr>
          <w:rFonts w:hint="eastAsia" w:ascii="宋体" w:hAnsi="宋体" w:eastAsia="宋体" w:cs="宋体"/>
          <w:color w:val="auto"/>
          <w:spacing w:val="0"/>
          <w:w w:val="100"/>
          <w:position w:val="0"/>
          <w:sz w:val="24"/>
          <w:szCs w:val="24"/>
          <w:highlight w:val="none"/>
          <w:u w:val="single"/>
          <w:lang w:eastAsia="zh-CN"/>
        </w:rPr>
        <w:t>(制造商名称)</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产品名称、</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u w:val="single"/>
          <w:lang w:eastAsia="zh-CN"/>
        </w:rPr>
        <w:t>型号）</w:t>
      </w:r>
      <w:r>
        <w:rPr>
          <w:rFonts w:hint="eastAsia" w:ascii="宋体" w:hAnsi="宋体" w:eastAsia="宋体" w:cs="宋体"/>
          <w:color w:val="auto"/>
          <w:spacing w:val="0"/>
          <w:w w:val="100"/>
          <w:position w:val="0"/>
          <w:sz w:val="24"/>
          <w:szCs w:val="24"/>
          <w:highlight w:val="none"/>
          <w:lang w:eastAsia="zh-CN"/>
        </w:rPr>
        <w:t>参加贵公司有关</w:t>
      </w:r>
      <w:r>
        <w:rPr>
          <w:rFonts w:hint="eastAsia" w:ascii="宋体" w:hAnsi="宋体" w:eastAsia="宋体" w:cs="宋体"/>
          <w:color w:val="auto"/>
          <w:spacing w:val="0"/>
          <w:w w:val="100"/>
          <w:position w:val="0"/>
          <w:sz w:val="24"/>
          <w:szCs w:val="24"/>
          <w:highlight w:val="none"/>
          <w:u w:val="single"/>
          <w:lang w:eastAsia="zh-CN"/>
        </w:rPr>
        <w:t>（项目名称、项目编号）</w:t>
      </w:r>
      <w:r>
        <w:rPr>
          <w:rFonts w:hint="eastAsia" w:ascii="宋体" w:hAnsi="宋体" w:eastAsia="宋体" w:cs="宋体"/>
          <w:color w:val="auto"/>
          <w:spacing w:val="0"/>
          <w:w w:val="100"/>
          <w:position w:val="0"/>
          <w:sz w:val="24"/>
          <w:szCs w:val="24"/>
          <w:highlight w:val="none"/>
          <w:lang w:eastAsia="zh-CN"/>
        </w:rPr>
        <w:t>招标，并在中标后向我方购买相关产品。</w:t>
      </w:r>
    </w:p>
    <w:p w14:paraId="52649B19">
      <w:pPr>
        <w:keepNext w:val="0"/>
        <w:keepLines w:val="0"/>
        <w:pageBreakBefore w:val="0"/>
        <w:widowControl w:val="0"/>
        <w:kinsoku w:val="0"/>
        <w:wordWrap/>
        <w:overflowPunct/>
        <w:topLinePunct w:val="0"/>
        <w:autoSpaceDE w:val="0"/>
        <w:autoSpaceDN w:val="0"/>
        <w:bidi w:val="0"/>
        <w:adjustRightInd w:val="0"/>
        <w:snapToGrid w:val="0"/>
        <w:spacing w:before="177"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u w:val="single"/>
          <w:lang w:eastAsia="zh-CN"/>
        </w:rPr>
        <w:t>（投标人名称）</w:t>
      </w:r>
      <w:r>
        <w:rPr>
          <w:rFonts w:hint="eastAsia" w:ascii="宋体" w:hAnsi="宋体" w:eastAsia="宋体" w:cs="宋体"/>
          <w:color w:val="auto"/>
          <w:spacing w:val="0"/>
          <w:w w:val="100"/>
          <w:position w:val="0"/>
          <w:sz w:val="24"/>
          <w:szCs w:val="24"/>
          <w:highlight w:val="none"/>
          <w:lang w:eastAsia="zh-CN"/>
        </w:rPr>
        <w:t>在中标后，将按照与采购人签订的合同承担责任。</w:t>
      </w:r>
    </w:p>
    <w:p w14:paraId="63D378EC">
      <w:pPr>
        <w:keepNext w:val="0"/>
        <w:keepLines w:val="0"/>
        <w:pageBreakBefore w:val="0"/>
        <w:widowControl w:val="0"/>
        <w:kinsoku w:val="0"/>
        <w:wordWrap/>
        <w:overflowPunct/>
        <w:topLinePunct w:val="0"/>
        <w:autoSpaceDE w:val="0"/>
        <w:autoSpaceDN w:val="0"/>
        <w:bidi w:val="0"/>
        <w:adjustRightInd w:val="0"/>
        <w:snapToGrid w:val="0"/>
        <w:spacing w:before="1" w:line="500" w:lineRule="atLeast"/>
        <w:ind w:left="47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（3）我们将依法承担制造商的责任。</w:t>
      </w:r>
    </w:p>
    <w:p w14:paraId="69BFD714">
      <w:pPr>
        <w:keepNext w:val="0"/>
        <w:keepLines w:val="0"/>
        <w:pageBreakBefore w:val="0"/>
        <w:widowControl w:val="0"/>
        <w:kinsoku w:val="0"/>
        <w:wordWrap/>
        <w:overflowPunct/>
        <w:topLinePunct w:val="0"/>
        <w:autoSpaceDE w:val="0"/>
        <w:autoSpaceDN w:val="0"/>
        <w:bidi w:val="0"/>
        <w:adjustRightInd w:val="0"/>
        <w:snapToGrid w:val="0"/>
        <w:spacing w:line="500" w:lineRule="atLeast"/>
        <w:jc w:val="both"/>
        <w:textAlignment w:val="baseline"/>
        <w:rPr>
          <w:rFonts w:hint="eastAsia" w:ascii="宋体" w:hAnsi="宋体" w:eastAsia="宋体" w:cs="宋体"/>
          <w:color w:val="auto"/>
          <w:spacing w:val="0"/>
          <w:w w:val="100"/>
          <w:position w:val="0"/>
          <w:highlight w:val="none"/>
          <w:lang w:eastAsia="zh-CN"/>
        </w:rPr>
      </w:pPr>
    </w:p>
    <w:p w14:paraId="7DFCDA66">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0" w:leftChars="19"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我方于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日签署本文件，</w:t>
      </w:r>
      <w:r>
        <w:rPr>
          <w:rFonts w:hint="eastAsia" w:ascii="宋体" w:hAnsi="宋体" w:eastAsia="宋体" w:cs="宋体"/>
          <w:color w:val="auto"/>
          <w:spacing w:val="0"/>
          <w:w w:val="100"/>
          <w:position w:val="0"/>
          <w:sz w:val="24"/>
          <w:szCs w:val="24"/>
          <w:highlight w:val="none"/>
          <w:u w:val="single"/>
          <w:lang w:eastAsia="zh-CN"/>
        </w:rPr>
        <w:t xml:space="preserve"> 投标人名称</w:t>
      </w:r>
      <w:r>
        <w:rPr>
          <w:rFonts w:hint="eastAsia" w:ascii="宋体" w:hAnsi="宋体" w:eastAsia="宋体" w:cs="宋体"/>
          <w:color w:val="auto"/>
          <w:spacing w:val="0"/>
          <w:w w:val="100"/>
          <w:position w:val="0"/>
          <w:sz w:val="24"/>
          <w:szCs w:val="24"/>
          <w:highlight w:val="none"/>
          <w:lang w:eastAsia="zh-CN"/>
        </w:rPr>
        <w:t>于</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日接受此件，以此为证。</w:t>
      </w:r>
    </w:p>
    <w:p w14:paraId="45678CE5">
      <w:pPr>
        <w:keepNext w:val="0"/>
        <w:keepLines w:val="0"/>
        <w:pageBreakBefore w:val="0"/>
        <w:widowControl w:val="0"/>
        <w:kinsoku w:val="0"/>
        <w:wordWrap/>
        <w:overflowPunct/>
        <w:topLinePunct w:val="0"/>
        <w:autoSpaceDE w:val="0"/>
        <w:autoSpaceDN w:val="0"/>
        <w:bidi w:val="0"/>
        <w:adjustRightInd w:val="0"/>
        <w:snapToGrid w:val="0"/>
        <w:spacing w:before="16" w:line="500" w:lineRule="atLeast"/>
        <w:jc w:val="both"/>
        <w:textAlignment w:val="baseline"/>
        <w:rPr>
          <w:rFonts w:hint="eastAsia" w:ascii="宋体" w:hAnsi="宋体" w:eastAsia="宋体" w:cs="宋体"/>
          <w:color w:val="auto"/>
          <w:spacing w:val="0"/>
          <w:w w:val="100"/>
          <w:position w:val="0"/>
          <w:highlight w:val="none"/>
          <w:lang w:eastAsia="zh-CN"/>
        </w:rPr>
      </w:pPr>
    </w:p>
    <w:p w14:paraId="38316775">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2138D828">
      <w:pPr>
        <w:pStyle w:val="6"/>
        <w:rPr>
          <w:rFonts w:hint="eastAsia" w:ascii="宋体" w:hAnsi="宋体" w:eastAsia="宋体" w:cs="宋体"/>
          <w:spacing w:val="0"/>
          <w:w w:val="100"/>
          <w:position w:val="0"/>
          <w:highlight w:val="none"/>
          <w:lang w:eastAsia="zh-CN"/>
        </w:rPr>
        <w:sectPr>
          <w:footerReference r:id="rId15" w:type="default"/>
          <w:pgSz w:w="11906" w:h="16839"/>
          <w:pgMar w:top="1431" w:right="1786" w:bottom="1429" w:left="1786" w:header="0" w:footer="994" w:gutter="0"/>
          <w:cols w:equalWidth="0" w:num="1">
            <w:col w:w="8953"/>
          </w:cols>
        </w:sectPr>
      </w:pPr>
    </w:p>
    <w:p w14:paraId="6B70A420">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u w:val="none"/>
          <w:lang w:eastAsia="zh-CN"/>
        </w:rPr>
      </w:pPr>
      <w:r>
        <w:rPr>
          <w:rFonts w:hint="eastAsia" w:ascii="宋体" w:hAnsi="宋体" w:eastAsia="宋体" w:cs="宋体"/>
          <w:color w:val="auto"/>
          <w:spacing w:val="0"/>
          <w:w w:val="100"/>
          <w:position w:val="0"/>
          <w:sz w:val="24"/>
          <w:szCs w:val="24"/>
          <w:highlight w:val="none"/>
          <w:u w:val="none"/>
          <w:lang w:eastAsia="zh-CN"/>
        </w:rPr>
        <w:t>投标人名称：</w:t>
      </w:r>
    </w:p>
    <w:p w14:paraId="621B93A2">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签字人职务：</w:t>
      </w:r>
    </w:p>
    <w:p w14:paraId="4430DA75">
      <w:pPr>
        <w:keepNext w:val="0"/>
        <w:keepLines w:val="0"/>
        <w:pageBreakBefore w:val="0"/>
        <w:widowControl w:val="0"/>
        <w:kinsoku w:val="0"/>
        <w:wordWrap/>
        <w:overflowPunct/>
        <w:topLinePunct w:val="0"/>
        <w:autoSpaceDE w:val="0"/>
        <w:autoSpaceDN w:val="0"/>
        <w:bidi w:val="0"/>
        <w:adjustRightInd w:val="0"/>
        <w:snapToGrid w:val="0"/>
        <w:spacing w:before="47" w:line="500" w:lineRule="atLeast"/>
        <w:ind w:left="-199" w:leftChars="-95" w:right="1111" w:rightChars="529" w:firstLine="0" w:firstLineChars="0"/>
        <w:textAlignment w:val="baseline"/>
        <w:rPr>
          <w:rFonts w:hint="eastAsia" w:ascii="宋体" w:hAnsi="宋体" w:eastAsia="宋体" w:cs="宋体"/>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签字人姓名：</w:t>
      </w:r>
    </w:p>
    <w:p w14:paraId="138195A9">
      <w:pPr>
        <w:keepNext w:val="0"/>
        <w:keepLines w:val="0"/>
        <w:pageBreakBefore w:val="0"/>
        <w:widowControl w:val="0"/>
        <w:kinsoku w:val="0"/>
        <w:wordWrap/>
        <w:overflowPunct/>
        <w:topLinePunct w:val="0"/>
        <w:autoSpaceDE w:val="0"/>
        <w:autoSpaceDN w:val="0"/>
        <w:bidi w:val="0"/>
        <w:adjustRightInd w:val="0"/>
        <w:snapToGrid w:val="0"/>
        <w:spacing w:line="500" w:lineRule="atLeast"/>
        <w:ind w:left="-199" w:leftChars="-95"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502234BD">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
          <w:szCs w:val="2"/>
          <w:highlight w:val="none"/>
          <w:lang w:eastAsia="zh-CN"/>
        </w:rPr>
        <w:br w:type="column"/>
      </w:r>
      <w:r>
        <w:rPr>
          <w:rFonts w:hint="eastAsia" w:ascii="宋体" w:hAnsi="宋体" w:eastAsia="宋体" w:cs="宋体"/>
          <w:color w:val="auto"/>
          <w:spacing w:val="0"/>
          <w:w w:val="100"/>
          <w:position w:val="0"/>
          <w:sz w:val="24"/>
          <w:szCs w:val="24"/>
          <w:highlight w:val="none"/>
          <w:lang w:eastAsia="zh-CN"/>
        </w:rPr>
        <w:t>制造商名称：</w:t>
      </w:r>
    </w:p>
    <w:p w14:paraId="358C47D1">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500" w:lineRule="atLeast"/>
        <w:ind w:left="0" w:leftChars="0" w:firstLine="0" w:firstLineChars="0"/>
        <w:textAlignment w:val="baseline"/>
        <w:rPr>
          <w:rFonts w:hint="eastAsia" w:ascii="宋体" w:hAnsi="宋体" w:eastAsia="宋体" w:cs="宋体"/>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签字人职务：</w:t>
      </w:r>
    </w:p>
    <w:p w14:paraId="2171B4A6">
      <w:pPr>
        <w:pStyle w:val="6"/>
        <w:spacing w:before="0" w:beforeLines="100" w:beforeAutospacing="0" w:afterAutospacing="0"/>
        <w:rPr>
          <w:rFonts w:hint="eastAsia" w:ascii="宋体" w:hAnsi="宋体" w:eastAsia="宋体" w:cs="宋体"/>
          <w:spacing w:val="0"/>
          <w:w w:val="100"/>
          <w:position w:val="0"/>
          <w:highlight w:val="none"/>
          <w:lang w:eastAsia="zh-CN"/>
        </w:rPr>
      </w:pPr>
      <w:r>
        <w:rPr>
          <w:rFonts w:hint="eastAsia" w:ascii="宋体" w:hAnsi="宋体" w:eastAsia="宋体" w:cs="宋体"/>
          <w:color w:val="auto"/>
          <w:spacing w:val="0"/>
          <w:w w:val="100"/>
          <w:position w:val="0"/>
          <w:sz w:val="24"/>
          <w:szCs w:val="24"/>
          <w:highlight w:val="none"/>
          <w:lang w:eastAsia="zh-CN"/>
        </w:rPr>
        <w:t>签字人姓名：</w:t>
      </w:r>
    </w:p>
    <w:p w14:paraId="492FD6CF">
      <w:pPr>
        <w:keepNext w:val="0"/>
        <w:keepLines w:val="0"/>
        <w:pageBreakBefore w:val="0"/>
        <w:widowControl w:val="0"/>
        <w:kinsoku w:val="0"/>
        <w:wordWrap/>
        <w:overflowPunct/>
        <w:topLinePunct w:val="0"/>
        <w:autoSpaceDE w:val="0"/>
        <w:autoSpaceDN w:val="0"/>
        <w:bidi w:val="0"/>
        <w:adjustRightInd w:val="0"/>
        <w:snapToGrid w:val="0"/>
        <w:spacing w:beforeAutospacing="0" w:line="500" w:lineRule="atLeast"/>
        <w:ind w:left="36" w:leftChars="0" w:hanging="36" w:hangingChars="15"/>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签字人签名或签章：</w:t>
      </w:r>
    </w:p>
    <w:p w14:paraId="63313ABE">
      <w:pPr>
        <w:pStyle w:val="6"/>
        <w:spacing w:beforeAutospacing="0"/>
        <w:rPr>
          <w:rFonts w:hint="eastAsia" w:ascii="宋体" w:hAnsi="宋体" w:eastAsia="宋体" w:cs="宋体"/>
          <w:spacing w:val="0"/>
          <w:w w:val="100"/>
          <w:position w:val="0"/>
          <w:highlight w:val="none"/>
          <w:lang w:eastAsia="zh-CN"/>
        </w:rPr>
      </w:pPr>
    </w:p>
    <w:p w14:paraId="022DC95D">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highlight w:val="none"/>
          <w:lang w:eastAsia="zh-CN"/>
        </w:rPr>
        <w:sectPr>
          <w:type w:val="continuous"/>
          <w:pgSz w:w="11906" w:h="16839"/>
          <w:pgMar w:top="1431" w:right="1167" w:bottom="1156" w:left="1785" w:header="0" w:footer="994" w:gutter="0"/>
          <w:cols w:equalWidth="0" w:num="2">
            <w:col w:w="5063" w:space="100"/>
            <w:col w:w="3790"/>
          </w:cols>
        </w:sectPr>
      </w:pPr>
    </w:p>
    <w:p w14:paraId="1B030F0A">
      <w:pPr>
        <w:pageBreakBefore w:val="0"/>
        <w:widowControl w:val="0"/>
        <w:wordWrap/>
        <w:overflowPunct/>
        <w:topLinePunct w:val="0"/>
        <w:bidi w:val="0"/>
        <w:spacing w:before="101" w:line="219" w:lineRule="auto"/>
        <w:ind w:left="2109"/>
        <w:outlineLvl w:val="1"/>
        <w:rPr>
          <w:rFonts w:hint="eastAsia" w:ascii="宋体" w:hAnsi="宋体" w:eastAsia="宋体" w:cs="宋体"/>
          <w:color w:val="auto"/>
          <w:spacing w:val="0"/>
          <w:w w:val="100"/>
          <w:position w:val="0"/>
          <w:sz w:val="24"/>
          <w:szCs w:val="24"/>
          <w:highlight w:val="none"/>
          <w:lang w:eastAsia="zh-CN"/>
        </w:rPr>
      </w:pPr>
      <w:bookmarkStart w:id="147" w:name="bookmark70"/>
      <w:bookmarkEnd w:id="147"/>
      <w:bookmarkStart w:id="148" w:name="bookmark75"/>
      <w:bookmarkEnd w:id="148"/>
      <w:bookmarkStart w:id="149" w:name="_Toc1979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联合体协议（适用于联合体投标）</w:t>
      </w:r>
      <w:bookmarkEnd w:id="149"/>
    </w:p>
    <w:p w14:paraId="085F8E82">
      <w:pPr>
        <w:pageBreakBefore w:val="0"/>
        <w:widowControl w:val="0"/>
        <w:wordWrap/>
        <w:overflowPunct/>
        <w:topLinePunct w:val="0"/>
        <w:bidi w:val="0"/>
        <w:spacing w:line="361" w:lineRule="auto"/>
        <w:rPr>
          <w:rFonts w:hint="eastAsia" w:ascii="宋体" w:hAnsi="宋体" w:eastAsia="宋体" w:cs="宋体"/>
          <w:color w:val="auto"/>
          <w:spacing w:val="0"/>
          <w:w w:val="100"/>
          <w:position w:val="0"/>
          <w:highlight w:val="none"/>
          <w:lang w:eastAsia="zh-CN"/>
        </w:rPr>
      </w:pPr>
    </w:p>
    <w:p w14:paraId="04C80228">
      <w:pPr>
        <w:pageBreakBefore w:val="0"/>
        <w:widowControl w:val="0"/>
        <w:wordWrap/>
        <w:overflowPunct/>
        <w:topLinePunct w:val="0"/>
        <w:bidi w:val="0"/>
        <w:spacing w:before="78" w:line="219" w:lineRule="auto"/>
        <w:jc w:val="right"/>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联合协议应当载明联合体各方承担的工作和义务，联合体协议各方均应当签章。</w:t>
      </w:r>
    </w:p>
    <w:p w14:paraId="04395278">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sectPr>
          <w:footerReference r:id="rId16" w:type="default"/>
          <w:pgSz w:w="11906" w:h="16839"/>
          <w:pgMar w:top="1431" w:right="1786" w:bottom="1429" w:left="1785" w:header="0" w:footer="994" w:gutter="0"/>
          <w:cols w:space="720" w:num="1"/>
        </w:sectPr>
      </w:pPr>
    </w:p>
    <w:p w14:paraId="5D3ABD80">
      <w:pPr>
        <w:pageBreakBefore w:val="0"/>
        <w:widowControl w:val="0"/>
        <w:wordWrap/>
        <w:overflowPunct/>
        <w:topLinePunct w:val="0"/>
        <w:bidi w:val="0"/>
        <w:jc w:val="center"/>
        <w:rPr>
          <w:rFonts w:hint="eastAsia" w:ascii="宋体" w:hAnsi="宋体" w:eastAsia="宋体" w:cs="宋体"/>
          <w:b/>
          <w:color w:val="auto"/>
          <w:spacing w:val="0"/>
          <w:w w:val="100"/>
          <w:position w:val="0"/>
          <w:sz w:val="24"/>
          <w:szCs w:val="24"/>
          <w:highlight w:val="none"/>
        </w:rPr>
      </w:pPr>
      <w:bookmarkStart w:id="150" w:name="bookmark76"/>
      <w:bookmarkEnd w:id="150"/>
      <w:bookmarkStart w:id="151" w:name="bookmark71"/>
      <w:bookmarkEnd w:id="15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7-</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7 本项目的其它特定资格证明材料</w:t>
      </w:r>
    </w:p>
    <w:p w14:paraId="0FC56298">
      <w:pPr>
        <w:pageBreakBefore w:val="0"/>
        <w:widowControl w:val="0"/>
        <w:wordWrap/>
        <w:overflowPunct/>
        <w:topLinePunct w:val="0"/>
        <w:bidi w:val="0"/>
        <w:jc w:val="both"/>
        <w:rPr>
          <w:rFonts w:hint="eastAsia" w:ascii="宋体" w:hAnsi="宋体" w:eastAsia="宋体" w:cs="宋体"/>
          <w:color w:val="auto"/>
          <w:spacing w:val="0"/>
          <w:w w:val="100"/>
          <w:kern w:val="0"/>
          <w:position w:val="0"/>
          <w:highlight w:val="none"/>
          <w:shd w:val="clear" w:color="auto" w:fill="FFFFFF"/>
        </w:rPr>
      </w:pPr>
    </w:p>
    <w:p w14:paraId="607AB588">
      <w:pPr>
        <w:pageBreakBefore w:val="0"/>
        <w:widowControl w:val="0"/>
        <w:wordWrap/>
        <w:overflowPunct/>
        <w:topLinePunct w:val="0"/>
        <w:bidi w:val="0"/>
        <w:jc w:val="both"/>
        <w:rPr>
          <w:rFonts w:hint="eastAsia" w:ascii="宋体" w:hAnsi="宋体" w:eastAsia="宋体" w:cs="宋体"/>
          <w:color w:val="auto"/>
          <w:spacing w:val="0"/>
          <w:w w:val="100"/>
          <w:kern w:val="0"/>
          <w:position w:val="0"/>
          <w:sz w:val="24"/>
          <w:szCs w:val="24"/>
          <w:highlight w:val="none"/>
          <w:shd w:val="clear" w:color="auto" w:fill="FFFFFF"/>
        </w:rPr>
      </w:pPr>
      <w:r>
        <w:rPr>
          <w:rFonts w:hint="eastAsia" w:ascii="宋体" w:hAnsi="宋体" w:eastAsia="宋体" w:cs="宋体"/>
          <w:color w:val="auto"/>
          <w:spacing w:val="0"/>
          <w:w w:val="100"/>
          <w:kern w:val="0"/>
          <w:position w:val="0"/>
          <w:sz w:val="24"/>
          <w:szCs w:val="24"/>
          <w:highlight w:val="none"/>
          <w:shd w:val="clear" w:color="auto" w:fill="FFFFFF"/>
        </w:rPr>
        <w:t>（如属于特定行业项目,</w:t>
      </w:r>
      <w:r>
        <w:rPr>
          <w:rFonts w:hint="eastAsia" w:ascii="宋体" w:hAnsi="宋体" w:eastAsia="宋体" w:cs="宋体"/>
          <w:color w:val="auto"/>
          <w:spacing w:val="0"/>
          <w:w w:val="100"/>
          <w:kern w:val="0"/>
          <w:position w:val="0"/>
          <w:sz w:val="24"/>
          <w:szCs w:val="24"/>
          <w:highlight w:val="none"/>
          <w:shd w:val="clear" w:color="auto" w:fill="FFFFFF"/>
          <w:lang w:eastAsia="zh-CN"/>
        </w:rPr>
        <w:t>投标人</w:t>
      </w:r>
      <w:r>
        <w:rPr>
          <w:rFonts w:hint="eastAsia" w:ascii="宋体" w:hAnsi="宋体" w:eastAsia="宋体" w:cs="宋体"/>
          <w:color w:val="auto"/>
          <w:spacing w:val="0"/>
          <w:w w:val="100"/>
          <w:kern w:val="0"/>
          <w:position w:val="0"/>
          <w:sz w:val="24"/>
          <w:szCs w:val="24"/>
          <w:highlight w:val="none"/>
          <w:shd w:val="clear" w:color="auto" w:fill="FFFFFF"/>
        </w:rPr>
        <w:t>应当具备特定行业法定准入要求。)</w:t>
      </w:r>
    </w:p>
    <w:p w14:paraId="7D8388A8">
      <w:pPr>
        <w:pageBreakBefore w:val="0"/>
        <w:widowControl w:val="0"/>
        <w:wordWrap/>
        <w:overflowPunct/>
        <w:topLinePunct w:val="0"/>
        <w:autoSpaceDE w:val="0"/>
        <w:autoSpaceDN w:val="0"/>
        <w:bidi w:val="0"/>
        <w:adjustRightInd w:val="0"/>
        <w:textAlignment w:val="baseline"/>
        <w:rPr>
          <w:rFonts w:hint="eastAsia" w:ascii="宋体" w:hAnsi="宋体" w:eastAsia="宋体" w:cs="宋体"/>
          <w:b/>
          <w:color w:val="auto"/>
          <w:spacing w:val="0"/>
          <w:w w:val="100"/>
          <w:kern w:val="0"/>
          <w:position w:val="0"/>
          <w:highlight w:val="none"/>
        </w:rPr>
      </w:pPr>
    </w:p>
    <w:p w14:paraId="0E89B89A">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highlight w:val="none"/>
          <w:lang w:eastAsia="zh-CN"/>
        </w:rPr>
      </w:pPr>
    </w:p>
    <w:p w14:paraId="142D8781">
      <w:pPr>
        <w:pStyle w:val="3"/>
        <w:pageBreakBefore w:val="0"/>
        <w:widowControl w:val="0"/>
        <w:wordWrap/>
        <w:overflowPunct/>
        <w:topLinePunct w:val="0"/>
        <w:bidi w:val="0"/>
        <w:outlineLvl w:val="9"/>
        <w:rPr>
          <w:rFonts w:hint="eastAsia" w:ascii="宋体" w:hAnsi="宋体" w:eastAsia="宋体" w:cs="宋体"/>
          <w:color w:val="auto"/>
          <w:spacing w:val="0"/>
          <w:w w:val="100"/>
          <w:kern w:val="30"/>
          <w:position w:val="0"/>
          <w:sz w:val="24"/>
          <w:szCs w:val="24"/>
          <w:highlight w:val="none"/>
          <w:lang w:eastAsia="zh-CN"/>
        </w:rPr>
      </w:pPr>
    </w:p>
    <w:p w14:paraId="5E29B93B">
      <w:pPr>
        <w:pageBreakBefore w:val="0"/>
        <w:widowControl w:val="0"/>
        <w:wordWrap/>
        <w:overflowPunct/>
        <w:topLinePunct w:val="0"/>
        <w:bidi w:val="0"/>
        <w:rPr>
          <w:rFonts w:hint="eastAsia" w:ascii="宋体" w:hAnsi="宋体" w:eastAsia="宋体" w:cs="宋体"/>
          <w:color w:val="auto"/>
          <w:spacing w:val="0"/>
          <w:w w:val="100"/>
          <w:kern w:val="30"/>
          <w:position w:val="0"/>
          <w:sz w:val="24"/>
          <w:szCs w:val="24"/>
          <w:highlight w:val="none"/>
          <w:lang w:eastAsia="zh-CN"/>
        </w:rPr>
      </w:pPr>
    </w:p>
    <w:p w14:paraId="763EF9EA">
      <w:pPr>
        <w:pStyle w:val="3"/>
        <w:pageBreakBefore w:val="0"/>
        <w:widowControl w:val="0"/>
        <w:wordWrap/>
        <w:overflowPunct/>
        <w:topLinePunct w:val="0"/>
        <w:bidi w:val="0"/>
        <w:outlineLvl w:val="9"/>
        <w:rPr>
          <w:rFonts w:hint="eastAsia" w:ascii="宋体" w:hAnsi="宋体" w:eastAsia="宋体" w:cs="宋体"/>
          <w:color w:val="auto"/>
          <w:spacing w:val="0"/>
          <w:w w:val="100"/>
          <w:position w:val="0"/>
          <w:highlight w:val="none"/>
          <w:lang w:eastAsia="zh-CN"/>
        </w:rPr>
      </w:pPr>
    </w:p>
    <w:p w14:paraId="56EE0B80">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highlight w:val="none"/>
          <w:lang w:eastAsia="zh-CN"/>
        </w:rPr>
      </w:pPr>
    </w:p>
    <w:p w14:paraId="5508CC1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特别</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说明：</w:t>
      </w:r>
    </w:p>
    <w:p w14:paraId="113BBD95">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应当提交的资格证明文件均为原件原色扫描件,未提交或不满足要求均视为无效投标。</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招标</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文件另有具体要求的从其规定。</w:t>
      </w:r>
    </w:p>
    <w:p w14:paraId="19A181B3">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0"/>
        <w:textAlignment w:val="baseline"/>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p>
    <w:p w14:paraId="79827FC2">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56A9F80B">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3AB95927">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70824377">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6348122F">
      <w:pPr>
        <w:pStyle w:val="25"/>
        <w:pageBreakBefore w:val="0"/>
        <w:widowControl w:val="0"/>
        <w:wordWrap/>
        <w:overflowPunct/>
        <w:topLinePunct w:val="0"/>
        <w:bidi w:val="0"/>
        <w:rPr>
          <w:rFonts w:hint="eastAsia" w:ascii="宋体" w:hAnsi="宋体" w:eastAsia="宋体" w:cs="宋体"/>
          <w:b/>
          <w:color w:val="auto"/>
          <w:spacing w:val="0"/>
          <w:w w:val="100"/>
          <w:kern w:val="2"/>
          <w:position w:val="0"/>
          <w:sz w:val="24"/>
          <w:szCs w:val="24"/>
          <w:highlight w:val="none"/>
          <w:lang w:val="en-US" w:eastAsia="zh-CN" w:bidi="ar-SA"/>
        </w:rPr>
      </w:pPr>
    </w:p>
    <w:p w14:paraId="43A84B48">
      <w:pPr>
        <w:pageBreakBefore w:val="0"/>
        <w:widowControl w:val="0"/>
        <w:wordWrap/>
        <w:overflowPunct/>
        <w:topLinePunct w:val="0"/>
        <w:bidi w:val="0"/>
        <w:spacing w:line="420" w:lineRule="exact"/>
        <w:ind w:left="13" w:hanging="12" w:hangingChars="5"/>
        <w:rPr>
          <w:rFonts w:hint="eastAsia" w:ascii="宋体" w:hAnsi="宋体" w:eastAsia="宋体" w:cs="宋体"/>
          <w:color w:val="auto"/>
          <w:spacing w:val="0"/>
          <w:w w:val="100"/>
          <w:kern w:val="30"/>
          <w:position w:val="0"/>
          <w:sz w:val="24"/>
          <w:szCs w:val="24"/>
          <w:highlight w:val="none"/>
          <w:lang w:eastAsia="zh-CN"/>
        </w:rPr>
      </w:pPr>
    </w:p>
    <w:p w14:paraId="1321081E">
      <w:pPr>
        <w:pageBreakBefore w:val="0"/>
        <w:widowControl w:val="0"/>
        <w:wordWrap/>
        <w:overflowPunct/>
        <w:topLinePunct w:val="0"/>
        <w:bidi w:val="0"/>
        <w:spacing w:before="100" w:line="219" w:lineRule="auto"/>
        <w:outlineLvl w:val="9"/>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152" w:name="bookmark72"/>
      <w:bookmarkEnd w:id="152"/>
    </w:p>
    <w:p w14:paraId="480D92DF">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89AB53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7728F7D">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5B5B1EC">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9F2906D">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367909FF">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BB2CB54">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EAB90F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5AFA9917">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20535194">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3DCE59B">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12F2D9A">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36D5C8D9">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65565B47">
      <w:pPr>
        <w:pStyle w:val="25"/>
        <w:pageBreakBefore w:val="0"/>
        <w:widowControl w:val="0"/>
        <w:wordWrap/>
        <w:overflowPunct/>
        <w:topLinePunct w:val="0"/>
        <w:bidi w:val="0"/>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p>
    <w:p w14:paraId="765FC6AA">
      <w:pP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br w:type="page"/>
      </w:r>
    </w:p>
    <w:p w14:paraId="1152700B">
      <w:pPr>
        <w:pageBreakBefore w:val="0"/>
        <w:widowControl w:val="0"/>
        <w:wordWrap/>
        <w:overflowPunct/>
        <w:topLinePunct w:val="0"/>
        <w:bidi w:val="0"/>
        <w:spacing w:before="100" w:line="219" w:lineRule="auto"/>
        <w:ind w:left="1930"/>
        <w:outlineLvl w:val="0"/>
        <w:rPr>
          <w:rFonts w:hint="eastAsia" w:ascii="宋体" w:hAnsi="宋体" w:eastAsia="宋体" w:cs="宋体"/>
          <w:color w:val="auto"/>
          <w:spacing w:val="0"/>
          <w:w w:val="100"/>
          <w:position w:val="0"/>
          <w:sz w:val="24"/>
          <w:szCs w:val="24"/>
          <w:highlight w:val="none"/>
          <w:lang w:eastAsia="zh-CN"/>
        </w:rPr>
      </w:pPr>
      <w:bookmarkStart w:id="153" w:name="_Toc6475"/>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8.为落实政府采购政策投标人须提供的证明材料</w:t>
      </w:r>
      <w:bookmarkEnd w:id="153"/>
    </w:p>
    <w:p w14:paraId="4185FBCC">
      <w:pPr>
        <w:pageBreakBefore w:val="0"/>
        <w:widowControl w:val="0"/>
        <w:wordWrap/>
        <w:overflowPunct/>
        <w:topLinePunct w:val="0"/>
        <w:bidi w:val="0"/>
        <w:spacing w:line="363" w:lineRule="auto"/>
        <w:rPr>
          <w:rFonts w:hint="eastAsia" w:ascii="宋体" w:hAnsi="宋体" w:eastAsia="宋体" w:cs="宋体"/>
          <w:color w:val="auto"/>
          <w:spacing w:val="0"/>
          <w:w w:val="100"/>
          <w:position w:val="0"/>
          <w:highlight w:val="none"/>
          <w:lang w:eastAsia="zh-CN"/>
        </w:rPr>
      </w:pPr>
    </w:p>
    <w:p w14:paraId="6E0432B9">
      <w:pPr>
        <w:pageBreakBefore w:val="0"/>
        <w:widowControl w:val="0"/>
        <w:wordWrap/>
        <w:overflowPunct/>
        <w:topLinePunct w:val="0"/>
        <w:bidi w:val="0"/>
        <w:spacing w:before="78" w:line="219" w:lineRule="auto"/>
        <w:jc w:val="center"/>
        <w:outlineLvl w:val="1"/>
        <w:rPr>
          <w:rFonts w:hint="eastAsia" w:ascii="宋体" w:hAnsi="宋体" w:eastAsia="宋体" w:cs="宋体"/>
          <w:color w:val="auto"/>
          <w:spacing w:val="0"/>
          <w:w w:val="100"/>
          <w:position w:val="0"/>
          <w:sz w:val="24"/>
          <w:szCs w:val="24"/>
          <w:highlight w:val="none"/>
          <w:lang w:val="en-US" w:eastAsia="zh-CN"/>
        </w:rPr>
      </w:pPr>
      <w:bookmarkStart w:id="154" w:name="_Toc3146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8-1</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中小企业声明（</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bookmarkEnd w:id="154"/>
    </w:p>
    <w:p w14:paraId="708AC018">
      <w:pPr>
        <w:pageBreakBefore w:val="0"/>
        <w:widowControl w:val="0"/>
        <w:wordWrap/>
        <w:overflowPunct/>
        <w:topLinePunct w:val="0"/>
        <w:bidi w:val="0"/>
        <w:spacing w:line="364" w:lineRule="auto"/>
        <w:rPr>
          <w:rFonts w:hint="eastAsia" w:ascii="宋体" w:hAnsi="宋体" w:eastAsia="宋体" w:cs="宋体"/>
          <w:color w:val="auto"/>
          <w:spacing w:val="0"/>
          <w:w w:val="100"/>
          <w:position w:val="0"/>
          <w:highlight w:val="none"/>
          <w:lang w:eastAsia="zh-CN"/>
        </w:rPr>
      </w:pPr>
    </w:p>
    <w:p w14:paraId="2D44A8E2">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right="350" w:firstLine="480" w:firstLineChars="200"/>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本公司（联合体）郑重声明，根据《政府采购促进中小企业发展管理办法》 （财库﹝2020﹞46 号）的规定，本公司（联合体）参加</w:t>
      </w:r>
      <w:r>
        <w:rPr>
          <w:rFonts w:hint="eastAsia" w:ascii="宋体" w:hAnsi="宋体" w:eastAsia="宋体" w:cs="宋体"/>
          <w:color w:val="auto"/>
          <w:spacing w:val="0"/>
          <w:w w:val="100"/>
          <w:position w:val="0"/>
          <w:sz w:val="24"/>
          <w:szCs w:val="24"/>
          <w:highlight w:val="none"/>
          <w:u w:val="single"/>
          <w:lang w:eastAsia="zh-CN"/>
        </w:rPr>
        <w:t>（单位名称）</w:t>
      </w:r>
      <w:r>
        <w:rPr>
          <w:rFonts w:hint="eastAsia" w:ascii="宋体" w:hAnsi="宋体" w:eastAsia="宋体" w:cs="宋体"/>
          <w:color w:val="auto"/>
          <w:spacing w:val="0"/>
          <w:w w:val="100"/>
          <w:position w:val="0"/>
          <w:sz w:val="24"/>
          <w:szCs w:val="24"/>
          <w:highlight w:val="none"/>
          <w:lang w:eastAsia="zh-CN"/>
        </w:rPr>
        <w:t>的</w:t>
      </w:r>
      <w:r>
        <w:rPr>
          <w:rFonts w:hint="eastAsia" w:ascii="宋体" w:hAnsi="宋体" w:eastAsia="宋体" w:cs="宋体"/>
          <w:color w:val="auto"/>
          <w:spacing w:val="0"/>
          <w:w w:val="100"/>
          <w:position w:val="0"/>
          <w:sz w:val="24"/>
          <w:szCs w:val="24"/>
          <w:highlight w:val="none"/>
          <w:u w:val="single"/>
          <w:lang w:eastAsia="zh-CN"/>
        </w:rPr>
        <w:t>（项目名称）</w:t>
      </w:r>
      <w:r>
        <w:rPr>
          <w:rFonts w:hint="eastAsia" w:ascii="宋体" w:hAnsi="宋体" w:eastAsia="宋体" w:cs="宋体"/>
          <w:color w:val="auto"/>
          <w:spacing w:val="0"/>
          <w:w w:val="100"/>
          <w:position w:val="0"/>
          <w:sz w:val="24"/>
          <w:szCs w:val="24"/>
          <w:highlight w:val="none"/>
          <w:lang w:eastAsia="zh-CN"/>
        </w:rPr>
        <w:t>采购活动，提供的货物全部由符合政策要求的中小企业制造。相关企业（含联合体中的中小企业、签订分包意向协议的中小企业）的具体情况如下：</w:t>
      </w:r>
    </w:p>
    <w:p w14:paraId="1115DF9D">
      <w:pPr>
        <w:keepNext w:val="0"/>
        <w:keepLines w:val="0"/>
        <w:pageBreakBefore w:val="0"/>
        <w:widowControl w:val="0"/>
        <w:kinsoku w:val="0"/>
        <w:wordWrap/>
        <w:overflowPunct/>
        <w:topLinePunct w:val="0"/>
        <w:autoSpaceDE w:val="0"/>
        <w:autoSpaceDN w:val="0"/>
        <w:bidi w:val="0"/>
        <w:adjustRightInd w:val="0"/>
        <w:snapToGrid w:val="0"/>
        <w:spacing w:before="301" w:line="360" w:lineRule="auto"/>
        <w:ind w:left="36" w:right="103" w:firstLine="49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w:t>
      </w:r>
      <w:r>
        <w:rPr>
          <w:rFonts w:hint="eastAsia" w:ascii="宋体" w:hAnsi="宋体" w:eastAsia="宋体" w:cs="宋体"/>
          <w:color w:val="auto"/>
          <w:spacing w:val="0"/>
          <w:w w:val="100"/>
          <w:position w:val="0"/>
          <w:sz w:val="24"/>
          <w:szCs w:val="24"/>
          <w:highlight w:val="none"/>
          <w:u w:val="single"/>
          <w:lang w:eastAsia="zh-CN"/>
        </w:rPr>
        <w:t>（标的名称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lang w:eastAsia="zh-CN"/>
        </w:rPr>
        <w:t xml:space="preserve"> ，属于</w:t>
      </w:r>
      <w:r>
        <w:rPr>
          <w:rFonts w:hint="eastAsia" w:ascii="宋体" w:hAnsi="宋体" w:eastAsia="宋体" w:cs="宋体"/>
          <w:color w:val="auto"/>
          <w:spacing w:val="0"/>
          <w:w w:val="100"/>
          <w:position w:val="0"/>
          <w:sz w:val="24"/>
          <w:szCs w:val="24"/>
          <w:highlight w:val="none"/>
          <w:u w:val="single"/>
          <w:lang w:eastAsia="zh-CN"/>
        </w:rPr>
        <w:t>（采购文件中明确的所属行业）</w:t>
      </w:r>
      <w:r>
        <w:rPr>
          <w:rFonts w:hint="eastAsia" w:ascii="宋体" w:hAnsi="宋体" w:eastAsia="宋体" w:cs="宋体"/>
          <w:color w:val="auto"/>
          <w:spacing w:val="0"/>
          <w:w w:val="100"/>
          <w:position w:val="0"/>
          <w:sz w:val="24"/>
          <w:szCs w:val="24"/>
          <w:highlight w:val="none"/>
          <w:lang w:eastAsia="zh-CN"/>
        </w:rPr>
        <w:t>行业；制造商为（企业名称），从业人员</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人，营业收入为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万元，资产总额为</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万元，属于</w:t>
      </w:r>
      <w:r>
        <w:rPr>
          <w:rFonts w:hint="eastAsia" w:ascii="宋体" w:hAnsi="宋体" w:eastAsia="宋体" w:cs="宋体"/>
          <w:color w:val="auto"/>
          <w:spacing w:val="0"/>
          <w:w w:val="100"/>
          <w:position w:val="0"/>
          <w:sz w:val="24"/>
          <w:szCs w:val="24"/>
          <w:highlight w:val="none"/>
          <w:u w:val="single"/>
          <w:lang w:eastAsia="zh-CN"/>
        </w:rPr>
        <w:t>（中型企业、小型企业、微型企业）</w:t>
      </w:r>
      <w:r>
        <w:rPr>
          <w:rFonts w:hint="eastAsia" w:ascii="宋体" w:hAnsi="宋体" w:eastAsia="宋体" w:cs="宋体"/>
          <w:color w:val="auto"/>
          <w:spacing w:val="0"/>
          <w:w w:val="100"/>
          <w:position w:val="0"/>
          <w:sz w:val="24"/>
          <w:szCs w:val="24"/>
          <w:highlight w:val="none"/>
          <w:lang w:eastAsia="zh-CN"/>
        </w:rPr>
        <w:t>；</w:t>
      </w:r>
    </w:p>
    <w:p w14:paraId="7E2A56AB">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36" w:right="103" w:firstLine="483"/>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w:t>
      </w:r>
      <w:r>
        <w:rPr>
          <w:rFonts w:hint="eastAsia" w:ascii="宋体" w:hAnsi="宋体" w:eastAsia="宋体" w:cs="宋体"/>
          <w:color w:val="auto"/>
          <w:spacing w:val="0"/>
          <w:w w:val="100"/>
          <w:position w:val="0"/>
          <w:sz w:val="24"/>
          <w:szCs w:val="24"/>
          <w:highlight w:val="none"/>
          <w:u w:val="single"/>
          <w:lang w:eastAsia="zh-CN"/>
        </w:rPr>
        <w:t>（标的名称 ）</w:t>
      </w:r>
      <w:r>
        <w:rPr>
          <w:rFonts w:hint="eastAsia" w:ascii="宋体" w:hAnsi="宋体" w:eastAsia="宋体" w:cs="宋体"/>
          <w:color w:val="auto"/>
          <w:spacing w:val="0"/>
          <w:w w:val="100"/>
          <w:position w:val="0"/>
          <w:sz w:val="24"/>
          <w:szCs w:val="24"/>
          <w:highlight w:val="none"/>
          <w:lang w:eastAsia="zh-CN"/>
        </w:rPr>
        <w:t xml:space="preserve"> ，属于</w:t>
      </w:r>
      <w:r>
        <w:rPr>
          <w:rFonts w:hint="eastAsia" w:ascii="宋体" w:hAnsi="宋体" w:eastAsia="宋体" w:cs="宋体"/>
          <w:color w:val="auto"/>
          <w:spacing w:val="0"/>
          <w:w w:val="100"/>
          <w:position w:val="0"/>
          <w:sz w:val="24"/>
          <w:szCs w:val="24"/>
          <w:highlight w:val="none"/>
          <w:u w:val="single"/>
          <w:lang w:eastAsia="zh-CN"/>
        </w:rPr>
        <w:t>（ 采购文件中明确的所属行业）</w:t>
      </w:r>
      <w:r>
        <w:rPr>
          <w:rFonts w:hint="eastAsia" w:ascii="宋体" w:hAnsi="宋体" w:eastAsia="宋体" w:cs="宋体"/>
          <w:color w:val="auto"/>
          <w:spacing w:val="0"/>
          <w:w w:val="100"/>
          <w:position w:val="0"/>
          <w:sz w:val="24"/>
          <w:szCs w:val="24"/>
          <w:highlight w:val="none"/>
          <w:lang w:eastAsia="zh-CN"/>
        </w:rPr>
        <w:t>行业；制造商为</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（企业名称）</w:t>
      </w:r>
      <w:r>
        <w:rPr>
          <w:rFonts w:hint="eastAsia" w:ascii="宋体" w:hAnsi="宋体" w:eastAsia="宋体" w:cs="宋体"/>
          <w:color w:val="auto"/>
          <w:spacing w:val="0"/>
          <w:w w:val="100"/>
          <w:position w:val="0"/>
          <w:sz w:val="24"/>
          <w:szCs w:val="24"/>
          <w:highlight w:val="none"/>
          <w:lang w:eastAsia="zh-CN"/>
        </w:rPr>
        <w:t>，从业人员</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人，营业收入为</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万元，资产总额为</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 xml:space="preserve"> 万元，属于</w:t>
      </w:r>
      <w:r>
        <w:rPr>
          <w:rFonts w:hint="eastAsia" w:ascii="宋体" w:hAnsi="宋体" w:eastAsia="宋体" w:cs="宋体"/>
          <w:color w:val="auto"/>
          <w:spacing w:val="0"/>
          <w:w w:val="100"/>
          <w:position w:val="0"/>
          <w:sz w:val="24"/>
          <w:szCs w:val="24"/>
          <w:highlight w:val="none"/>
          <w:u w:val="single"/>
          <w:lang w:eastAsia="zh-CN"/>
        </w:rPr>
        <w:t>（中型企业、小型企业、微型企业）</w:t>
      </w:r>
      <w:r>
        <w:rPr>
          <w:rFonts w:hint="eastAsia" w:ascii="宋体" w:hAnsi="宋体" w:eastAsia="宋体" w:cs="宋体"/>
          <w:color w:val="auto"/>
          <w:spacing w:val="0"/>
          <w:w w:val="100"/>
          <w:position w:val="0"/>
          <w:sz w:val="24"/>
          <w:szCs w:val="24"/>
          <w:highlight w:val="none"/>
          <w:lang w:eastAsia="zh-CN"/>
        </w:rPr>
        <w:t>；</w:t>
      </w:r>
    </w:p>
    <w:p w14:paraId="10D54F1A">
      <w:pPr>
        <w:keepNext w:val="0"/>
        <w:keepLines w:val="0"/>
        <w:pageBreakBefore w:val="0"/>
        <w:widowControl w:val="0"/>
        <w:kinsoku w:val="0"/>
        <w:wordWrap/>
        <w:overflowPunct/>
        <w:topLinePunct w:val="0"/>
        <w:autoSpaceDE w:val="0"/>
        <w:autoSpaceDN w:val="0"/>
        <w:bidi w:val="0"/>
        <w:adjustRightInd w:val="0"/>
        <w:snapToGrid w:val="0"/>
        <w:spacing w:before="183" w:line="360" w:lineRule="auto"/>
        <w:ind w:left="912"/>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w:t>
      </w:r>
    </w:p>
    <w:p w14:paraId="7C711431">
      <w:pPr>
        <w:keepNext w:val="0"/>
        <w:keepLines w:val="0"/>
        <w:pageBreakBefore w:val="0"/>
        <w:widowControl w:val="0"/>
        <w:kinsoku w:val="0"/>
        <w:wordWrap/>
        <w:overflowPunct/>
        <w:topLinePunct w:val="0"/>
        <w:autoSpaceDE w:val="0"/>
        <w:autoSpaceDN w:val="0"/>
        <w:bidi w:val="0"/>
        <w:adjustRightInd w:val="0"/>
        <w:snapToGrid w:val="0"/>
        <w:spacing w:before="210" w:line="360" w:lineRule="auto"/>
        <w:ind w:left="54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以上企业，不属于大企业的分支机构，不存在控股股东为大企业的情形，也</w:t>
      </w:r>
    </w:p>
    <w:p w14:paraId="0B728624">
      <w:pPr>
        <w:keepNext w:val="0"/>
        <w:keepLines w:val="0"/>
        <w:pageBreakBefore w:val="0"/>
        <w:widowControl w:val="0"/>
        <w:kinsoku w:val="0"/>
        <w:wordWrap/>
        <w:overflowPunct/>
        <w:topLinePunct w:val="0"/>
        <w:autoSpaceDE w:val="0"/>
        <w:autoSpaceDN w:val="0"/>
        <w:bidi w:val="0"/>
        <w:adjustRightInd w:val="0"/>
        <w:snapToGrid w:val="0"/>
        <w:spacing w:before="1" w:line="360" w:lineRule="auto"/>
        <w:ind w:left="4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不存在与大企业的负责人为同一人的情形。</w:t>
      </w:r>
    </w:p>
    <w:p w14:paraId="5B7FBF89">
      <w:pPr>
        <w:keepNext w:val="0"/>
        <w:keepLines w:val="0"/>
        <w:pageBreakBefore w:val="0"/>
        <w:widowControl w:val="0"/>
        <w:kinsoku w:val="0"/>
        <w:wordWrap/>
        <w:overflowPunct/>
        <w:topLinePunct w:val="0"/>
        <w:autoSpaceDE w:val="0"/>
        <w:autoSpaceDN w:val="0"/>
        <w:bidi w:val="0"/>
        <w:adjustRightInd w:val="0"/>
        <w:snapToGrid w:val="0"/>
        <w:spacing w:before="302" w:line="360" w:lineRule="auto"/>
        <w:ind w:left="518"/>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本企业对上述声明内容的真实性负责。如有虚假，将依法承担相应责任。</w:t>
      </w:r>
    </w:p>
    <w:p w14:paraId="4E13D6FF">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highlight w:val="none"/>
          <w:lang w:eastAsia="zh-CN"/>
        </w:rPr>
      </w:pPr>
    </w:p>
    <w:p w14:paraId="381E2A6D">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highlight w:val="none"/>
          <w:lang w:eastAsia="zh-CN"/>
        </w:rPr>
      </w:pPr>
    </w:p>
    <w:p w14:paraId="5235246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highlight w:val="none"/>
          <w:lang w:eastAsia="zh-CN"/>
        </w:rPr>
      </w:pPr>
    </w:p>
    <w:p w14:paraId="4F7CC3C3">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highlight w:val="none"/>
          <w:lang w:eastAsia="zh-CN"/>
        </w:rPr>
      </w:pPr>
    </w:p>
    <w:p w14:paraId="4431A78D">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left="4601"/>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企业名称（盖章）：</w:t>
      </w:r>
    </w:p>
    <w:p w14:paraId="7301DE91">
      <w:pPr>
        <w:keepNext w:val="0"/>
        <w:keepLines w:val="0"/>
        <w:pageBreakBefore w:val="0"/>
        <w:widowControl w:val="0"/>
        <w:kinsoku w:val="0"/>
        <w:wordWrap/>
        <w:overflowPunct/>
        <w:topLinePunct w:val="0"/>
        <w:autoSpaceDE w:val="0"/>
        <w:autoSpaceDN w:val="0"/>
        <w:bidi w:val="0"/>
        <w:adjustRightInd w:val="0"/>
        <w:snapToGrid w:val="0"/>
        <w:spacing w:line="360" w:lineRule="auto"/>
        <w:ind w:left="4617"/>
        <w:jc w:val="both"/>
        <w:textAlignment w:val="baseline"/>
        <w:rPr>
          <w:rFonts w:hint="eastAsia" w:ascii="宋体" w:hAnsi="宋体" w:eastAsia="宋体" w:cs="宋体"/>
          <w:i w:val="0"/>
          <w:iCs w:val="0"/>
          <w:color w:val="auto"/>
          <w:spacing w:val="0"/>
          <w:w w:val="100"/>
          <w:position w:val="0"/>
          <w:sz w:val="24"/>
          <w:szCs w:val="24"/>
          <w:highlight w:val="none"/>
          <w:u w:val="none"/>
          <w:lang w:val="en-US" w:eastAsia="zh-CN"/>
        </w:rPr>
      </w:pPr>
      <w:r>
        <w:rPr>
          <w:rFonts w:hint="eastAsia" w:ascii="宋体" w:hAnsi="宋体" w:eastAsia="宋体" w:cs="宋体"/>
          <w:color w:val="auto"/>
          <w:spacing w:val="0"/>
          <w:w w:val="100"/>
          <w:position w:val="0"/>
          <w:sz w:val="24"/>
          <w:szCs w:val="24"/>
          <w:highlight w:val="none"/>
          <w:lang w:eastAsia="zh-CN"/>
        </w:rPr>
        <w:t>日期：</w:t>
      </w:r>
      <w:r>
        <w:rPr>
          <w:rFonts w:hint="eastAsia" w:ascii="宋体" w:hAnsi="宋体" w:eastAsia="宋体" w:cs="宋体"/>
          <w:color w:val="auto"/>
          <w:spacing w:val="0"/>
          <w:w w:val="100"/>
          <w:position w:val="0"/>
          <w:sz w:val="24"/>
          <w:szCs w:val="24"/>
          <w:highlight w:val="none"/>
          <w:lang w:val="en-US" w:eastAsia="zh-CN"/>
        </w:rPr>
        <w:t xml:space="preserve">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年</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i w:val="0"/>
          <w:iCs w:val="0"/>
          <w:color w:val="auto"/>
          <w:spacing w:val="0"/>
          <w:w w:val="100"/>
          <w:position w:val="0"/>
          <w:sz w:val="24"/>
          <w:szCs w:val="24"/>
          <w:highlight w:val="none"/>
          <w:u w:val="none"/>
          <w:lang w:val="en-US" w:eastAsia="zh-CN"/>
        </w:rPr>
        <w:t>月</w:t>
      </w:r>
      <w:r>
        <w:rPr>
          <w:rFonts w:hint="eastAsia" w:ascii="宋体" w:hAnsi="宋体" w:eastAsia="宋体" w:cs="宋体"/>
          <w:i w:val="0"/>
          <w:iCs w:val="0"/>
          <w:color w:val="auto"/>
          <w:spacing w:val="0"/>
          <w:w w:val="100"/>
          <w:position w:val="0"/>
          <w:sz w:val="24"/>
          <w:szCs w:val="24"/>
          <w:highlight w:val="none"/>
          <w:u w:val="single"/>
          <w:lang w:val="en-US" w:eastAsia="zh-CN"/>
        </w:rPr>
        <w:t xml:space="preserve">     </w:t>
      </w:r>
      <w:r>
        <w:rPr>
          <w:rFonts w:hint="eastAsia" w:ascii="宋体" w:hAnsi="宋体" w:eastAsia="宋体" w:cs="宋体"/>
          <w:i w:val="0"/>
          <w:iCs w:val="0"/>
          <w:color w:val="auto"/>
          <w:spacing w:val="0"/>
          <w:w w:val="100"/>
          <w:position w:val="0"/>
          <w:sz w:val="24"/>
          <w:szCs w:val="24"/>
          <w:highlight w:val="none"/>
          <w:u w:val="none"/>
          <w:lang w:val="en-US" w:eastAsia="zh-CN"/>
        </w:rPr>
        <w:t>日</w:t>
      </w:r>
    </w:p>
    <w:p w14:paraId="19308840">
      <w:pPr>
        <w:keepNext w:val="0"/>
        <w:keepLines w:val="0"/>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highlight w:val="none"/>
          <w:lang w:eastAsia="zh-CN"/>
        </w:rPr>
      </w:pPr>
    </w:p>
    <w:p w14:paraId="69EA3BDC">
      <w:pPr>
        <w:keepNext w:val="0"/>
        <w:keepLines w:val="0"/>
        <w:pageBreakBefore w:val="0"/>
        <w:widowControl w:val="0"/>
        <w:kinsoku w:val="0"/>
        <w:wordWrap/>
        <w:overflowPunct/>
        <w:topLinePunct w:val="0"/>
        <w:autoSpaceDE w:val="0"/>
        <w:autoSpaceDN w:val="0"/>
        <w:bidi w:val="0"/>
        <w:adjustRightInd w:val="0"/>
        <w:snapToGrid w:val="0"/>
        <w:spacing w:before="79" w:line="360" w:lineRule="auto"/>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注：1、从业人员、营业收入、资产总额填报上一年度数据，无上一年度数据的新成</w:t>
      </w:r>
      <w:r>
        <w:rPr>
          <w:rFonts w:hint="eastAsia" w:ascii="宋体" w:hAnsi="宋体" w:eastAsia="宋体" w:cs="宋体"/>
          <w:color w:val="auto"/>
          <w:spacing w:val="0"/>
          <w:w w:val="100"/>
          <w:position w:val="0"/>
          <w:sz w:val="24"/>
          <w:szCs w:val="24"/>
          <w:highlight w:val="none"/>
          <w:lang w:val="en-US" w:eastAsia="zh-CN"/>
        </w:rPr>
        <w:t>立企业可不填报。</w:t>
      </w:r>
    </w:p>
    <w:p w14:paraId="1B48983A">
      <w:pPr>
        <w:rPr>
          <w:rFonts w:hint="eastAsia" w:ascii="宋体" w:hAnsi="宋体" w:eastAsia="宋体" w:cs="宋体"/>
          <w:b/>
          <w:bCs/>
          <w:color w:val="auto"/>
          <w:spacing w:val="0"/>
          <w:w w:val="100"/>
          <w:kern w:val="0"/>
          <w:position w:val="0"/>
          <w:sz w:val="28"/>
          <w:szCs w:val="28"/>
          <w:highlight w:val="none"/>
        </w:rPr>
      </w:pPr>
      <w:r>
        <w:rPr>
          <w:rFonts w:hint="eastAsia" w:ascii="宋体" w:hAnsi="宋体" w:eastAsia="宋体" w:cs="宋体"/>
          <w:b/>
          <w:bCs/>
          <w:color w:val="auto"/>
          <w:spacing w:val="0"/>
          <w:w w:val="100"/>
          <w:kern w:val="0"/>
          <w:position w:val="0"/>
          <w:sz w:val="28"/>
          <w:szCs w:val="28"/>
          <w:highlight w:val="none"/>
        </w:rPr>
        <w:br w:type="page"/>
      </w:r>
    </w:p>
    <w:p w14:paraId="671A45D2">
      <w:pPr>
        <w:keepNext w:val="0"/>
        <w:keepLines w:val="0"/>
        <w:pageBreakBefore w:val="0"/>
        <w:widowControl/>
        <w:kinsoku w:val="0"/>
        <w:wordWrap/>
        <w:overflowPunct/>
        <w:topLinePunct w:val="0"/>
        <w:autoSpaceDE w:val="0"/>
        <w:autoSpaceDN w:val="0"/>
        <w:bidi w:val="0"/>
        <w:adjustRightInd w:val="0"/>
        <w:snapToGrid w:val="0"/>
        <w:spacing w:after="0" w:afterLines="100"/>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《中小企业声明函》填写指引及风险提示：</w:t>
      </w:r>
    </w:p>
    <w:p w14:paraId="6E21B7D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（一）填写指引：</w:t>
      </w:r>
    </w:p>
    <w:p w14:paraId="2DB9B85E">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1、投标人在填写时请依照招标文件提供的格式和内容填写，</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不得随意变更格式</w:t>
      </w:r>
      <w:r>
        <w:rPr>
          <w:rFonts w:hint="eastAsia" w:ascii="宋体" w:hAnsi="宋体" w:eastAsia="宋体" w:cs="宋体"/>
          <w:b w:val="0"/>
          <w:bCs w:val="0"/>
          <w:color w:val="auto"/>
          <w:spacing w:val="0"/>
          <w:w w:val="100"/>
          <w:kern w:val="0"/>
          <w:position w:val="0"/>
          <w:sz w:val="24"/>
          <w:szCs w:val="24"/>
          <w:highlight w:val="none"/>
          <w:lang w:val="en-US" w:eastAsia="zh-CN"/>
        </w:rPr>
        <w:t>。</w:t>
      </w:r>
    </w:p>
    <w:p w14:paraId="66D9C64C">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2、《中小企业声明函》由投标人根据所提供货物的制造商实际情况填写，不符合要求的投标人可以不填写或直接删除本格式。</w:t>
      </w:r>
    </w:p>
    <w:p w14:paraId="1ACE6654">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3、填写需参考的相关文件：（1）《政府采购促进中小企业发展管理办法》（财库【2020】46号）、《关于中小企业划型标准规定的通知》（工信部联企业【2011】300号文，详见下述附表）</w:t>
      </w:r>
    </w:p>
    <w:p w14:paraId="32A03BDD">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4、具体要求：</w:t>
      </w:r>
    </w:p>
    <w:p w14:paraId="781557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（1）第一处，在“单位名称”“项目名称”下划线处填写本采购项目的采购人名称和项目名称。</w:t>
      </w:r>
    </w:p>
    <w:p w14:paraId="11B7342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第二处，在“标的名称”下划线处填写本项目采购具体品目的名称，如是单品目，直接填写项目名称或品目名称。在“采购文件中明确的所属行业”中填写本招标文件第二章“投标人须知前附件表”中列明的行业，一定要按照招标文件明确的内容进行填写。</w:t>
      </w:r>
    </w:p>
    <w:p w14:paraId="086507A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第三处，在“企业名称”下划线处如实填写制造商名称，在“从业人员”“营业收入”“资产总额”下划线处如实填写制造商的相关信息，数据务必向制造商进行核实；如是多品目，须填写每一品目的制造商信息。</w:t>
      </w:r>
    </w:p>
    <w:p w14:paraId="598A20C8">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（4）第四处在“中型企业、小型企业、微型企业”下划线处如实依照300号文确定企业类型并填写制造商所属的类型。</w:t>
      </w:r>
    </w:p>
    <w:p w14:paraId="7C7CA99F">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（5）填写内容应一一对应，不能漏填或误填。</w:t>
      </w:r>
    </w:p>
    <w:p w14:paraId="273696D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5、允许联合体参加或合同分包的项目，《中小企业声明函》中需填写联合体协议或签订分包意向协议中的中小企业（或小微企业）相关信息，并在 “项目名称”部分标明联合体中中小企业（或小微企业）承担的具体内容或者中小企业的具体合同分包内容。</w:t>
      </w:r>
    </w:p>
    <w:p w14:paraId="5C3E9143">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lang w:val="en-US" w:eastAsia="zh-CN"/>
        </w:rPr>
      </w:pPr>
      <w:r>
        <w:rPr>
          <w:rFonts w:hint="eastAsia" w:ascii="宋体" w:hAnsi="宋体" w:eastAsia="宋体" w:cs="宋体"/>
          <w:b/>
          <w:bCs/>
          <w:color w:val="auto"/>
          <w:spacing w:val="0"/>
          <w:w w:val="100"/>
          <w:kern w:val="0"/>
          <w:position w:val="0"/>
          <w:sz w:val="24"/>
          <w:szCs w:val="24"/>
          <w:highlight w:val="none"/>
          <w:lang w:val="en-US" w:eastAsia="zh-CN"/>
        </w:rPr>
        <w:t>（二）风险提示</w:t>
      </w:r>
    </w:p>
    <w:p w14:paraId="2E11FBB7">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1、投标人填写《中小企业声明函》的，必须如实填报，中标人享受了招标文件规定的中小企业扶持政策的，《中小企业声明函》随中标结果公开，接受社会监督。</w:t>
      </w:r>
    </w:p>
    <w:p w14:paraId="06A87E58">
      <w:pPr>
        <w:keepNext w:val="0"/>
        <w:keepLines w:val="0"/>
        <w:pageBreakBefore w:val="0"/>
        <w:widowControl w:val="0"/>
        <w:kinsoku/>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2、投标人提供的货物制造商本身为中小企业，但存在属于大企业的分支机构或控股股东为大企业或与大企业的负责人为同一人的情形，也不享受招标文件规定的中小企业扶持政策。</w:t>
      </w:r>
    </w:p>
    <w:p w14:paraId="4BA81C3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val="0"/>
          <w:bCs w:val="0"/>
          <w:color w:val="auto"/>
          <w:spacing w:val="0"/>
          <w:w w:val="100"/>
          <w:kern w:val="0"/>
          <w:position w:val="0"/>
          <w:sz w:val="24"/>
          <w:szCs w:val="24"/>
          <w:highlight w:val="none"/>
          <w:lang w:val="en-US" w:eastAsia="zh-CN"/>
        </w:rPr>
      </w:pPr>
      <w:r>
        <w:rPr>
          <w:rFonts w:hint="eastAsia" w:ascii="宋体" w:hAnsi="宋体" w:eastAsia="宋体" w:cs="宋体"/>
          <w:b w:val="0"/>
          <w:bCs w:val="0"/>
          <w:color w:val="auto"/>
          <w:spacing w:val="0"/>
          <w:w w:val="100"/>
          <w:kern w:val="0"/>
          <w:position w:val="0"/>
          <w:sz w:val="24"/>
          <w:szCs w:val="24"/>
          <w:highlight w:val="none"/>
          <w:lang w:val="en-US" w:eastAsia="zh-CN"/>
        </w:rPr>
        <w:t>3、投标人提供的货物既有中小企业制造货物，也有大型企业制造货物的，不享受招标文件规定的中小企业扶持政策。</w:t>
      </w:r>
    </w:p>
    <w:p w14:paraId="1325E39A">
      <w:pPr>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b/>
          <w:bCs/>
          <w:color w:val="auto"/>
          <w:spacing w:val="0"/>
          <w:w w:val="100"/>
          <w:kern w:val="0"/>
          <w:position w:val="0"/>
          <w:sz w:val="24"/>
          <w:szCs w:val="24"/>
          <w:highlight w:val="none"/>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4、投标人提供声明函内容不实的，属于提供虚假材料谋取中标，依照《中华人民共和国政府采购法》等国家有关规定追究相应责任。</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br w:type="page"/>
      </w:r>
      <w:r>
        <w:rPr>
          <w:rFonts w:hint="eastAsia" w:ascii="宋体" w:hAnsi="宋体" w:eastAsia="宋体" w:cs="宋体"/>
          <w:b/>
          <w:bCs/>
          <w:color w:val="auto"/>
          <w:spacing w:val="0"/>
          <w:w w:val="100"/>
          <w:kern w:val="0"/>
          <w:position w:val="0"/>
          <w:sz w:val="24"/>
          <w:szCs w:val="24"/>
          <w:highlight w:val="none"/>
        </w:rPr>
        <w:t>附表</w:t>
      </w:r>
    </w:p>
    <w:p w14:paraId="29D54D81">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pPr>
      <w:r>
        <w:rPr>
          <w:rFonts w:hint="eastAsia" w:ascii="宋体" w:hAnsi="宋体" w:eastAsia="宋体" w:cs="宋体"/>
          <w:snapToGrid w:val="0"/>
          <w:color w:val="auto"/>
          <w:spacing w:val="0"/>
          <w:w w:val="100"/>
          <w:kern w:val="0"/>
          <w:position w:val="0"/>
          <w:sz w:val="24"/>
          <w:szCs w:val="24"/>
          <w:highlight w:val="none"/>
          <w:lang w:val="en-US" w:eastAsia="zh-CN" w:bidi="ar-SA"/>
          <w14:textOutline w14:w="4356" w14:cap="sq" w14:cmpd="sng" w14:algn="ctr">
            <w14:solidFill>
              <w14:srgbClr w14:val="000000"/>
            </w14:solidFill>
            <w14:prstDash w14:val="solid"/>
            <w14:bevel/>
          </w14:textOutline>
        </w:rPr>
        <w:t>中小企业划型标准规定</w:t>
      </w:r>
    </w:p>
    <w:p w14:paraId="00E016F3">
      <w:pPr>
        <w:pStyle w:val="15"/>
        <w:pageBreakBefore w:val="0"/>
        <w:widowControl w:val="0"/>
        <w:wordWrap/>
        <w:overflowPunct/>
        <w:topLinePunct w:val="0"/>
        <w:bidi w:val="0"/>
        <w:spacing w:before="0" w:beforeAutospacing="0" w:after="0" w:afterAutospacing="0" w:line="350" w:lineRule="exact"/>
        <w:jc w:val="center"/>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w:t>
      </w:r>
      <w:r>
        <w:rPr>
          <w:rFonts w:hint="eastAsia" w:ascii="宋体" w:hAnsi="宋体" w:eastAsia="宋体" w:cs="宋体"/>
          <w:color w:val="auto"/>
          <w:spacing w:val="0"/>
          <w:w w:val="100"/>
          <w:position w:val="0"/>
          <w:sz w:val="24"/>
          <w:szCs w:val="24"/>
          <w:highlight w:val="none"/>
        </w:rPr>
        <w:t>工信部联企业〔2011〕300号</w:t>
      </w:r>
      <w:r>
        <w:rPr>
          <w:rFonts w:hint="eastAsia" w:ascii="宋体" w:hAnsi="宋体" w:eastAsia="宋体" w:cs="宋体"/>
          <w:b/>
          <w:bCs/>
          <w:color w:val="auto"/>
          <w:spacing w:val="0"/>
          <w:w w:val="100"/>
          <w:position w:val="0"/>
          <w:sz w:val="24"/>
          <w:szCs w:val="24"/>
          <w:highlight w:val="none"/>
        </w:rPr>
        <w:t>）</w:t>
      </w:r>
    </w:p>
    <w:p w14:paraId="3682F27C">
      <w:pPr>
        <w:pStyle w:val="15"/>
        <w:pageBreakBefore w:val="0"/>
        <w:widowControl w:val="0"/>
        <w:wordWrap/>
        <w:overflowPunct/>
        <w:topLinePunct w:val="0"/>
        <w:bidi w:val="0"/>
        <w:spacing w:before="0" w:beforeAutospacing="0" w:after="0" w:afterAutospacing="0" w:line="350" w:lineRule="exact"/>
        <w:jc w:val="right"/>
        <w:rPr>
          <w:rFonts w:hint="eastAsia" w:ascii="宋体" w:hAnsi="宋体" w:eastAsia="宋体" w:cs="宋体"/>
          <w:b/>
          <w:bCs/>
          <w:color w:val="auto"/>
          <w:spacing w:val="0"/>
          <w:w w:val="100"/>
          <w:position w:val="0"/>
          <w:sz w:val="24"/>
          <w:szCs w:val="24"/>
          <w:highlight w:val="none"/>
        </w:rPr>
      </w:pPr>
      <w:r>
        <w:rPr>
          <w:rFonts w:hint="eastAsia" w:ascii="宋体" w:hAnsi="宋体" w:eastAsia="宋体" w:cs="宋体"/>
          <w:b/>
          <w:bCs/>
          <w:color w:val="auto"/>
          <w:spacing w:val="0"/>
          <w:w w:val="100"/>
          <w:position w:val="0"/>
          <w:sz w:val="24"/>
          <w:szCs w:val="24"/>
          <w:highlight w:val="none"/>
        </w:rPr>
        <w:t>---（摘要）</w:t>
      </w:r>
    </w:p>
    <w:p w14:paraId="11209292">
      <w:pPr>
        <w:pStyle w:val="15"/>
        <w:pageBreakBefore w:val="0"/>
        <w:widowControl w:val="0"/>
        <w:numPr>
          <w:ilvl w:val="0"/>
          <w:numId w:val="6"/>
        </w:numPr>
        <w:kinsoku w:val="0"/>
        <w:wordWrap/>
        <w:overflowPunct/>
        <w:topLinePunct w:val="0"/>
        <w:autoSpaceDE w:val="0"/>
        <w:autoSpaceDN w:val="0"/>
        <w:bidi w:val="0"/>
        <w:adjustRightInd w:val="0"/>
        <w:snapToGrid w:val="0"/>
        <w:spacing w:before="0" w:beforeAutospacing="0" w:after="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本规定适用的行业包括：</w:t>
      </w:r>
    </w:p>
    <w:p w14:paraId="0874A9DE">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农、林、牧、渔业，工业（包括采矿业，制造业，电力、热力、燃气及水生产和供应业），建筑业，批发业，零售业，交通运输业（不含铁路运输业），仓储业，邮政业，住宿业，餐饮业，信息传输业（包括电信、互联网和相关服务），软件和信息技术服务业，房地产开发经营，物业管理，租赁和商务服务业，其他未列明行业（包括科学研究和技术服务业，水利、环境和公共设施管理业，居民服务、修理和其他服务业，社会工作，文化、体育和娱乐业等）。</w:t>
      </w:r>
    </w:p>
    <w:p w14:paraId="119E3AEF">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二、各行业划型标准为：</w:t>
      </w:r>
    </w:p>
    <w:p w14:paraId="606AF475">
      <w:pPr>
        <w:pageBreakBefore w:val="0"/>
        <w:widowControl w:val="0"/>
        <w:kinsoku w:val="0"/>
        <w:wordWrap/>
        <w:overflowPunct/>
        <w:topLinePunct w:val="0"/>
        <w:autoSpaceDE w:val="0"/>
        <w:autoSpaceDN w:val="0"/>
        <w:bidi w:val="0"/>
        <w:adjustRightInd w:val="0"/>
        <w:snapToGrid w:val="0"/>
        <w:spacing w:before="0" w:beforeLines="25"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（一）农、林、牧、渔业。</w:t>
      </w:r>
      <w:r>
        <w:rPr>
          <w:rFonts w:hint="eastAsia" w:ascii="宋体" w:hAnsi="宋体" w:eastAsia="宋体" w:cs="宋体"/>
          <w:color w:val="auto"/>
          <w:spacing w:val="0"/>
          <w:w w:val="100"/>
          <w:position w:val="0"/>
          <w:sz w:val="24"/>
          <w:szCs w:val="24"/>
          <w:highlight w:val="none"/>
        </w:rPr>
        <w:t>营业收入20000万元以下的为中小微型企业。其中，营业收入500万元及以上的为中型企业，营业收入50万元及以上的为小型企业，营业收入50万元以下的为微型企业。</w:t>
      </w:r>
    </w:p>
    <w:p w14:paraId="1368BA6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（二）工业。</w:t>
      </w:r>
      <w:r>
        <w:rPr>
          <w:rFonts w:hint="eastAsia" w:ascii="宋体" w:hAnsi="宋体" w:eastAsia="宋体" w:cs="宋体"/>
          <w:color w:val="auto"/>
          <w:spacing w:val="0"/>
          <w:w w:val="100"/>
          <w:position w:val="0"/>
          <w:sz w:val="24"/>
          <w:szCs w:val="24"/>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p w14:paraId="7260AE46">
      <w:pPr>
        <w:pageBreakBefore w:val="0"/>
        <w:widowControl w:val="0"/>
        <w:kinsoku w:val="0"/>
        <w:wordWrap/>
        <w:overflowPunct/>
        <w:topLinePunct w:val="0"/>
        <w:autoSpaceDE w:val="0"/>
        <w:autoSpaceDN w:val="0"/>
        <w:bidi w:val="0"/>
        <w:adjustRightInd w:val="0"/>
        <w:snapToGrid w:val="0"/>
        <w:spacing w:before="0" w:beforeLines="33"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（三）建筑业。</w:t>
      </w:r>
      <w:r>
        <w:rPr>
          <w:rFonts w:hint="eastAsia" w:ascii="宋体" w:hAnsi="宋体" w:eastAsia="宋体" w:cs="宋体"/>
          <w:color w:val="auto"/>
          <w:spacing w:val="0"/>
          <w:w w:val="100"/>
          <w:position w:val="0"/>
          <w:sz w:val="24"/>
          <w:szCs w:val="24"/>
          <w:highlight w:val="none"/>
        </w:rPr>
        <w:t>营业收入80000万元以下或资产总额80000万元以下的为中小微型企业。其中，营业收入6000万元及以上，且资产总额5000万元及以上的为中型企业；营业收入300万元及以上，且资产总额300万元及以上的为小型企业；营业收入300万元以下或资产总额300万元以下的为微型企业。</w:t>
      </w:r>
    </w:p>
    <w:p w14:paraId="5938C068">
      <w:pPr>
        <w:pageBreakBefore w:val="0"/>
        <w:widowControl w:val="0"/>
        <w:kinsoku w:val="0"/>
        <w:wordWrap/>
        <w:overflowPunct/>
        <w:topLinePunct w:val="0"/>
        <w:autoSpaceDE w:val="0"/>
        <w:autoSpaceDN w:val="0"/>
        <w:bidi w:val="0"/>
        <w:adjustRightInd w:val="0"/>
        <w:snapToGrid w:val="0"/>
        <w:spacing w:before="0" w:beforeLines="32"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（四）批发业。</w:t>
      </w:r>
      <w:r>
        <w:rPr>
          <w:rFonts w:hint="eastAsia" w:ascii="宋体" w:hAnsi="宋体" w:eastAsia="宋体" w:cs="宋体"/>
          <w:color w:val="auto"/>
          <w:spacing w:val="0"/>
          <w:w w:val="100"/>
          <w:position w:val="0"/>
          <w:sz w:val="24"/>
          <w:szCs w:val="24"/>
          <w:highlight w:val="none"/>
        </w:rPr>
        <w:t>从业人员200人以下或营业收入40000万元以下的为中小微型企业。其中，从业人员20人及以上，且营业收入5000万元及以上的为中型企业；从业人员5人及以上，且营业收入1000万元及以上的为小型企业；从业人员5人以下或营业收入1000万元以下的为微型企业。</w:t>
      </w:r>
    </w:p>
    <w:p w14:paraId="635D7922">
      <w:pPr>
        <w:pageBreakBefore w:val="0"/>
        <w:widowControl w:val="0"/>
        <w:kinsoku w:val="0"/>
        <w:wordWrap/>
        <w:overflowPunct/>
        <w:topLinePunct w:val="0"/>
        <w:autoSpaceDE w:val="0"/>
        <w:autoSpaceDN w:val="0"/>
        <w:bidi w:val="0"/>
        <w:adjustRightInd w:val="0"/>
        <w:snapToGrid w:val="0"/>
        <w:spacing w:before="0" w:beforeLines="50" w:before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（五）零售业。</w:t>
      </w:r>
      <w:r>
        <w:rPr>
          <w:rFonts w:hint="eastAsia" w:ascii="宋体" w:hAnsi="宋体" w:eastAsia="宋体" w:cs="宋体"/>
          <w:color w:val="auto"/>
          <w:spacing w:val="0"/>
          <w:w w:val="100"/>
          <w:position w:val="0"/>
          <w:sz w:val="24"/>
          <w:szCs w:val="24"/>
          <w:highlight w:val="none"/>
        </w:rPr>
        <w:t>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p w14:paraId="47E059A1">
      <w:pPr>
        <w:pageBreakBefore w:val="0"/>
        <w:widowControl w:val="0"/>
        <w:kinsoku w:val="0"/>
        <w:wordWrap/>
        <w:overflowPunct/>
        <w:topLinePunct w:val="0"/>
        <w:autoSpaceDE w:val="0"/>
        <w:autoSpaceDN w:val="0"/>
        <w:bidi w:val="0"/>
        <w:adjustRightInd w:val="0"/>
        <w:snapToGrid w:val="0"/>
        <w:spacing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（六）交通运输业。</w:t>
      </w:r>
      <w:r>
        <w:rPr>
          <w:rFonts w:hint="eastAsia" w:ascii="宋体" w:hAnsi="宋体" w:eastAsia="宋体" w:cs="宋体"/>
          <w:color w:val="auto"/>
          <w:spacing w:val="0"/>
          <w:w w:val="100"/>
          <w:position w:val="0"/>
          <w:sz w:val="24"/>
          <w:szCs w:val="24"/>
          <w:highlight w:val="none"/>
        </w:rPr>
        <w:t>从业人员1000人以下或营业收入30000万元以下的为中小微型企业。其中，从业人员300人及以上，且营业收入3000万元及以上的为中型企业；从业人员20人及以上，且营业收入200万元及以上的为小型企业；从业人员20人以下或营业收入200万元以下的为微型企业。</w:t>
      </w:r>
    </w:p>
    <w:p w14:paraId="32964A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（七）仓储业。</w:t>
      </w:r>
      <w:r>
        <w:rPr>
          <w:rFonts w:hint="eastAsia" w:ascii="宋体" w:hAnsi="宋体" w:eastAsia="宋体" w:cs="宋体"/>
          <w:color w:val="auto"/>
          <w:spacing w:val="0"/>
          <w:w w:val="100"/>
          <w:position w:val="0"/>
          <w:sz w:val="24"/>
          <w:szCs w:val="24"/>
          <w:highlight w:val="none"/>
        </w:rPr>
        <w:t>从业人员200人以下或营业收入30000万元以下的为中小微型企业。其中，从业人员100人及以上，且营业收入1000万元及以上的为中型企业；从业人员20人及以上，且营业收入100万元及以上的为小型企业；从业人员20人以下或营业收入100万元以下的为微型企业。</w:t>
      </w:r>
    </w:p>
    <w:p w14:paraId="3AF4238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（八）邮政业。</w:t>
      </w:r>
      <w:r>
        <w:rPr>
          <w:rFonts w:hint="eastAsia" w:ascii="宋体" w:hAnsi="宋体" w:eastAsia="宋体" w:cs="宋体"/>
          <w:color w:val="auto"/>
          <w:spacing w:val="0"/>
          <w:w w:val="100"/>
          <w:position w:val="0"/>
          <w:sz w:val="24"/>
          <w:szCs w:val="24"/>
          <w:highlight w:val="none"/>
        </w:rPr>
        <w:t>从业人员1000人以下或营业收入30000万元以下的为中小微型企业。其中，从业人员300人及以上，且营业收入2000万元及以上的为中型企业；从业人员20人及以上，且营业收入100万元及以上的为小型企业；从业人员20人以下或营业收入100万元以下的为微型企业。</w:t>
      </w:r>
    </w:p>
    <w:p w14:paraId="782BFBCF">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（九）住宿业。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1FEB38AB">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（十）餐饮业。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2000万元及以上的为中型企业；从业人员10人及以上，且营业收入100万元及以上的为小型企业；从业人员10人以下或营业收入100万元以下的为微型企业。</w:t>
      </w:r>
    </w:p>
    <w:p w14:paraId="7B98ED1B">
      <w:pPr>
        <w:pageBreakBefore w:val="0"/>
        <w:widowControl w:val="0"/>
        <w:kinsoku w:val="0"/>
        <w:wordWrap/>
        <w:overflowPunct/>
        <w:topLinePunct w:val="0"/>
        <w:autoSpaceDE w:val="0"/>
        <w:autoSpaceDN w:val="0"/>
        <w:bidi w:val="0"/>
        <w:adjustRightInd w:val="0"/>
        <w:snapToGrid w:val="0"/>
        <w:spacing w:before="0" w:beforeLines="19"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（十一）信息传输业。</w:t>
      </w:r>
      <w:r>
        <w:rPr>
          <w:rFonts w:hint="eastAsia" w:ascii="宋体" w:hAnsi="宋体" w:eastAsia="宋体" w:cs="宋体"/>
          <w:color w:val="auto"/>
          <w:spacing w:val="0"/>
          <w:w w:val="100"/>
          <w:position w:val="0"/>
          <w:sz w:val="24"/>
          <w:szCs w:val="24"/>
          <w:highlight w:val="none"/>
        </w:rPr>
        <w:t>从业人员2000人以下或营业收入100000万元以下的为中小微型企业。其中，从业人员100人及以上，且营业收入1000万元及以上的为中型企业；从业人员10人及以上，且营业收入100万元及以上的为小型企业；从业人员10人以下或营业收入100万元以下的为微型企业。</w:t>
      </w:r>
    </w:p>
    <w:p w14:paraId="24E34EA3">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（十二）软件和信息技术服务业。</w:t>
      </w:r>
      <w:r>
        <w:rPr>
          <w:rFonts w:hint="eastAsia" w:ascii="宋体" w:hAnsi="宋体" w:eastAsia="宋体" w:cs="宋体"/>
          <w:color w:val="auto"/>
          <w:spacing w:val="0"/>
          <w:w w:val="100"/>
          <w:position w:val="0"/>
          <w:sz w:val="24"/>
          <w:szCs w:val="24"/>
          <w:highlight w:val="none"/>
        </w:rPr>
        <w:t>从业人员300人以下或营业收入10000万元以下的为中小微型企业。其中，从业人员100人及以上，且营业收入1000万元及以上的为中型企业；从业人员10人及以上，且营业收入50万元及以上的为小型企业；从业人员10人以下或营业收入50万元以下的为微型企业。</w:t>
      </w:r>
    </w:p>
    <w:p w14:paraId="7EC8AA7A">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（十三）房地产开发经营。</w:t>
      </w:r>
      <w:r>
        <w:rPr>
          <w:rFonts w:hint="eastAsia" w:ascii="宋体" w:hAnsi="宋体" w:eastAsia="宋体" w:cs="宋体"/>
          <w:color w:val="auto"/>
          <w:spacing w:val="0"/>
          <w:w w:val="100"/>
          <w:position w:val="0"/>
          <w:sz w:val="24"/>
          <w:szCs w:val="24"/>
          <w:highlight w:val="none"/>
        </w:rPr>
        <w:t>营业收入200000万元以下或资产总额10000万元以下的为中小微型企业。其中，营业收入1000万元及以上，且资产总额5000万元及以上的为中型企业；营业收入100万元及以上，且资产总额2000万元及以上的为小型企业；营业收入100万元以下或资产总额2000万元以下的为微型企业。</w:t>
      </w:r>
    </w:p>
    <w:p w14:paraId="17339D6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（十四）物业管理。</w:t>
      </w:r>
      <w:r>
        <w:rPr>
          <w:rFonts w:hint="eastAsia" w:ascii="宋体" w:hAnsi="宋体" w:eastAsia="宋体" w:cs="宋体"/>
          <w:color w:val="auto"/>
          <w:spacing w:val="0"/>
          <w:w w:val="100"/>
          <w:position w:val="0"/>
          <w:sz w:val="24"/>
          <w:szCs w:val="24"/>
          <w:highlight w:val="none"/>
        </w:rPr>
        <w:t>从业人员1000人以下或营业收入5000万元以下的为中小微型企业。其中，从业人员300人及以上，且营业收入1000万元及以上的为中型企业；从业人员100人及以上，且营业收入500万元及以上的为小型企业；从业人员100人以下或营业收入500万元以下的为微型企业。</w:t>
      </w:r>
    </w:p>
    <w:p w14:paraId="6EF4612D">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（十五）租赁和商务服务业。</w:t>
      </w:r>
      <w:r>
        <w:rPr>
          <w:rFonts w:hint="eastAsia" w:ascii="宋体" w:hAnsi="宋体" w:eastAsia="宋体" w:cs="宋体"/>
          <w:color w:val="auto"/>
          <w:spacing w:val="0"/>
          <w:w w:val="100"/>
          <w:position w:val="0"/>
          <w:sz w:val="24"/>
          <w:szCs w:val="24"/>
          <w:highlight w:val="none"/>
        </w:rPr>
        <w:t>从业人员300人以下或资产总额120000万元以下的为中小微型企业。其中，从业人员100人及以上，且资产总额8000万元及以上的为中型企业；从业人员10人及以上，且资产总额100万元及以上的为小型企业；从业人员10人以下或资产总额100万元以下的为微型企业。</w:t>
      </w:r>
    </w:p>
    <w:p w14:paraId="676FE005">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　</w:t>
      </w:r>
      <w:r>
        <w:rPr>
          <w:rFonts w:hint="eastAsia" w:ascii="宋体" w:hAnsi="宋体" w:eastAsia="宋体" w:cs="宋体"/>
          <w:b/>
          <w:bCs/>
          <w:color w:val="auto"/>
          <w:spacing w:val="0"/>
          <w:w w:val="100"/>
          <w:position w:val="0"/>
          <w:sz w:val="24"/>
          <w:szCs w:val="24"/>
          <w:highlight w:val="none"/>
        </w:rPr>
        <w:t>　（十六）其他未列明行业。</w:t>
      </w:r>
      <w:r>
        <w:rPr>
          <w:rFonts w:hint="eastAsia" w:ascii="宋体" w:hAnsi="宋体" w:eastAsia="宋体" w:cs="宋体"/>
          <w:color w:val="auto"/>
          <w:spacing w:val="0"/>
          <w:w w:val="100"/>
          <w:position w:val="0"/>
          <w:sz w:val="24"/>
          <w:szCs w:val="24"/>
          <w:highlight w:val="none"/>
        </w:rPr>
        <w:t>从业人员300人以下的为中小微型企业。其中，从业人员100人及以上的为中型企业；从业人员10人及以上的为小型企业；从业人员10人以下的为微型企业。</w:t>
      </w:r>
    </w:p>
    <w:p w14:paraId="1F1FEAF4">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三、本规定适用于在中华人民共和国境内依法设立的各类所有制和各种组织形式的企业。个体工商户和本规定以外的行业，参照本规定进行划型。</w:t>
      </w:r>
    </w:p>
    <w:p w14:paraId="5AD3B898">
      <w:pPr>
        <w:pageBreakBefore w:val="0"/>
        <w:widowControl w:val="0"/>
        <w:kinsoku w:val="0"/>
        <w:wordWrap/>
        <w:overflowPunct/>
        <w:topLinePunct w:val="0"/>
        <w:autoSpaceDE w:val="0"/>
        <w:autoSpaceDN w:val="0"/>
        <w:bidi w:val="0"/>
        <w:adjustRightInd w:val="0"/>
        <w:snapToGrid w:val="0"/>
        <w:spacing w:before="0" w:beforeLines="50" w:beforeAutospacing="0" w:afterAutospacing="0" w:line="360" w:lineRule="auto"/>
        <w:jc w:val="both"/>
        <w:textAlignment w:val="baseline"/>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四、本规定的中型企业标准上限即为大型企业标准的下限，国家统计部门据此制定大中小微型企业的统计分类。国务院有关部门据此进行相关数据分析，不得制定与本规定不一致的企业划型标准。</w:t>
      </w:r>
    </w:p>
    <w:p w14:paraId="31DC8DF0">
      <w:pPr>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rPr>
      </w:pPr>
    </w:p>
    <w:p w14:paraId="736A87B3">
      <w:pPr>
        <w:pageBreakBefore w:val="0"/>
        <w:widowControl w:val="0"/>
        <w:kinsoku w:val="0"/>
        <w:wordWrap/>
        <w:overflowPunct/>
        <w:topLinePunct w:val="0"/>
        <w:autoSpaceDE w:val="0"/>
        <w:autoSpaceDN w:val="0"/>
        <w:bidi w:val="0"/>
        <w:adjustRightInd w:val="0"/>
        <w:snapToGrid w:val="0"/>
        <w:spacing w:line="360" w:lineRule="auto"/>
        <w:jc w:val="both"/>
        <w:textAlignment w:val="baseline"/>
        <w:rPr>
          <w:rFonts w:hint="eastAsia" w:ascii="宋体" w:hAnsi="宋体" w:eastAsia="宋体" w:cs="宋体"/>
          <w:color w:val="auto"/>
          <w:spacing w:val="0"/>
          <w:w w:val="100"/>
          <w:position w:val="0"/>
          <w:sz w:val="24"/>
          <w:szCs w:val="24"/>
          <w:highlight w:val="none"/>
          <w:lang w:eastAsia="zh-CN"/>
        </w:rPr>
        <w:sectPr>
          <w:footerReference r:id="rId17" w:type="default"/>
          <w:pgSz w:w="11906" w:h="16839"/>
          <w:pgMar w:top="1431" w:right="1786" w:bottom="1429" w:left="1786" w:header="0" w:footer="994" w:gutter="0"/>
          <w:cols w:space="720" w:num="1"/>
        </w:sectPr>
      </w:pPr>
    </w:p>
    <w:p w14:paraId="264BEE5C">
      <w:pPr>
        <w:pageBreakBefore w:val="0"/>
        <w:widowControl w:val="0"/>
        <w:wordWrap/>
        <w:overflowPunct/>
        <w:topLinePunct w:val="0"/>
        <w:bidi w:val="0"/>
        <w:spacing w:before="101" w:afterAutospacing="0" w:line="219" w:lineRule="auto"/>
        <w:jc w:val="center"/>
        <w:outlineLvl w:val="1"/>
        <w:rPr>
          <w:rFonts w:hint="eastAsia" w:ascii="宋体" w:hAnsi="宋体" w:eastAsia="宋体" w:cs="宋体"/>
          <w:color w:val="auto"/>
          <w:spacing w:val="0"/>
          <w:w w:val="100"/>
          <w:position w:val="0"/>
          <w:sz w:val="24"/>
          <w:szCs w:val="24"/>
          <w:highlight w:val="none"/>
          <w:lang w:eastAsia="zh-CN"/>
        </w:rPr>
      </w:pPr>
      <w:bookmarkStart w:id="155" w:name="_Toc447"/>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8-2</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省级以上监狱管理局、戒毒管理局（含新疆生产建设兵团）出具的属</w:t>
      </w:r>
      <w:bookmarkEnd w:id="155"/>
    </w:p>
    <w:p w14:paraId="2DC249FD">
      <w:pPr>
        <w:pageBreakBefore w:val="0"/>
        <w:widowControl w:val="0"/>
        <w:wordWrap/>
        <w:overflowPunct/>
        <w:topLinePunct w:val="0"/>
        <w:bidi w:val="0"/>
        <w:spacing w:before="0" w:beforeLines="70" w:beforeAutospacing="0" w:afterAutospacing="0" w:line="219" w:lineRule="auto"/>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于监狱</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企业证明文件</w:t>
      </w:r>
    </w:p>
    <w:p w14:paraId="395EC445">
      <w:pPr>
        <w:pageBreakBefore w:val="0"/>
        <w:widowControl w:val="0"/>
        <w:wordWrap/>
        <w:overflowPunct/>
        <w:topLinePunct w:val="0"/>
        <w:bidi w:val="0"/>
        <w:spacing w:beforeAutospacing="0" w:line="275" w:lineRule="auto"/>
        <w:jc w:val="center"/>
        <w:rPr>
          <w:rFonts w:hint="eastAsia" w:ascii="宋体" w:hAnsi="宋体" w:eastAsia="宋体" w:cs="宋体"/>
          <w:color w:val="auto"/>
          <w:spacing w:val="0"/>
          <w:w w:val="100"/>
          <w:position w:val="0"/>
          <w:highlight w:val="none"/>
          <w:lang w:eastAsia="zh-CN"/>
        </w:rPr>
      </w:pPr>
    </w:p>
    <w:p w14:paraId="6C3A5D9F">
      <w:pPr>
        <w:pageBreakBefore w:val="0"/>
        <w:widowControl w:val="0"/>
        <w:wordWrap/>
        <w:overflowPunct/>
        <w:topLinePunct w:val="0"/>
        <w:bidi w:val="0"/>
        <w:spacing w:line="276" w:lineRule="auto"/>
        <w:rPr>
          <w:rFonts w:hint="eastAsia" w:ascii="宋体" w:hAnsi="宋体" w:eastAsia="宋体" w:cs="宋体"/>
          <w:color w:val="auto"/>
          <w:spacing w:val="0"/>
          <w:w w:val="100"/>
          <w:position w:val="0"/>
          <w:highlight w:val="none"/>
          <w:lang w:eastAsia="zh-CN"/>
        </w:rPr>
      </w:pPr>
    </w:p>
    <w:p w14:paraId="5A63843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EC9FC5E">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1084F22">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52CCDA8">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9AC333C">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B4102C1">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A1F707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952A274">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C401520">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2057247">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9E40080">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3019CB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0D9A5A2">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A5866DE">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D10364A">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C407B6D">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21442D9">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A9F2F1D">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7690B68">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F1E3C73">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B9B0D23">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7A8E07C">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F62E15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384C09A">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CD39EEE">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BFDA129">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19B696CE">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B62D161">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F884F04">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3AB29C5">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AD5794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056AA5DE">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3BBBC813">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3DCB6CF">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EA0DC53">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539C4DD2">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419E37C4">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29B73F77">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64057EE9">
      <w:pPr>
        <w:pStyle w:val="25"/>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highlight w:val="none"/>
          <w:lang w:eastAsia="zh-CN"/>
        </w:rPr>
      </w:pPr>
    </w:p>
    <w:p w14:paraId="43A0DA37">
      <w:pPr>
        <w:pStyle w:val="25"/>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p w14:paraId="7CB81E07">
      <w:pPr>
        <w:pStyle w:val="25"/>
        <w:pageBreakBefore w:val="0"/>
        <w:widowControl w:val="0"/>
        <w:wordWrap/>
        <w:overflowPunct/>
        <w:topLinePunct w:val="0"/>
        <w:bidi w:val="0"/>
        <w:ind w:left="0" w:leftChars="0" w:firstLine="0" w:firstLineChars="0"/>
        <w:rPr>
          <w:rFonts w:hint="eastAsia" w:ascii="宋体" w:hAnsi="宋体" w:eastAsia="宋体" w:cs="宋体"/>
          <w:color w:val="auto"/>
          <w:spacing w:val="0"/>
          <w:w w:val="100"/>
          <w:position w:val="0"/>
          <w:highlight w:val="none"/>
          <w:lang w:eastAsia="zh-CN"/>
        </w:rPr>
      </w:pPr>
    </w:p>
    <w:p w14:paraId="6D180A22">
      <w:pPr>
        <w:pageBreakBefore w:val="0"/>
        <w:widowControl w:val="0"/>
        <w:wordWrap/>
        <w:overflowPunct/>
        <w:topLinePunct w:val="0"/>
        <w:bidi w:val="0"/>
        <w:spacing w:afterAutospacing="0" w:line="276" w:lineRule="auto"/>
        <w:rPr>
          <w:rFonts w:hint="eastAsia" w:ascii="宋体" w:hAnsi="宋体" w:eastAsia="宋体" w:cs="宋体"/>
          <w:color w:val="auto"/>
          <w:spacing w:val="0"/>
          <w:w w:val="100"/>
          <w:position w:val="0"/>
          <w:highlight w:val="none"/>
          <w:lang w:eastAsia="zh-CN"/>
        </w:rPr>
      </w:pPr>
    </w:p>
    <w:p w14:paraId="00BE9EE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50" w:afterAutospacing="0" w:line="240" w:lineRule="auto"/>
        <w:jc w:val="right"/>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注：1、省级以上监狱管理局、戒毒管理局（含新疆生产建设兵团）出具的属于监</w:t>
      </w:r>
    </w:p>
    <w:p w14:paraId="2DCCA542">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240" w:lineRule="auto"/>
        <w:ind w:left="882" w:leftChars="420" w:firstLine="163" w:firstLineChars="68"/>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狱</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企业证明文件格式由出具单位提供；</w:t>
      </w:r>
    </w:p>
    <w:p w14:paraId="1EFEA1BD">
      <w:pPr>
        <w:keepNext w:val="0"/>
        <w:keepLines w:val="0"/>
        <w:pageBreakBefore w:val="0"/>
        <w:widowControl w:val="0"/>
        <w:kinsoku w:val="0"/>
        <w:wordWrap/>
        <w:overflowPunct/>
        <w:topLinePunct w:val="0"/>
        <w:autoSpaceDE w:val="0"/>
        <w:autoSpaceDN w:val="0"/>
        <w:bidi w:val="0"/>
        <w:adjustRightInd w:val="0"/>
        <w:snapToGrid w:val="0"/>
        <w:spacing w:before="0" w:beforeLines="50" w:beforeAutospacing="0" w:after="0" w:afterLines="100" w:afterAutospacing="0" w:line="360" w:lineRule="auto"/>
        <w:ind w:left="1044" w:leftChars="383" w:hanging="240" w:hangingChars="10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2、</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未提供不予享受预留份额、评审中价格扣除等政府采购促进中小企业发展的政府采购政策</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p>
    <w:p w14:paraId="67B8D9A4">
      <w:pPr>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eastAsia="zh-CN"/>
        </w:rPr>
        <w:sectPr>
          <w:footerReference r:id="rId18" w:type="default"/>
          <w:pgSz w:w="11906" w:h="16839"/>
          <w:pgMar w:top="1431" w:right="1786" w:bottom="1429" w:left="1786" w:header="0" w:footer="994" w:gutter="0"/>
          <w:cols w:space="720" w:num="1"/>
        </w:sectPr>
      </w:pPr>
    </w:p>
    <w:p w14:paraId="534DC4ED">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highlight w:val="none"/>
          <w:lang w:eastAsia="zh-CN"/>
        </w:rPr>
      </w:pPr>
      <w:bookmarkStart w:id="156" w:name="_Toc13530"/>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8-3</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bookmarkEnd w:id="156"/>
    </w:p>
    <w:p w14:paraId="5E7D0097">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697240B0">
      <w:pPr>
        <w:pageBreakBefore w:val="0"/>
        <w:widowControl w:val="0"/>
        <w:wordWrap/>
        <w:overflowPunct/>
        <w:topLinePunct w:val="0"/>
        <w:bidi w:val="0"/>
        <w:spacing w:before="78" w:line="219" w:lineRule="auto"/>
        <w:ind w:left="3069"/>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残疾人福利性单位声明函</w:t>
      </w:r>
    </w:p>
    <w:p w14:paraId="5CFA7D46">
      <w:pPr>
        <w:pageBreakBefore w:val="0"/>
        <w:widowControl w:val="0"/>
        <w:wordWrap/>
        <w:overflowPunct/>
        <w:topLinePunct w:val="0"/>
        <w:bidi w:val="0"/>
        <w:spacing w:line="284" w:lineRule="auto"/>
        <w:rPr>
          <w:rFonts w:hint="eastAsia" w:ascii="宋体" w:hAnsi="宋体" w:eastAsia="宋体" w:cs="宋体"/>
          <w:color w:val="auto"/>
          <w:spacing w:val="0"/>
          <w:w w:val="100"/>
          <w:position w:val="0"/>
          <w:highlight w:val="none"/>
          <w:lang w:eastAsia="zh-CN"/>
        </w:rPr>
      </w:pPr>
    </w:p>
    <w:p w14:paraId="0A525B98">
      <w:pPr>
        <w:pageBreakBefore w:val="0"/>
        <w:widowControl w:val="0"/>
        <w:wordWrap/>
        <w:overflowPunct/>
        <w:topLinePunct w:val="0"/>
        <w:bidi w:val="0"/>
        <w:spacing w:line="285" w:lineRule="auto"/>
        <w:rPr>
          <w:rFonts w:hint="eastAsia" w:ascii="宋体" w:hAnsi="宋体" w:eastAsia="宋体" w:cs="宋体"/>
          <w:color w:val="auto"/>
          <w:spacing w:val="0"/>
          <w:w w:val="100"/>
          <w:position w:val="0"/>
          <w:highlight w:val="none"/>
          <w:lang w:eastAsia="zh-CN"/>
        </w:rPr>
      </w:pPr>
    </w:p>
    <w:p w14:paraId="1125971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left="37" w:firstLine="504"/>
        <w:jc w:val="both"/>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 xml:space="preserve">本单位郑重声明，根据《财政部 民政部 中国残疾人联合会关于促进残疾人就业政府采购政策的通知》 （财库〔2017〕 141 号） 的规定，本单位为符合条件的残疾人福利性单位，且本单位参加 </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单位的</w:t>
      </w:r>
      <w:r>
        <w:rPr>
          <w:rFonts w:hint="eastAsia" w:ascii="宋体" w:hAnsi="宋体" w:eastAsia="宋体" w:cs="宋体"/>
          <w:color w:val="auto"/>
          <w:spacing w:val="0"/>
          <w:w w:val="100"/>
          <w:position w:val="0"/>
          <w:sz w:val="24"/>
          <w:szCs w:val="24"/>
          <w:highlight w:val="none"/>
          <w:u w:val="single"/>
          <w:lang w:eastAsia="zh-CN"/>
        </w:rPr>
        <w:t xml:space="preserve">          </w:t>
      </w:r>
      <w:r>
        <w:rPr>
          <w:rFonts w:hint="eastAsia" w:ascii="宋体" w:hAnsi="宋体" w:eastAsia="宋体" w:cs="宋体"/>
          <w:color w:val="auto"/>
          <w:spacing w:val="0"/>
          <w:w w:val="100"/>
          <w:position w:val="0"/>
          <w:sz w:val="24"/>
          <w:szCs w:val="24"/>
          <w:highlight w:val="none"/>
          <w:lang w:eastAsia="zh-CN"/>
        </w:rPr>
        <w:t>项目采购活动提供本单位制造的货物（由本单位承担工程/提供服务），或者提供其他残疾人福利性单位制造的货物（不包括使用非残疾人福利性单位注册商标的货物）。</w:t>
      </w:r>
    </w:p>
    <w:p w14:paraId="6FDB2369">
      <w:pPr>
        <w:keepNext w:val="0"/>
        <w:keepLines w:val="0"/>
        <w:pageBreakBefore w:val="0"/>
        <w:widowControl w:val="0"/>
        <w:kinsoku w:val="0"/>
        <w:wordWrap/>
        <w:overflowPunct/>
        <w:topLinePunct w:val="0"/>
        <w:autoSpaceDE w:val="0"/>
        <w:autoSpaceDN w:val="0"/>
        <w:bidi w:val="0"/>
        <w:adjustRightInd w:val="0"/>
        <w:snapToGrid w:val="0"/>
        <w:spacing w:before="183" w:line="500" w:lineRule="atLeast"/>
        <w:ind w:left="542"/>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本单位对上述声明的真实性负责。如有虚假，将依法承担相应责任。</w:t>
      </w:r>
    </w:p>
    <w:p w14:paraId="5BDF729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7D61A074">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0CFDE881">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30F62D89">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highlight w:val="none"/>
          <w:lang w:eastAsia="zh-CN"/>
        </w:rPr>
      </w:pPr>
    </w:p>
    <w:p w14:paraId="617E2765">
      <w:pPr>
        <w:keepNext w:val="0"/>
        <w:keepLines w:val="0"/>
        <w:pageBreakBefore w:val="0"/>
        <w:widowControl w:val="0"/>
        <w:kinsoku w:val="0"/>
        <w:wordWrap/>
        <w:overflowPunct/>
        <w:topLinePunct w:val="0"/>
        <w:autoSpaceDE w:val="0"/>
        <w:autoSpaceDN w:val="0"/>
        <w:bidi w:val="0"/>
        <w:adjustRightInd w:val="0"/>
        <w:snapToGrid w:val="0"/>
        <w:spacing w:before="79" w:line="500" w:lineRule="atLeast"/>
        <w:ind w:left="4580"/>
        <w:textAlignment w:val="baseline"/>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单位名称（盖章）：</w:t>
      </w:r>
    </w:p>
    <w:p w14:paraId="43083493">
      <w:pPr>
        <w:keepNext w:val="0"/>
        <w:keepLines w:val="0"/>
        <w:pageBreakBefore w:val="0"/>
        <w:widowControl w:val="0"/>
        <w:kinsoku w:val="0"/>
        <w:wordWrap/>
        <w:overflowPunct/>
        <w:topLinePunct w:val="0"/>
        <w:autoSpaceDE w:val="0"/>
        <w:autoSpaceDN w:val="0"/>
        <w:bidi w:val="0"/>
        <w:adjustRightInd w:val="0"/>
        <w:snapToGrid w:val="0"/>
        <w:spacing w:before="184" w:line="500" w:lineRule="atLeast"/>
        <w:ind w:left="4583"/>
        <w:textAlignment w:val="baseline"/>
        <w:outlineLvl w:val="1"/>
        <w:rPr>
          <w:rFonts w:hint="eastAsia" w:ascii="宋体" w:hAnsi="宋体" w:eastAsia="宋体" w:cs="宋体"/>
          <w:color w:val="auto"/>
          <w:spacing w:val="0"/>
          <w:w w:val="100"/>
          <w:position w:val="0"/>
          <w:sz w:val="24"/>
          <w:szCs w:val="24"/>
          <w:highlight w:val="none"/>
          <w:u w:val="single"/>
          <w:lang w:val="en-US" w:eastAsia="zh-CN"/>
        </w:rPr>
      </w:pPr>
      <w:bookmarkStart w:id="157" w:name="_Toc9396"/>
      <w:r>
        <w:rPr>
          <w:rFonts w:hint="eastAsia" w:ascii="宋体" w:hAnsi="宋体" w:eastAsia="宋体" w:cs="宋体"/>
          <w:color w:val="auto"/>
          <w:spacing w:val="0"/>
          <w:w w:val="100"/>
          <w:position w:val="0"/>
          <w:sz w:val="24"/>
          <w:szCs w:val="24"/>
          <w:highlight w:val="none"/>
          <w:lang w:eastAsia="zh-CN"/>
        </w:rPr>
        <w:t>日  期：</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 xml:space="preserve">年 </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月</w:t>
      </w:r>
      <w:r>
        <w:rPr>
          <w:rFonts w:hint="eastAsia" w:ascii="宋体" w:hAnsi="宋体" w:eastAsia="宋体" w:cs="宋体"/>
          <w:color w:val="auto"/>
          <w:spacing w:val="0"/>
          <w:w w:val="100"/>
          <w:position w:val="0"/>
          <w:sz w:val="24"/>
          <w:szCs w:val="24"/>
          <w:highlight w:val="none"/>
          <w:u w:val="single"/>
          <w:lang w:val="en-US" w:eastAsia="zh-CN"/>
        </w:rPr>
        <w:t xml:space="preserve">     </w:t>
      </w:r>
      <w:r>
        <w:rPr>
          <w:rFonts w:hint="eastAsia" w:ascii="宋体" w:hAnsi="宋体" w:eastAsia="宋体" w:cs="宋体"/>
          <w:color w:val="auto"/>
          <w:spacing w:val="0"/>
          <w:w w:val="100"/>
          <w:position w:val="0"/>
          <w:sz w:val="24"/>
          <w:szCs w:val="24"/>
          <w:highlight w:val="none"/>
          <w:u w:val="none"/>
          <w:lang w:val="en-US" w:eastAsia="zh-CN"/>
        </w:rPr>
        <w:t>日</w:t>
      </w:r>
      <w:bookmarkEnd w:id="157"/>
    </w:p>
    <w:p w14:paraId="0758CED8">
      <w:pPr>
        <w:keepNext w:val="0"/>
        <w:keepLines w:val="0"/>
        <w:pageBreakBefore w:val="0"/>
        <w:widowControl w:val="0"/>
        <w:kinsoku w:val="0"/>
        <w:wordWrap/>
        <w:overflowPunct/>
        <w:topLinePunct w:val="0"/>
        <w:autoSpaceDE w:val="0"/>
        <w:autoSpaceDN w:val="0"/>
        <w:bidi w:val="0"/>
        <w:adjustRightInd w:val="0"/>
        <w:snapToGrid w:val="0"/>
        <w:spacing w:line="500" w:lineRule="atLeast"/>
        <w:textAlignment w:val="baseline"/>
        <w:rPr>
          <w:rFonts w:hint="eastAsia" w:ascii="宋体" w:hAnsi="宋体" w:eastAsia="宋体" w:cs="宋体"/>
          <w:color w:val="auto"/>
          <w:spacing w:val="0"/>
          <w:w w:val="100"/>
          <w:position w:val="0"/>
          <w:sz w:val="24"/>
          <w:szCs w:val="24"/>
          <w:highlight w:val="none"/>
          <w:u w:val="single"/>
          <w:lang w:eastAsia="zh-CN"/>
        </w:rPr>
        <w:sectPr>
          <w:footerReference r:id="rId19" w:type="default"/>
          <w:pgSz w:w="11906" w:h="16839"/>
          <w:pgMar w:top="1431" w:right="1786" w:bottom="1429" w:left="1786" w:header="0" w:footer="994" w:gutter="0"/>
          <w:cols w:space="720" w:num="1"/>
        </w:sectPr>
      </w:pPr>
    </w:p>
    <w:p w14:paraId="7895A656">
      <w:pPr>
        <w:pageBreakBefore w:val="0"/>
        <w:widowControl w:val="0"/>
        <w:wordWrap/>
        <w:overflowPunct/>
        <w:topLinePunct w:val="0"/>
        <w:bidi w:val="0"/>
        <w:spacing w:before="78" w:line="468" w:lineRule="exact"/>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8-4</w:t>
      </w:r>
      <w:r>
        <w:rPr>
          <w:rFonts w:hint="eastAsia" w:ascii="宋体" w:hAnsi="宋体" w:eastAsia="宋体" w:cs="宋体"/>
          <w:color w:val="auto"/>
          <w:spacing w:val="0"/>
          <w:w w:val="100"/>
          <w:position w:val="0"/>
          <w:sz w:val="24"/>
          <w:szCs w:val="24"/>
          <w:highlight w:val="none"/>
          <w:lang w:eastAsia="zh-CN"/>
        </w:rPr>
        <w:t xml:space="preserve"> </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采购的产品如属于政府强制采购节能产品的，投标文件中必须提供国家确</w:t>
      </w:r>
    </w:p>
    <w:p w14:paraId="51B85E96">
      <w:pPr>
        <w:pageBreakBefore w:val="0"/>
        <w:widowControl w:val="0"/>
        <w:wordWrap/>
        <w:overflowPunct/>
        <w:topLinePunct w:val="0"/>
        <w:bidi w:val="0"/>
        <w:spacing w:line="218" w:lineRule="auto"/>
        <w:ind w:left="370"/>
        <w:jc w:val="center"/>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定的认证机构出具的、处于有效期之内的节能产品认证证书（原件扫描件）</w:t>
      </w:r>
    </w:p>
    <w:p w14:paraId="6232C41D">
      <w:pPr>
        <w:pageBreakBefore w:val="0"/>
        <w:widowControl w:val="0"/>
        <w:wordWrap/>
        <w:overflowPunct/>
        <w:topLinePunct w:val="0"/>
        <w:bidi w:val="0"/>
        <w:spacing w:line="276" w:lineRule="auto"/>
        <w:jc w:val="center"/>
        <w:rPr>
          <w:rFonts w:hint="eastAsia" w:ascii="宋体" w:hAnsi="宋体" w:eastAsia="宋体" w:cs="宋体"/>
          <w:color w:val="auto"/>
          <w:spacing w:val="0"/>
          <w:w w:val="100"/>
          <w:position w:val="0"/>
          <w:highlight w:val="none"/>
          <w:lang w:eastAsia="zh-CN"/>
        </w:rPr>
      </w:pPr>
    </w:p>
    <w:p w14:paraId="08BCC887">
      <w:pPr>
        <w:pageBreakBefore w:val="0"/>
        <w:widowControl w:val="0"/>
        <w:wordWrap/>
        <w:overflowPunct/>
        <w:topLinePunct w:val="0"/>
        <w:bidi w:val="0"/>
        <w:spacing w:before="78" w:line="219" w:lineRule="auto"/>
        <w:ind w:left="942"/>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（不属于品目清单的产品无需提供，文件另有规定的从其规定）</w:t>
      </w:r>
    </w:p>
    <w:tbl>
      <w:tblPr>
        <w:tblStyle w:val="18"/>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583"/>
        <w:gridCol w:w="1167"/>
        <w:gridCol w:w="1783"/>
        <w:gridCol w:w="1877"/>
        <w:gridCol w:w="3628"/>
      </w:tblGrid>
      <w:tr w14:paraId="0E689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87" w:hRule="exact"/>
          <w:jc w:val="center"/>
        </w:trPr>
        <w:tc>
          <w:tcPr>
            <w:tcW w:w="583" w:type="dxa"/>
            <w:vAlign w:val="center"/>
          </w:tcPr>
          <w:p w14:paraId="0FFE264C">
            <w:pPr>
              <w:pStyle w:val="46"/>
              <w:spacing w:line="240" w:lineRule="auto"/>
              <w:jc w:val="center"/>
              <w:rPr>
                <w:b/>
                <w:bCs/>
                <w:sz w:val="24"/>
                <w:szCs w:val="24"/>
                <w:highlight w:val="none"/>
              </w:rPr>
            </w:pPr>
            <w:r>
              <w:rPr>
                <w:rFonts w:hint="eastAsia"/>
                <w:b/>
                <w:bCs/>
                <w:sz w:val="24"/>
                <w:szCs w:val="24"/>
                <w:highlight w:val="none"/>
              </w:rPr>
              <w:t>品目 序号</w:t>
            </w:r>
          </w:p>
        </w:tc>
        <w:tc>
          <w:tcPr>
            <w:tcW w:w="4827" w:type="dxa"/>
            <w:gridSpan w:val="3"/>
            <w:vAlign w:val="center"/>
          </w:tcPr>
          <w:p w14:paraId="240FEB3B">
            <w:pPr>
              <w:pStyle w:val="46"/>
              <w:spacing w:line="240" w:lineRule="auto"/>
              <w:jc w:val="center"/>
              <w:rPr>
                <w:b/>
                <w:bCs/>
                <w:sz w:val="24"/>
                <w:szCs w:val="24"/>
                <w:highlight w:val="none"/>
              </w:rPr>
            </w:pPr>
            <w:r>
              <w:rPr>
                <w:rFonts w:hint="eastAsia"/>
                <w:b/>
                <w:bCs/>
                <w:sz w:val="24"/>
                <w:szCs w:val="24"/>
                <w:highlight w:val="none"/>
              </w:rPr>
              <w:t>名称</w:t>
            </w:r>
          </w:p>
        </w:tc>
        <w:tc>
          <w:tcPr>
            <w:tcW w:w="3628" w:type="dxa"/>
            <w:vAlign w:val="center"/>
          </w:tcPr>
          <w:p w14:paraId="11C00410">
            <w:pPr>
              <w:pStyle w:val="46"/>
              <w:spacing w:line="240" w:lineRule="auto"/>
              <w:jc w:val="center"/>
              <w:rPr>
                <w:b/>
                <w:bCs/>
                <w:sz w:val="24"/>
                <w:szCs w:val="24"/>
                <w:highlight w:val="none"/>
              </w:rPr>
            </w:pPr>
            <w:r>
              <w:rPr>
                <w:rFonts w:hint="eastAsia"/>
                <w:b/>
                <w:bCs/>
                <w:sz w:val="24"/>
                <w:szCs w:val="24"/>
                <w:highlight w:val="none"/>
              </w:rPr>
              <w:t>依据的标准</w:t>
            </w:r>
          </w:p>
        </w:tc>
      </w:tr>
      <w:tr w14:paraId="21BC0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21" w:hRule="exact"/>
          <w:jc w:val="center"/>
        </w:trPr>
        <w:tc>
          <w:tcPr>
            <w:tcW w:w="583" w:type="dxa"/>
            <w:vMerge w:val="restart"/>
            <w:vAlign w:val="center"/>
          </w:tcPr>
          <w:p w14:paraId="5D0995A8">
            <w:pPr>
              <w:pStyle w:val="46"/>
              <w:spacing w:line="240" w:lineRule="auto"/>
              <w:jc w:val="center"/>
              <w:rPr>
                <w:sz w:val="24"/>
                <w:szCs w:val="24"/>
                <w:highlight w:val="none"/>
              </w:rPr>
            </w:pPr>
            <w:r>
              <w:rPr>
                <w:rFonts w:hint="eastAsia"/>
                <w:sz w:val="24"/>
                <w:szCs w:val="24"/>
                <w:highlight w:val="none"/>
              </w:rPr>
              <w:t>1</w:t>
            </w:r>
          </w:p>
        </w:tc>
        <w:tc>
          <w:tcPr>
            <w:tcW w:w="1167" w:type="dxa"/>
            <w:vMerge w:val="restart"/>
            <w:vAlign w:val="center"/>
          </w:tcPr>
          <w:p w14:paraId="53BF2BEA">
            <w:pPr>
              <w:pStyle w:val="46"/>
              <w:spacing w:line="240" w:lineRule="auto"/>
              <w:jc w:val="center"/>
              <w:rPr>
                <w:sz w:val="24"/>
                <w:szCs w:val="24"/>
                <w:highlight w:val="none"/>
              </w:rPr>
            </w:pPr>
            <w:r>
              <w:rPr>
                <w:rFonts w:hint="eastAsia"/>
                <w:sz w:val="24"/>
                <w:szCs w:val="24"/>
                <w:highlight w:val="none"/>
                <w:lang w:val="en-US" w:eastAsia="en-US" w:bidi="en-US"/>
              </w:rPr>
              <w:t xml:space="preserve">A020101 </w:t>
            </w:r>
            <w:r>
              <w:rPr>
                <w:rFonts w:hint="eastAsia"/>
                <w:sz w:val="24"/>
                <w:szCs w:val="24"/>
                <w:highlight w:val="none"/>
              </w:rPr>
              <w:t>计算机设备</w:t>
            </w:r>
          </w:p>
        </w:tc>
        <w:tc>
          <w:tcPr>
            <w:tcW w:w="1783" w:type="dxa"/>
            <w:vAlign w:val="center"/>
          </w:tcPr>
          <w:p w14:paraId="6804A0B3">
            <w:pPr>
              <w:pStyle w:val="46"/>
              <w:spacing w:line="240" w:lineRule="auto"/>
              <w:jc w:val="center"/>
              <w:rPr>
                <w:sz w:val="24"/>
                <w:szCs w:val="24"/>
                <w:highlight w:val="none"/>
              </w:rPr>
            </w:pPr>
            <w:r>
              <w:rPr>
                <w:rFonts w:hint="eastAsia"/>
                <w:sz w:val="24"/>
                <w:szCs w:val="24"/>
                <w:highlight w:val="none"/>
                <w:lang w:val="en-US" w:eastAsia="en-US" w:bidi="en-US"/>
              </w:rPr>
              <w:t xml:space="preserve">★A02010104 </w:t>
            </w:r>
            <w:r>
              <w:rPr>
                <w:rFonts w:hint="eastAsia"/>
                <w:sz w:val="24"/>
                <w:szCs w:val="24"/>
                <w:highlight w:val="none"/>
              </w:rPr>
              <w:t>台式计算机</w:t>
            </w:r>
          </w:p>
        </w:tc>
        <w:tc>
          <w:tcPr>
            <w:tcW w:w="1877" w:type="dxa"/>
            <w:vAlign w:val="center"/>
          </w:tcPr>
          <w:p w14:paraId="1495D410">
            <w:pPr>
              <w:jc w:val="center"/>
              <w:rPr>
                <w:rFonts w:ascii="宋体" w:hAnsi="宋体" w:cs="宋体"/>
                <w:sz w:val="24"/>
                <w:szCs w:val="24"/>
                <w:highlight w:val="none"/>
              </w:rPr>
            </w:pPr>
          </w:p>
        </w:tc>
        <w:tc>
          <w:tcPr>
            <w:tcW w:w="3628" w:type="dxa"/>
            <w:vAlign w:val="center"/>
          </w:tcPr>
          <w:p w14:paraId="52F525E7">
            <w:pPr>
              <w:pStyle w:val="46"/>
              <w:spacing w:line="240" w:lineRule="auto"/>
              <w:jc w:val="center"/>
              <w:rPr>
                <w:sz w:val="24"/>
                <w:szCs w:val="24"/>
                <w:highlight w:val="none"/>
              </w:rPr>
            </w:pPr>
            <w:r>
              <w:rPr>
                <w:rFonts w:hint="eastAsia"/>
                <w:sz w:val="24"/>
                <w:szCs w:val="24"/>
                <w:highlight w:val="none"/>
              </w:rPr>
              <w:t>《微型计算机能效限定值及能效 等级》</w:t>
            </w:r>
            <w:r>
              <w:rPr>
                <w:rFonts w:hint="eastAsia"/>
                <w:sz w:val="24"/>
                <w:szCs w:val="24"/>
                <w:highlight w:val="none"/>
                <w:lang w:val="en-US" w:eastAsia="zh-CN" w:bidi="en-US"/>
              </w:rPr>
              <w:t xml:space="preserve">（GB </w:t>
            </w:r>
            <w:r>
              <w:rPr>
                <w:rFonts w:hint="eastAsia"/>
                <w:sz w:val="24"/>
                <w:szCs w:val="24"/>
                <w:highlight w:val="none"/>
              </w:rPr>
              <w:t>28380）</w:t>
            </w:r>
          </w:p>
        </w:tc>
      </w:tr>
      <w:tr w14:paraId="03201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30" w:hRule="exact"/>
          <w:jc w:val="center"/>
        </w:trPr>
        <w:tc>
          <w:tcPr>
            <w:tcW w:w="583" w:type="dxa"/>
            <w:vMerge w:val="continue"/>
            <w:vAlign w:val="center"/>
          </w:tcPr>
          <w:p w14:paraId="44BFBF67">
            <w:pPr>
              <w:jc w:val="center"/>
              <w:rPr>
                <w:rFonts w:ascii="宋体" w:hAnsi="宋体" w:cs="宋体"/>
                <w:sz w:val="24"/>
                <w:szCs w:val="24"/>
                <w:highlight w:val="none"/>
                <w:lang w:eastAsia="zh-CN"/>
              </w:rPr>
            </w:pPr>
          </w:p>
        </w:tc>
        <w:tc>
          <w:tcPr>
            <w:tcW w:w="1167" w:type="dxa"/>
            <w:vMerge w:val="continue"/>
            <w:vAlign w:val="center"/>
          </w:tcPr>
          <w:p w14:paraId="0B1EA55E">
            <w:pPr>
              <w:jc w:val="center"/>
              <w:rPr>
                <w:rFonts w:ascii="宋体" w:hAnsi="宋体" w:cs="宋体"/>
                <w:sz w:val="24"/>
                <w:szCs w:val="24"/>
                <w:highlight w:val="none"/>
                <w:lang w:eastAsia="zh-CN"/>
              </w:rPr>
            </w:pPr>
          </w:p>
        </w:tc>
        <w:tc>
          <w:tcPr>
            <w:tcW w:w="1783" w:type="dxa"/>
            <w:vAlign w:val="center"/>
          </w:tcPr>
          <w:p w14:paraId="31BABD8C">
            <w:pPr>
              <w:pStyle w:val="46"/>
              <w:spacing w:line="240" w:lineRule="auto"/>
              <w:jc w:val="center"/>
              <w:rPr>
                <w:rFonts w:hint="eastAsia" w:eastAsia="宋体"/>
                <w:sz w:val="24"/>
                <w:szCs w:val="24"/>
                <w:highlight w:val="none"/>
                <w:lang w:val="en-US" w:eastAsia="zh-CN"/>
              </w:rPr>
            </w:pPr>
            <w:r>
              <w:rPr>
                <w:rFonts w:hint="eastAsia"/>
                <w:sz w:val="24"/>
                <w:szCs w:val="24"/>
                <w:highlight w:val="none"/>
                <w:lang w:val="en-US" w:eastAsia="en-US" w:bidi="en-US"/>
              </w:rPr>
              <w:t xml:space="preserve">★A02010105 </w:t>
            </w:r>
            <w:r>
              <w:rPr>
                <w:rFonts w:hint="eastAsia"/>
                <w:sz w:val="24"/>
                <w:szCs w:val="24"/>
                <w:highlight w:val="none"/>
              </w:rPr>
              <w:t>便携式计算机</w:t>
            </w:r>
            <w:r>
              <w:rPr>
                <w:rFonts w:hint="eastAsia" w:eastAsia="宋体"/>
                <w:sz w:val="24"/>
                <w:szCs w:val="24"/>
                <w:highlight w:val="none"/>
                <w:lang w:val="en-US" w:eastAsia="zh-CN"/>
              </w:rPr>
              <w:t>5；</w:t>
            </w:r>
          </w:p>
        </w:tc>
        <w:tc>
          <w:tcPr>
            <w:tcW w:w="1877" w:type="dxa"/>
            <w:vAlign w:val="center"/>
          </w:tcPr>
          <w:p w14:paraId="640678C0">
            <w:pPr>
              <w:jc w:val="center"/>
              <w:rPr>
                <w:rFonts w:ascii="宋体" w:hAnsi="宋体" w:cs="宋体"/>
                <w:sz w:val="24"/>
                <w:szCs w:val="24"/>
                <w:highlight w:val="none"/>
              </w:rPr>
            </w:pPr>
          </w:p>
        </w:tc>
        <w:tc>
          <w:tcPr>
            <w:tcW w:w="3628" w:type="dxa"/>
            <w:vAlign w:val="center"/>
          </w:tcPr>
          <w:p w14:paraId="6753563C">
            <w:pPr>
              <w:pStyle w:val="46"/>
              <w:spacing w:line="240" w:lineRule="auto"/>
              <w:jc w:val="center"/>
              <w:rPr>
                <w:sz w:val="24"/>
                <w:szCs w:val="24"/>
                <w:highlight w:val="none"/>
              </w:rPr>
            </w:pPr>
            <w:r>
              <w:rPr>
                <w:rFonts w:hint="eastAsia"/>
                <w:sz w:val="24"/>
                <w:szCs w:val="24"/>
                <w:highlight w:val="none"/>
              </w:rPr>
              <w:t>《微型计算机能效限定值及能效 等级》</w:t>
            </w:r>
            <w:r>
              <w:rPr>
                <w:rFonts w:hint="eastAsia"/>
                <w:sz w:val="24"/>
                <w:szCs w:val="24"/>
                <w:highlight w:val="none"/>
                <w:lang w:val="en-US" w:eastAsia="zh-CN" w:bidi="en-US"/>
              </w:rPr>
              <w:t xml:space="preserve">（GB </w:t>
            </w:r>
            <w:r>
              <w:rPr>
                <w:rFonts w:hint="eastAsia"/>
                <w:sz w:val="24"/>
                <w:szCs w:val="24"/>
                <w:highlight w:val="none"/>
              </w:rPr>
              <w:t>28380）</w:t>
            </w:r>
          </w:p>
        </w:tc>
      </w:tr>
      <w:tr w14:paraId="5C72A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63" w:hRule="exact"/>
          <w:jc w:val="center"/>
        </w:trPr>
        <w:tc>
          <w:tcPr>
            <w:tcW w:w="583" w:type="dxa"/>
            <w:vMerge w:val="continue"/>
            <w:vAlign w:val="center"/>
          </w:tcPr>
          <w:p w14:paraId="015DDAB8">
            <w:pPr>
              <w:jc w:val="center"/>
              <w:rPr>
                <w:rFonts w:ascii="宋体" w:hAnsi="宋体" w:cs="宋体"/>
                <w:sz w:val="24"/>
                <w:szCs w:val="24"/>
                <w:highlight w:val="none"/>
                <w:lang w:eastAsia="zh-CN"/>
              </w:rPr>
            </w:pPr>
          </w:p>
        </w:tc>
        <w:tc>
          <w:tcPr>
            <w:tcW w:w="1167" w:type="dxa"/>
            <w:vMerge w:val="continue"/>
            <w:vAlign w:val="center"/>
          </w:tcPr>
          <w:p w14:paraId="089C6C7D">
            <w:pPr>
              <w:jc w:val="center"/>
              <w:rPr>
                <w:rFonts w:ascii="宋体" w:hAnsi="宋体" w:cs="宋体"/>
                <w:sz w:val="24"/>
                <w:szCs w:val="24"/>
                <w:highlight w:val="none"/>
                <w:lang w:eastAsia="zh-CN"/>
              </w:rPr>
            </w:pPr>
          </w:p>
        </w:tc>
        <w:tc>
          <w:tcPr>
            <w:tcW w:w="1783" w:type="dxa"/>
            <w:vAlign w:val="center"/>
          </w:tcPr>
          <w:p w14:paraId="73FA9EE3">
            <w:pPr>
              <w:pStyle w:val="46"/>
              <w:spacing w:line="240" w:lineRule="auto"/>
              <w:jc w:val="center"/>
              <w:rPr>
                <w:sz w:val="24"/>
                <w:szCs w:val="24"/>
                <w:highlight w:val="none"/>
              </w:rPr>
            </w:pPr>
            <w:r>
              <w:rPr>
                <w:rFonts w:hint="eastAsia"/>
                <w:sz w:val="24"/>
                <w:szCs w:val="24"/>
                <w:highlight w:val="none"/>
                <w:lang w:val="en-US" w:eastAsia="zh-CN" w:bidi="en-US"/>
              </w:rPr>
              <w:t xml:space="preserve">★A02010107 </w:t>
            </w:r>
            <w:r>
              <w:rPr>
                <w:rFonts w:hint="eastAsia"/>
                <w:sz w:val="24"/>
                <w:szCs w:val="24"/>
                <w:highlight w:val="none"/>
              </w:rPr>
              <w:t>平板式微型计算机</w:t>
            </w:r>
          </w:p>
        </w:tc>
        <w:tc>
          <w:tcPr>
            <w:tcW w:w="1877" w:type="dxa"/>
            <w:vAlign w:val="center"/>
          </w:tcPr>
          <w:p w14:paraId="70AE7356">
            <w:pPr>
              <w:jc w:val="center"/>
              <w:rPr>
                <w:rFonts w:ascii="宋体" w:hAnsi="宋体" w:cs="宋体"/>
                <w:sz w:val="24"/>
                <w:szCs w:val="24"/>
                <w:highlight w:val="none"/>
                <w:lang w:eastAsia="zh-CN"/>
              </w:rPr>
            </w:pPr>
          </w:p>
        </w:tc>
        <w:tc>
          <w:tcPr>
            <w:tcW w:w="3628" w:type="dxa"/>
            <w:vAlign w:val="center"/>
          </w:tcPr>
          <w:p w14:paraId="6F8BACD7">
            <w:pPr>
              <w:pStyle w:val="46"/>
              <w:spacing w:line="240" w:lineRule="auto"/>
              <w:jc w:val="center"/>
              <w:rPr>
                <w:sz w:val="24"/>
                <w:szCs w:val="24"/>
                <w:highlight w:val="none"/>
              </w:rPr>
            </w:pPr>
            <w:r>
              <w:rPr>
                <w:rFonts w:hint="eastAsia"/>
                <w:sz w:val="24"/>
                <w:szCs w:val="24"/>
                <w:highlight w:val="none"/>
              </w:rPr>
              <w:t>《微型计算机能效限定值及能效 等级》</w:t>
            </w:r>
            <w:r>
              <w:rPr>
                <w:rFonts w:hint="eastAsia"/>
                <w:sz w:val="24"/>
                <w:szCs w:val="24"/>
                <w:highlight w:val="none"/>
                <w:lang w:val="en-US" w:eastAsia="zh-CN" w:bidi="en-US"/>
              </w:rPr>
              <w:t xml:space="preserve">（GB </w:t>
            </w:r>
            <w:r>
              <w:rPr>
                <w:rFonts w:hint="eastAsia"/>
                <w:sz w:val="24"/>
                <w:szCs w:val="24"/>
                <w:highlight w:val="none"/>
              </w:rPr>
              <w:t>28380）</w:t>
            </w:r>
          </w:p>
        </w:tc>
      </w:tr>
      <w:tr w14:paraId="3A6EF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39" w:hRule="exact"/>
          <w:jc w:val="center"/>
        </w:trPr>
        <w:tc>
          <w:tcPr>
            <w:tcW w:w="583" w:type="dxa"/>
            <w:vMerge w:val="restart"/>
            <w:vAlign w:val="center"/>
          </w:tcPr>
          <w:p w14:paraId="3531A6D4">
            <w:pPr>
              <w:pStyle w:val="46"/>
              <w:spacing w:line="240" w:lineRule="auto"/>
              <w:jc w:val="center"/>
              <w:rPr>
                <w:sz w:val="24"/>
                <w:szCs w:val="24"/>
                <w:highlight w:val="none"/>
              </w:rPr>
            </w:pPr>
            <w:r>
              <w:rPr>
                <w:rFonts w:hint="eastAsia"/>
                <w:sz w:val="24"/>
                <w:szCs w:val="24"/>
                <w:highlight w:val="none"/>
              </w:rPr>
              <w:t>2</w:t>
            </w:r>
          </w:p>
        </w:tc>
        <w:tc>
          <w:tcPr>
            <w:tcW w:w="1167" w:type="dxa"/>
            <w:vMerge w:val="restart"/>
            <w:vAlign w:val="center"/>
          </w:tcPr>
          <w:p w14:paraId="4CD9F013">
            <w:pPr>
              <w:pStyle w:val="46"/>
              <w:spacing w:line="240" w:lineRule="auto"/>
              <w:jc w:val="center"/>
              <w:rPr>
                <w:sz w:val="24"/>
                <w:szCs w:val="24"/>
                <w:highlight w:val="none"/>
              </w:rPr>
            </w:pPr>
            <w:r>
              <w:rPr>
                <w:rFonts w:hint="eastAsia"/>
                <w:sz w:val="24"/>
                <w:szCs w:val="24"/>
                <w:highlight w:val="none"/>
                <w:lang w:val="en-US" w:eastAsia="en-US" w:bidi="en-US"/>
              </w:rPr>
              <w:t xml:space="preserve">A020106 </w:t>
            </w:r>
            <w:r>
              <w:rPr>
                <w:rFonts w:hint="eastAsia"/>
                <w:sz w:val="24"/>
                <w:szCs w:val="24"/>
                <w:highlight w:val="none"/>
              </w:rPr>
              <w:t>输入输出设备</w:t>
            </w:r>
          </w:p>
        </w:tc>
        <w:tc>
          <w:tcPr>
            <w:tcW w:w="1783" w:type="dxa"/>
            <w:vMerge w:val="restart"/>
            <w:vAlign w:val="center"/>
          </w:tcPr>
          <w:p w14:paraId="5FDBF9AB">
            <w:pPr>
              <w:pStyle w:val="46"/>
              <w:spacing w:line="240" w:lineRule="auto"/>
              <w:jc w:val="center"/>
              <w:rPr>
                <w:sz w:val="24"/>
                <w:szCs w:val="24"/>
                <w:highlight w:val="none"/>
              </w:rPr>
            </w:pPr>
            <w:r>
              <w:rPr>
                <w:rFonts w:hint="eastAsia"/>
                <w:sz w:val="24"/>
                <w:szCs w:val="24"/>
                <w:highlight w:val="none"/>
                <w:lang w:val="en-US" w:eastAsia="en-US" w:bidi="en-US"/>
              </w:rPr>
              <w:t>A02010601</w:t>
            </w:r>
            <w:r>
              <w:rPr>
                <w:rFonts w:hint="eastAsia"/>
                <w:sz w:val="24"/>
                <w:szCs w:val="24"/>
                <w:highlight w:val="none"/>
              </w:rPr>
              <w:t>打印设备</w:t>
            </w:r>
          </w:p>
        </w:tc>
        <w:tc>
          <w:tcPr>
            <w:tcW w:w="1877" w:type="dxa"/>
            <w:vAlign w:val="center"/>
          </w:tcPr>
          <w:p w14:paraId="1505FD20">
            <w:pPr>
              <w:pStyle w:val="46"/>
              <w:spacing w:line="240" w:lineRule="auto"/>
              <w:jc w:val="center"/>
              <w:rPr>
                <w:sz w:val="24"/>
                <w:szCs w:val="24"/>
                <w:highlight w:val="none"/>
              </w:rPr>
            </w:pPr>
            <w:r>
              <w:rPr>
                <w:rFonts w:hint="eastAsia"/>
                <w:sz w:val="24"/>
                <w:szCs w:val="24"/>
                <w:highlight w:val="none"/>
                <w:lang w:val="en-US" w:eastAsia="en-US" w:bidi="en-US"/>
              </w:rPr>
              <w:t xml:space="preserve">A0201060101 </w:t>
            </w:r>
            <w:r>
              <w:rPr>
                <w:rFonts w:hint="eastAsia"/>
                <w:sz w:val="24"/>
                <w:szCs w:val="24"/>
                <w:highlight w:val="none"/>
              </w:rPr>
              <w:t>喷墨打印机</w:t>
            </w:r>
          </w:p>
        </w:tc>
        <w:tc>
          <w:tcPr>
            <w:tcW w:w="3628" w:type="dxa"/>
            <w:vAlign w:val="center"/>
          </w:tcPr>
          <w:p w14:paraId="21CC6C99">
            <w:pPr>
              <w:pStyle w:val="46"/>
              <w:spacing w:line="240" w:lineRule="auto"/>
              <w:jc w:val="center"/>
              <w:rPr>
                <w:sz w:val="24"/>
                <w:szCs w:val="24"/>
                <w:highlight w:val="none"/>
              </w:rPr>
            </w:pPr>
            <w:r>
              <w:rPr>
                <w:rFonts w:hint="eastAsia"/>
                <w:sz w:val="24"/>
                <w:szCs w:val="24"/>
                <w:highlight w:val="none"/>
              </w:rPr>
              <w:t>《复印机、打印机和传真机能效限 定值及能效等级》</w:t>
            </w:r>
            <w:r>
              <w:rPr>
                <w:rFonts w:hint="eastAsia"/>
                <w:sz w:val="24"/>
                <w:szCs w:val="24"/>
                <w:highlight w:val="none"/>
                <w:lang w:val="en-US" w:eastAsia="zh-CN" w:bidi="en-US"/>
              </w:rPr>
              <w:t xml:space="preserve">（GB </w:t>
            </w:r>
            <w:r>
              <w:rPr>
                <w:rFonts w:hint="eastAsia"/>
                <w:sz w:val="24"/>
                <w:szCs w:val="24"/>
                <w:highlight w:val="none"/>
              </w:rPr>
              <w:t>21521）</w:t>
            </w:r>
          </w:p>
        </w:tc>
      </w:tr>
      <w:tr w14:paraId="70C7A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44" w:hRule="exact"/>
          <w:jc w:val="center"/>
        </w:trPr>
        <w:tc>
          <w:tcPr>
            <w:tcW w:w="583" w:type="dxa"/>
            <w:vMerge w:val="continue"/>
            <w:vAlign w:val="center"/>
          </w:tcPr>
          <w:p w14:paraId="4E144CBA">
            <w:pPr>
              <w:jc w:val="center"/>
              <w:rPr>
                <w:rFonts w:ascii="宋体" w:hAnsi="宋体" w:cs="宋体"/>
                <w:sz w:val="24"/>
                <w:szCs w:val="24"/>
                <w:highlight w:val="none"/>
                <w:lang w:eastAsia="zh-CN"/>
              </w:rPr>
            </w:pPr>
          </w:p>
        </w:tc>
        <w:tc>
          <w:tcPr>
            <w:tcW w:w="1167" w:type="dxa"/>
            <w:vMerge w:val="continue"/>
            <w:vAlign w:val="center"/>
          </w:tcPr>
          <w:p w14:paraId="7BD06045">
            <w:pPr>
              <w:jc w:val="center"/>
              <w:rPr>
                <w:rFonts w:ascii="宋体" w:hAnsi="宋体" w:cs="宋体"/>
                <w:sz w:val="24"/>
                <w:szCs w:val="24"/>
                <w:highlight w:val="none"/>
                <w:lang w:eastAsia="zh-CN"/>
              </w:rPr>
            </w:pPr>
          </w:p>
        </w:tc>
        <w:tc>
          <w:tcPr>
            <w:tcW w:w="1783" w:type="dxa"/>
            <w:vMerge w:val="continue"/>
            <w:vAlign w:val="center"/>
          </w:tcPr>
          <w:p w14:paraId="040A3C11">
            <w:pPr>
              <w:jc w:val="center"/>
              <w:rPr>
                <w:rFonts w:ascii="宋体" w:hAnsi="宋体" w:cs="宋体"/>
                <w:sz w:val="24"/>
                <w:szCs w:val="24"/>
                <w:highlight w:val="none"/>
                <w:lang w:eastAsia="zh-CN"/>
              </w:rPr>
            </w:pPr>
          </w:p>
        </w:tc>
        <w:tc>
          <w:tcPr>
            <w:tcW w:w="1877" w:type="dxa"/>
            <w:vAlign w:val="center"/>
          </w:tcPr>
          <w:p w14:paraId="17AF1B8A">
            <w:pPr>
              <w:pStyle w:val="46"/>
              <w:spacing w:line="240" w:lineRule="auto"/>
              <w:jc w:val="center"/>
              <w:rPr>
                <w:sz w:val="24"/>
                <w:szCs w:val="24"/>
                <w:highlight w:val="none"/>
              </w:rPr>
            </w:pPr>
            <w:r>
              <w:rPr>
                <w:rFonts w:hint="eastAsia"/>
                <w:sz w:val="24"/>
                <w:szCs w:val="24"/>
                <w:highlight w:val="none"/>
                <w:lang w:val="en-US" w:eastAsia="en-US" w:bidi="en-US"/>
              </w:rPr>
              <w:t xml:space="preserve">★ A0201060102 </w:t>
            </w:r>
            <w:r>
              <w:rPr>
                <w:rFonts w:hint="eastAsia"/>
                <w:sz w:val="24"/>
                <w:szCs w:val="24"/>
                <w:highlight w:val="none"/>
              </w:rPr>
              <w:t>激光打印机</w:t>
            </w:r>
          </w:p>
        </w:tc>
        <w:tc>
          <w:tcPr>
            <w:tcW w:w="3628" w:type="dxa"/>
            <w:vAlign w:val="center"/>
          </w:tcPr>
          <w:p w14:paraId="33C03BEC">
            <w:pPr>
              <w:pStyle w:val="46"/>
              <w:spacing w:line="240" w:lineRule="auto"/>
              <w:jc w:val="center"/>
              <w:rPr>
                <w:sz w:val="24"/>
                <w:szCs w:val="24"/>
                <w:highlight w:val="none"/>
              </w:rPr>
            </w:pPr>
            <w:r>
              <w:rPr>
                <w:rFonts w:hint="eastAsia"/>
                <w:sz w:val="24"/>
                <w:szCs w:val="24"/>
                <w:highlight w:val="none"/>
              </w:rPr>
              <w:t>《复印机、打印机和传真机能效限 定值及能效等级》</w:t>
            </w:r>
            <w:r>
              <w:rPr>
                <w:rFonts w:hint="eastAsia"/>
                <w:sz w:val="24"/>
                <w:szCs w:val="24"/>
                <w:highlight w:val="none"/>
                <w:lang w:val="en-US" w:eastAsia="zh-CN" w:bidi="en-US"/>
              </w:rPr>
              <w:t xml:space="preserve">（GB </w:t>
            </w:r>
            <w:r>
              <w:rPr>
                <w:rFonts w:hint="eastAsia"/>
                <w:sz w:val="24"/>
                <w:szCs w:val="24"/>
                <w:highlight w:val="none"/>
              </w:rPr>
              <w:t>21521）</w:t>
            </w:r>
          </w:p>
        </w:tc>
      </w:tr>
      <w:tr w14:paraId="77F34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39" w:hRule="exact"/>
          <w:jc w:val="center"/>
        </w:trPr>
        <w:tc>
          <w:tcPr>
            <w:tcW w:w="583" w:type="dxa"/>
            <w:vMerge w:val="continue"/>
            <w:vAlign w:val="center"/>
          </w:tcPr>
          <w:p w14:paraId="378A58D9">
            <w:pPr>
              <w:jc w:val="center"/>
              <w:rPr>
                <w:rFonts w:ascii="宋体" w:hAnsi="宋体" w:cs="宋体"/>
                <w:sz w:val="24"/>
                <w:szCs w:val="24"/>
                <w:highlight w:val="none"/>
                <w:lang w:eastAsia="zh-CN"/>
              </w:rPr>
            </w:pPr>
          </w:p>
        </w:tc>
        <w:tc>
          <w:tcPr>
            <w:tcW w:w="1167" w:type="dxa"/>
            <w:vMerge w:val="continue"/>
            <w:vAlign w:val="center"/>
          </w:tcPr>
          <w:p w14:paraId="517F5D44">
            <w:pPr>
              <w:jc w:val="center"/>
              <w:rPr>
                <w:rFonts w:ascii="宋体" w:hAnsi="宋体" w:cs="宋体"/>
                <w:sz w:val="24"/>
                <w:szCs w:val="24"/>
                <w:highlight w:val="none"/>
                <w:lang w:eastAsia="zh-CN"/>
              </w:rPr>
            </w:pPr>
          </w:p>
        </w:tc>
        <w:tc>
          <w:tcPr>
            <w:tcW w:w="1783" w:type="dxa"/>
            <w:vMerge w:val="continue"/>
            <w:vAlign w:val="center"/>
          </w:tcPr>
          <w:p w14:paraId="1E29CAC7">
            <w:pPr>
              <w:jc w:val="center"/>
              <w:rPr>
                <w:rFonts w:ascii="宋体" w:hAnsi="宋体" w:cs="宋体"/>
                <w:sz w:val="24"/>
                <w:szCs w:val="24"/>
                <w:highlight w:val="none"/>
                <w:lang w:eastAsia="zh-CN"/>
              </w:rPr>
            </w:pPr>
          </w:p>
        </w:tc>
        <w:tc>
          <w:tcPr>
            <w:tcW w:w="1877" w:type="dxa"/>
            <w:vAlign w:val="center"/>
          </w:tcPr>
          <w:p w14:paraId="4454FC4D">
            <w:pPr>
              <w:pStyle w:val="46"/>
              <w:spacing w:line="240" w:lineRule="auto"/>
              <w:jc w:val="center"/>
              <w:rPr>
                <w:sz w:val="24"/>
                <w:szCs w:val="24"/>
                <w:highlight w:val="none"/>
              </w:rPr>
            </w:pPr>
            <w:r>
              <w:rPr>
                <w:rFonts w:hint="eastAsia"/>
                <w:sz w:val="24"/>
                <w:szCs w:val="24"/>
                <w:highlight w:val="none"/>
                <w:lang w:val="en-US" w:eastAsia="en-US" w:bidi="en-US"/>
              </w:rPr>
              <w:t xml:space="preserve">★ A0201060104 </w:t>
            </w:r>
            <w:r>
              <w:rPr>
                <w:rFonts w:hint="eastAsia"/>
                <w:sz w:val="24"/>
                <w:szCs w:val="24"/>
                <w:highlight w:val="none"/>
              </w:rPr>
              <w:t>针式打印机</w:t>
            </w:r>
          </w:p>
        </w:tc>
        <w:tc>
          <w:tcPr>
            <w:tcW w:w="3628" w:type="dxa"/>
            <w:vAlign w:val="center"/>
          </w:tcPr>
          <w:p w14:paraId="0B5FDECE">
            <w:pPr>
              <w:pStyle w:val="46"/>
              <w:spacing w:line="240" w:lineRule="auto"/>
              <w:jc w:val="center"/>
              <w:rPr>
                <w:sz w:val="24"/>
                <w:szCs w:val="24"/>
                <w:highlight w:val="none"/>
              </w:rPr>
            </w:pPr>
            <w:r>
              <w:rPr>
                <w:rFonts w:hint="eastAsia"/>
                <w:sz w:val="24"/>
                <w:szCs w:val="24"/>
                <w:highlight w:val="none"/>
              </w:rPr>
              <w:t>《复印机、打印机和传真机能效限 定值及能效等级》</w:t>
            </w:r>
            <w:r>
              <w:rPr>
                <w:rFonts w:hint="eastAsia"/>
                <w:sz w:val="24"/>
                <w:szCs w:val="24"/>
                <w:highlight w:val="none"/>
                <w:lang w:val="en-US" w:eastAsia="zh-CN" w:bidi="en-US"/>
              </w:rPr>
              <w:t xml:space="preserve">（GB </w:t>
            </w:r>
            <w:r>
              <w:rPr>
                <w:rFonts w:hint="eastAsia"/>
                <w:sz w:val="24"/>
                <w:szCs w:val="24"/>
                <w:highlight w:val="none"/>
              </w:rPr>
              <w:t>21521）</w:t>
            </w:r>
          </w:p>
        </w:tc>
      </w:tr>
      <w:tr w14:paraId="76B83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73" w:hRule="exact"/>
          <w:jc w:val="center"/>
        </w:trPr>
        <w:tc>
          <w:tcPr>
            <w:tcW w:w="583" w:type="dxa"/>
            <w:vMerge w:val="continue"/>
            <w:vAlign w:val="center"/>
          </w:tcPr>
          <w:p w14:paraId="4BF48201">
            <w:pPr>
              <w:jc w:val="center"/>
              <w:rPr>
                <w:rFonts w:ascii="宋体" w:hAnsi="宋体" w:cs="宋体"/>
                <w:sz w:val="24"/>
                <w:szCs w:val="24"/>
                <w:highlight w:val="none"/>
                <w:lang w:eastAsia="zh-CN"/>
              </w:rPr>
            </w:pPr>
          </w:p>
        </w:tc>
        <w:tc>
          <w:tcPr>
            <w:tcW w:w="1167" w:type="dxa"/>
            <w:vMerge w:val="continue"/>
            <w:vAlign w:val="center"/>
          </w:tcPr>
          <w:p w14:paraId="7E2C4CC8">
            <w:pPr>
              <w:jc w:val="center"/>
              <w:rPr>
                <w:rFonts w:ascii="宋体" w:hAnsi="宋体" w:cs="宋体"/>
                <w:sz w:val="24"/>
                <w:szCs w:val="24"/>
                <w:highlight w:val="none"/>
                <w:lang w:eastAsia="zh-CN"/>
              </w:rPr>
            </w:pPr>
          </w:p>
        </w:tc>
        <w:tc>
          <w:tcPr>
            <w:tcW w:w="1783" w:type="dxa"/>
            <w:vAlign w:val="center"/>
          </w:tcPr>
          <w:p w14:paraId="048A8E7E">
            <w:pPr>
              <w:pStyle w:val="46"/>
              <w:spacing w:line="240" w:lineRule="auto"/>
              <w:jc w:val="center"/>
              <w:rPr>
                <w:sz w:val="24"/>
                <w:szCs w:val="24"/>
                <w:highlight w:val="none"/>
              </w:rPr>
            </w:pPr>
            <w:r>
              <w:rPr>
                <w:rFonts w:hint="eastAsia"/>
                <w:sz w:val="24"/>
                <w:szCs w:val="24"/>
                <w:highlight w:val="none"/>
                <w:lang w:val="en-US" w:eastAsia="en-US" w:bidi="en-US"/>
              </w:rPr>
              <w:t>A02010604</w:t>
            </w:r>
            <w:r>
              <w:rPr>
                <w:rFonts w:hint="eastAsia"/>
                <w:sz w:val="24"/>
                <w:szCs w:val="24"/>
                <w:highlight w:val="none"/>
              </w:rPr>
              <w:t>显示设备</w:t>
            </w:r>
          </w:p>
        </w:tc>
        <w:tc>
          <w:tcPr>
            <w:tcW w:w="1877" w:type="dxa"/>
            <w:vAlign w:val="center"/>
          </w:tcPr>
          <w:p w14:paraId="528938BC">
            <w:pPr>
              <w:pStyle w:val="46"/>
              <w:spacing w:line="240" w:lineRule="auto"/>
              <w:jc w:val="center"/>
              <w:rPr>
                <w:sz w:val="24"/>
                <w:szCs w:val="24"/>
                <w:highlight w:val="none"/>
              </w:rPr>
            </w:pPr>
            <w:r>
              <w:rPr>
                <w:rFonts w:hint="eastAsia"/>
                <w:sz w:val="24"/>
                <w:szCs w:val="24"/>
                <w:highlight w:val="none"/>
                <w:lang w:val="en-US" w:eastAsia="en-US" w:bidi="en-US"/>
              </w:rPr>
              <w:t xml:space="preserve">★ A0201060401 </w:t>
            </w:r>
            <w:r>
              <w:rPr>
                <w:rFonts w:hint="eastAsia"/>
                <w:sz w:val="24"/>
                <w:szCs w:val="24"/>
                <w:highlight w:val="none"/>
              </w:rPr>
              <w:t>液晶显示器</w:t>
            </w:r>
          </w:p>
        </w:tc>
        <w:tc>
          <w:tcPr>
            <w:tcW w:w="3628" w:type="dxa"/>
            <w:vAlign w:val="center"/>
          </w:tcPr>
          <w:p w14:paraId="755270A4">
            <w:pPr>
              <w:pStyle w:val="46"/>
              <w:spacing w:line="240" w:lineRule="auto"/>
              <w:jc w:val="center"/>
              <w:rPr>
                <w:sz w:val="24"/>
                <w:szCs w:val="24"/>
                <w:highlight w:val="none"/>
              </w:rPr>
            </w:pPr>
            <w:r>
              <w:rPr>
                <w:rFonts w:hint="eastAsia"/>
                <w:sz w:val="24"/>
                <w:szCs w:val="24"/>
                <w:highlight w:val="none"/>
              </w:rPr>
              <w:t>《计算机显示器能效限定值及能 效等级》</w:t>
            </w:r>
            <w:r>
              <w:rPr>
                <w:rFonts w:hint="eastAsia"/>
                <w:sz w:val="24"/>
                <w:szCs w:val="24"/>
                <w:highlight w:val="none"/>
                <w:lang w:val="en-US" w:eastAsia="zh-CN" w:bidi="en-US"/>
              </w:rPr>
              <w:t xml:space="preserve">（GB </w:t>
            </w:r>
            <w:r>
              <w:rPr>
                <w:rFonts w:hint="eastAsia"/>
                <w:sz w:val="24"/>
                <w:szCs w:val="24"/>
                <w:highlight w:val="none"/>
              </w:rPr>
              <w:t>21520）</w:t>
            </w:r>
          </w:p>
        </w:tc>
      </w:tr>
      <w:tr w14:paraId="4C688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63" w:hRule="exact"/>
          <w:jc w:val="center"/>
        </w:trPr>
        <w:tc>
          <w:tcPr>
            <w:tcW w:w="583" w:type="dxa"/>
            <w:vMerge w:val="continue"/>
            <w:vAlign w:val="center"/>
          </w:tcPr>
          <w:p w14:paraId="140D786D">
            <w:pPr>
              <w:jc w:val="center"/>
              <w:rPr>
                <w:rFonts w:ascii="宋体" w:hAnsi="宋体" w:cs="宋体"/>
                <w:sz w:val="24"/>
                <w:szCs w:val="24"/>
                <w:highlight w:val="none"/>
                <w:lang w:eastAsia="zh-CN"/>
              </w:rPr>
            </w:pPr>
          </w:p>
        </w:tc>
        <w:tc>
          <w:tcPr>
            <w:tcW w:w="1167" w:type="dxa"/>
            <w:vMerge w:val="continue"/>
            <w:vAlign w:val="center"/>
          </w:tcPr>
          <w:p w14:paraId="63D1AC50">
            <w:pPr>
              <w:jc w:val="center"/>
              <w:rPr>
                <w:rFonts w:ascii="宋体" w:hAnsi="宋体" w:cs="宋体"/>
                <w:sz w:val="24"/>
                <w:szCs w:val="24"/>
                <w:highlight w:val="none"/>
                <w:lang w:eastAsia="zh-CN"/>
              </w:rPr>
            </w:pPr>
          </w:p>
        </w:tc>
        <w:tc>
          <w:tcPr>
            <w:tcW w:w="1783" w:type="dxa"/>
            <w:vAlign w:val="center"/>
          </w:tcPr>
          <w:p w14:paraId="7DCC542C">
            <w:pPr>
              <w:pStyle w:val="46"/>
              <w:spacing w:line="240" w:lineRule="auto"/>
              <w:jc w:val="center"/>
              <w:rPr>
                <w:sz w:val="24"/>
                <w:szCs w:val="24"/>
                <w:highlight w:val="none"/>
              </w:rPr>
            </w:pPr>
            <w:r>
              <w:rPr>
                <w:rFonts w:hint="eastAsia"/>
                <w:sz w:val="24"/>
                <w:szCs w:val="24"/>
                <w:highlight w:val="none"/>
                <w:lang w:val="en-US" w:eastAsia="en-US" w:bidi="en-US"/>
              </w:rPr>
              <w:t>A02010609</w:t>
            </w:r>
            <w:r>
              <w:rPr>
                <w:rFonts w:hint="eastAsia"/>
                <w:sz w:val="24"/>
                <w:szCs w:val="24"/>
                <w:highlight w:val="none"/>
              </w:rPr>
              <w:t>图形图像输入设备</w:t>
            </w:r>
          </w:p>
        </w:tc>
        <w:tc>
          <w:tcPr>
            <w:tcW w:w="1877" w:type="dxa"/>
            <w:vAlign w:val="center"/>
          </w:tcPr>
          <w:p w14:paraId="22C61765">
            <w:pPr>
              <w:pStyle w:val="46"/>
              <w:spacing w:line="240" w:lineRule="auto"/>
              <w:jc w:val="center"/>
              <w:rPr>
                <w:sz w:val="24"/>
                <w:szCs w:val="24"/>
                <w:highlight w:val="none"/>
              </w:rPr>
            </w:pPr>
            <w:r>
              <w:rPr>
                <w:rFonts w:hint="eastAsia"/>
                <w:sz w:val="24"/>
                <w:szCs w:val="24"/>
                <w:highlight w:val="none"/>
                <w:lang w:val="en-US" w:eastAsia="en-US" w:bidi="en-US"/>
              </w:rPr>
              <w:t xml:space="preserve">A0201060901 </w:t>
            </w:r>
            <w:r>
              <w:rPr>
                <w:rFonts w:hint="eastAsia"/>
                <w:sz w:val="24"/>
                <w:szCs w:val="24"/>
                <w:highlight w:val="none"/>
              </w:rPr>
              <w:t>扫描仪</w:t>
            </w:r>
          </w:p>
        </w:tc>
        <w:tc>
          <w:tcPr>
            <w:tcW w:w="3628" w:type="dxa"/>
            <w:vAlign w:val="center"/>
          </w:tcPr>
          <w:p w14:paraId="247C3777">
            <w:pPr>
              <w:pStyle w:val="46"/>
              <w:spacing w:line="240" w:lineRule="auto"/>
              <w:jc w:val="center"/>
              <w:rPr>
                <w:sz w:val="24"/>
                <w:szCs w:val="24"/>
                <w:highlight w:val="none"/>
              </w:rPr>
            </w:pPr>
            <w:r>
              <w:rPr>
                <w:rFonts w:hint="eastAsia"/>
                <w:sz w:val="24"/>
                <w:szCs w:val="24"/>
                <w:highlight w:val="none"/>
              </w:rPr>
              <w:t>参照《复印机、打印机和传真机能 效限定值及能效等级》</w:t>
            </w:r>
            <w:r>
              <w:rPr>
                <w:rFonts w:hint="eastAsia"/>
                <w:sz w:val="24"/>
                <w:szCs w:val="24"/>
                <w:highlight w:val="none"/>
                <w:lang w:val="en-US" w:eastAsia="zh-CN" w:bidi="en-US"/>
              </w:rPr>
              <w:t xml:space="preserve">（GB </w:t>
            </w:r>
            <w:r>
              <w:rPr>
                <w:rFonts w:hint="eastAsia"/>
                <w:sz w:val="24"/>
                <w:szCs w:val="24"/>
                <w:highlight w:val="none"/>
              </w:rPr>
              <w:t>21521） 中打印速度为15页/分的针式打 印机相关要求</w:t>
            </w:r>
          </w:p>
        </w:tc>
      </w:tr>
      <w:tr w14:paraId="75133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82" w:hRule="exact"/>
          <w:jc w:val="center"/>
        </w:trPr>
        <w:tc>
          <w:tcPr>
            <w:tcW w:w="583" w:type="dxa"/>
            <w:vAlign w:val="center"/>
          </w:tcPr>
          <w:p w14:paraId="60D3A573">
            <w:pPr>
              <w:pStyle w:val="46"/>
              <w:spacing w:line="240" w:lineRule="auto"/>
              <w:jc w:val="center"/>
              <w:rPr>
                <w:sz w:val="24"/>
                <w:szCs w:val="24"/>
                <w:highlight w:val="none"/>
              </w:rPr>
            </w:pPr>
            <w:r>
              <w:rPr>
                <w:rFonts w:hint="eastAsia"/>
                <w:sz w:val="24"/>
                <w:szCs w:val="24"/>
                <w:highlight w:val="none"/>
              </w:rPr>
              <w:t>3</w:t>
            </w:r>
          </w:p>
        </w:tc>
        <w:tc>
          <w:tcPr>
            <w:tcW w:w="1167" w:type="dxa"/>
            <w:vAlign w:val="center"/>
          </w:tcPr>
          <w:p w14:paraId="327F1A79">
            <w:pPr>
              <w:pStyle w:val="46"/>
              <w:spacing w:line="240" w:lineRule="auto"/>
              <w:jc w:val="center"/>
              <w:rPr>
                <w:sz w:val="24"/>
                <w:szCs w:val="24"/>
                <w:highlight w:val="none"/>
              </w:rPr>
            </w:pPr>
            <w:r>
              <w:rPr>
                <w:rFonts w:hint="eastAsia"/>
                <w:sz w:val="24"/>
                <w:szCs w:val="24"/>
                <w:highlight w:val="none"/>
                <w:lang w:val="en-US" w:eastAsia="en-US" w:bidi="en-US"/>
              </w:rPr>
              <w:t>A020202</w:t>
            </w:r>
            <w:r>
              <w:rPr>
                <w:rFonts w:hint="eastAsia"/>
                <w:sz w:val="24"/>
                <w:szCs w:val="24"/>
                <w:highlight w:val="none"/>
              </w:rPr>
              <w:t>投影仪</w:t>
            </w:r>
          </w:p>
        </w:tc>
        <w:tc>
          <w:tcPr>
            <w:tcW w:w="1783" w:type="dxa"/>
            <w:vAlign w:val="center"/>
          </w:tcPr>
          <w:p w14:paraId="51276ACC">
            <w:pPr>
              <w:jc w:val="center"/>
              <w:rPr>
                <w:rFonts w:ascii="宋体" w:hAnsi="宋体" w:cs="宋体"/>
                <w:sz w:val="24"/>
                <w:szCs w:val="24"/>
                <w:highlight w:val="none"/>
              </w:rPr>
            </w:pPr>
          </w:p>
        </w:tc>
        <w:tc>
          <w:tcPr>
            <w:tcW w:w="1877" w:type="dxa"/>
            <w:vAlign w:val="center"/>
          </w:tcPr>
          <w:p w14:paraId="703901F4">
            <w:pPr>
              <w:jc w:val="center"/>
              <w:rPr>
                <w:rFonts w:ascii="宋体" w:hAnsi="宋体" w:cs="宋体"/>
                <w:sz w:val="24"/>
                <w:szCs w:val="24"/>
                <w:highlight w:val="none"/>
              </w:rPr>
            </w:pPr>
          </w:p>
        </w:tc>
        <w:tc>
          <w:tcPr>
            <w:tcW w:w="3628" w:type="dxa"/>
            <w:vAlign w:val="center"/>
          </w:tcPr>
          <w:p w14:paraId="560CD26B">
            <w:pPr>
              <w:pStyle w:val="46"/>
              <w:spacing w:line="240" w:lineRule="auto"/>
              <w:jc w:val="center"/>
              <w:rPr>
                <w:sz w:val="24"/>
                <w:szCs w:val="24"/>
                <w:highlight w:val="none"/>
              </w:rPr>
            </w:pPr>
            <w:r>
              <w:rPr>
                <w:rFonts w:hint="eastAsia"/>
                <w:sz w:val="24"/>
                <w:szCs w:val="24"/>
                <w:highlight w:val="none"/>
              </w:rPr>
              <w:t>《投影机能效限定值及能效等级》</w:t>
            </w:r>
          </w:p>
          <w:p w14:paraId="44F1388C">
            <w:pPr>
              <w:pStyle w:val="46"/>
              <w:spacing w:line="240" w:lineRule="auto"/>
              <w:jc w:val="center"/>
              <w:rPr>
                <w:sz w:val="24"/>
                <w:szCs w:val="24"/>
                <w:highlight w:val="none"/>
              </w:rPr>
            </w:pPr>
            <w:r>
              <w:rPr>
                <w:rFonts w:hint="eastAsia"/>
                <w:sz w:val="24"/>
                <w:szCs w:val="24"/>
                <w:highlight w:val="none"/>
                <w:lang w:val="en-US" w:eastAsia="en-US" w:bidi="en-US"/>
              </w:rPr>
              <w:t xml:space="preserve">（GB </w:t>
            </w:r>
            <w:r>
              <w:rPr>
                <w:rFonts w:hint="eastAsia"/>
                <w:sz w:val="24"/>
                <w:szCs w:val="24"/>
                <w:highlight w:val="none"/>
              </w:rPr>
              <w:t>32028）</w:t>
            </w:r>
          </w:p>
        </w:tc>
      </w:tr>
      <w:tr w14:paraId="4D1EE3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73" w:hRule="exact"/>
          <w:jc w:val="center"/>
        </w:trPr>
        <w:tc>
          <w:tcPr>
            <w:tcW w:w="583" w:type="dxa"/>
            <w:vAlign w:val="center"/>
          </w:tcPr>
          <w:p w14:paraId="7E72607E">
            <w:pPr>
              <w:pStyle w:val="46"/>
              <w:spacing w:line="240" w:lineRule="auto"/>
              <w:jc w:val="center"/>
              <w:rPr>
                <w:sz w:val="24"/>
                <w:szCs w:val="24"/>
                <w:highlight w:val="none"/>
              </w:rPr>
            </w:pPr>
            <w:r>
              <w:rPr>
                <w:rFonts w:hint="eastAsia"/>
                <w:sz w:val="24"/>
                <w:szCs w:val="24"/>
                <w:highlight w:val="none"/>
              </w:rPr>
              <w:t>4</w:t>
            </w:r>
          </w:p>
        </w:tc>
        <w:tc>
          <w:tcPr>
            <w:tcW w:w="1167" w:type="dxa"/>
            <w:vAlign w:val="center"/>
          </w:tcPr>
          <w:p w14:paraId="04ECCB45">
            <w:pPr>
              <w:pStyle w:val="46"/>
              <w:spacing w:line="240" w:lineRule="auto"/>
              <w:jc w:val="center"/>
              <w:rPr>
                <w:sz w:val="24"/>
                <w:szCs w:val="24"/>
                <w:highlight w:val="none"/>
              </w:rPr>
            </w:pPr>
            <w:r>
              <w:rPr>
                <w:rFonts w:hint="eastAsia"/>
                <w:sz w:val="24"/>
                <w:szCs w:val="24"/>
                <w:highlight w:val="none"/>
                <w:lang w:val="en-US" w:eastAsia="en-US" w:bidi="en-US"/>
              </w:rPr>
              <w:t xml:space="preserve">A020204 </w:t>
            </w:r>
            <w:r>
              <w:rPr>
                <w:rFonts w:hint="eastAsia"/>
                <w:sz w:val="24"/>
                <w:szCs w:val="24"/>
                <w:highlight w:val="none"/>
              </w:rPr>
              <w:t>多功能一体机</w:t>
            </w:r>
          </w:p>
        </w:tc>
        <w:tc>
          <w:tcPr>
            <w:tcW w:w="1783" w:type="dxa"/>
            <w:vAlign w:val="center"/>
          </w:tcPr>
          <w:p w14:paraId="0B3ED589">
            <w:pPr>
              <w:jc w:val="center"/>
              <w:rPr>
                <w:rFonts w:ascii="宋体" w:hAnsi="宋体" w:cs="宋体"/>
                <w:sz w:val="24"/>
                <w:szCs w:val="24"/>
                <w:highlight w:val="none"/>
              </w:rPr>
            </w:pPr>
          </w:p>
        </w:tc>
        <w:tc>
          <w:tcPr>
            <w:tcW w:w="1877" w:type="dxa"/>
            <w:vAlign w:val="center"/>
          </w:tcPr>
          <w:p w14:paraId="0492967B">
            <w:pPr>
              <w:jc w:val="center"/>
              <w:rPr>
                <w:rFonts w:ascii="宋体" w:hAnsi="宋体" w:cs="宋体"/>
                <w:sz w:val="24"/>
                <w:szCs w:val="24"/>
                <w:highlight w:val="none"/>
              </w:rPr>
            </w:pPr>
          </w:p>
        </w:tc>
        <w:tc>
          <w:tcPr>
            <w:tcW w:w="3628" w:type="dxa"/>
            <w:vAlign w:val="center"/>
          </w:tcPr>
          <w:p w14:paraId="06A39885">
            <w:pPr>
              <w:pStyle w:val="46"/>
              <w:spacing w:line="240" w:lineRule="auto"/>
              <w:jc w:val="center"/>
              <w:rPr>
                <w:sz w:val="24"/>
                <w:szCs w:val="24"/>
                <w:highlight w:val="none"/>
              </w:rPr>
            </w:pPr>
            <w:r>
              <w:rPr>
                <w:rFonts w:hint="eastAsia"/>
                <w:sz w:val="24"/>
                <w:szCs w:val="24"/>
                <w:highlight w:val="none"/>
              </w:rPr>
              <w:t>《复印机、打印机和传真机能效限 定值及能效等级》</w:t>
            </w:r>
            <w:r>
              <w:rPr>
                <w:rFonts w:hint="eastAsia"/>
                <w:sz w:val="24"/>
                <w:szCs w:val="24"/>
                <w:highlight w:val="none"/>
                <w:lang w:val="en-US" w:eastAsia="zh-CN" w:bidi="en-US"/>
              </w:rPr>
              <w:t xml:space="preserve">（GB </w:t>
            </w:r>
            <w:r>
              <w:rPr>
                <w:rFonts w:hint="eastAsia"/>
                <w:sz w:val="24"/>
                <w:szCs w:val="24"/>
                <w:highlight w:val="none"/>
              </w:rPr>
              <w:t>21521）</w:t>
            </w:r>
          </w:p>
        </w:tc>
      </w:tr>
      <w:tr w14:paraId="210A11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43" w:hRule="exact"/>
          <w:jc w:val="center"/>
        </w:trPr>
        <w:tc>
          <w:tcPr>
            <w:tcW w:w="583" w:type="dxa"/>
            <w:vAlign w:val="center"/>
          </w:tcPr>
          <w:p w14:paraId="35146138">
            <w:pPr>
              <w:pStyle w:val="46"/>
              <w:spacing w:line="240" w:lineRule="auto"/>
              <w:jc w:val="center"/>
              <w:rPr>
                <w:sz w:val="24"/>
                <w:szCs w:val="24"/>
                <w:highlight w:val="none"/>
              </w:rPr>
            </w:pPr>
            <w:r>
              <w:rPr>
                <w:rFonts w:hint="eastAsia"/>
                <w:sz w:val="24"/>
                <w:szCs w:val="24"/>
                <w:highlight w:val="none"/>
              </w:rPr>
              <w:t>5</w:t>
            </w:r>
          </w:p>
        </w:tc>
        <w:tc>
          <w:tcPr>
            <w:tcW w:w="1167" w:type="dxa"/>
            <w:vAlign w:val="center"/>
          </w:tcPr>
          <w:p w14:paraId="69E26FB7">
            <w:pPr>
              <w:pStyle w:val="46"/>
              <w:spacing w:line="240" w:lineRule="auto"/>
              <w:jc w:val="center"/>
              <w:rPr>
                <w:sz w:val="24"/>
                <w:szCs w:val="24"/>
                <w:highlight w:val="none"/>
              </w:rPr>
            </w:pPr>
            <w:r>
              <w:rPr>
                <w:rFonts w:hint="eastAsia"/>
                <w:sz w:val="24"/>
                <w:szCs w:val="24"/>
                <w:highlight w:val="none"/>
                <w:lang w:val="en-US" w:eastAsia="en-US" w:bidi="en-US"/>
              </w:rPr>
              <w:t>A020519</w:t>
            </w:r>
            <w:r>
              <w:rPr>
                <w:rFonts w:hint="eastAsia"/>
                <w:sz w:val="24"/>
                <w:szCs w:val="24"/>
                <w:highlight w:val="none"/>
              </w:rPr>
              <w:t>泵</w:t>
            </w:r>
          </w:p>
        </w:tc>
        <w:tc>
          <w:tcPr>
            <w:tcW w:w="1783" w:type="dxa"/>
            <w:vAlign w:val="center"/>
          </w:tcPr>
          <w:p w14:paraId="2EE4BF89">
            <w:pPr>
              <w:pStyle w:val="46"/>
              <w:spacing w:line="240" w:lineRule="auto"/>
              <w:jc w:val="center"/>
              <w:rPr>
                <w:sz w:val="24"/>
                <w:szCs w:val="24"/>
                <w:highlight w:val="none"/>
              </w:rPr>
            </w:pPr>
            <w:r>
              <w:rPr>
                <w:rFonts w:hint="eastAsia"/>
                <w:sz w:val="24"/>
                <w:szCs w:val="24"/>
                <w:highlight w:val="none"/>
                <w:lang w:val="en-US" w:eastAsia="en-US" w:bidi="en-US"/>
              </w:rPr>
              <w:t>A02051901</w:t>
            </w:r>
            <w:r>
              <w:rPr>
                <w:rFonts w:hint="eastAsia"/>
                <w:sz w:val="24"/>
                <w:szCs w:val="24"/>
                <w:highlight w:val="none"/>
              </w:rPr>
              <w:t>离心泵</w:t>
            </w:r>
          </w:p>
        </w:tc>
        <w:tc>
          <w:tcPr>
            <w:tcW w:w="1877" w:type="dxa"/>
            <w:vAlign w:val="center"/>
          </w:tcPr>
          <w:p w14:paraId="1894AE82">
            <w:pPr>
              <w:jc w:val="center"/>
              <w:rPr>
                <w:rFonts w:ascii="宋体" w:hAnsi="宋体" w:cs="宋体"/>
                <w:sz w:val="24"/>
                <w:szCs w:val="24"/>
                <w:highlight w:val="none"/>
              </w:rPr>
            </w:pPr>
          </w:p>
        </w:tc>
        <w:tc>
          <w:tcPr>
            <w:tcW w:w="3628" w:type="dxa"/>
            <w:vAlign w:val="center"/>
          </w:tcPr>
          <w:p w14:paraId="1AF76C7F">
            <w:pPr>
              <w:pStyle w:val="46"/>
              <w:spacing w:line="240" w:lineRule="auto"/>
              <w:jc w:val="center"/>
              <w:rPr>
                <w:sz w:val="24"/>
                <w:szCs w:val="24"/>
                <w:highlight w:val="none"/>
              </w:rPr>
            </w:pPr>
            <w:r>
              <w:rPr>
                <w:rFonts w:hint="eastAsia"/>
                <w:sz w:val="24"/>
                <w:szCs w:val="24"/>
                <w:highlight w:val="none"/>
              </w:rPr>
              <w:t>《清水离心泵能效限定值及节能 评价值》</w:t>
            </w:r>
            <w:r>
              <w:rPr>
                <w:rFonts w:hint="eastAsia"/>
                <w:sz w:val="24"/>
                <w:szCs w:val="24"/>
                <w:highlight w:val="none"/>
                <w:lang w:val="en-US" w:eastAsia="zh-CN" w:bidi="en-US"/>
              </w:rPr>
              <w:t xml:space="preserve">（GB </w:t>
            </w:r>
            <w:r>
              <w:rPr>
                <w:rFonts w:hint="eastAsia"/>
                <w:sz w:val="24"/>
                <w:szCs w:val="24"/>
                <w:highlight w:val="none"/>
              </w:rPr>
              <w:t>19762）</w:t>
            </w:r>
          </w:p>
        </w:tc>
      </w:tr>
      <w:tr w14:paraId="02F3A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25" w:hRule="exact"/>
          <w:jc w:val="center"/>
        </w:trPr>
        <w:tc>
          <w:tcPr>
            <w:tcW w:w="583" w:type="dxa"/>
            <w:vMerge w:val="restart"/>
            <w:vAlign w:val="center"/>
          </w:tcPr>
          <w:p w14:paraId="1A5286D5">
            <w:pPr>
              <w:pStyle w:val="46"/>
              <w:spacing w:line="240" w:lineRule="auto"/>
              <w:jc w:val="center"/>
              <w:rPr>
                <w:sz w:val="24"/>
                <w:szCs w:val="24"/>
                <w:highlight w:val="none"/>
              </w:rPr>
            </w:pPr>
            <w:r>
              <w:rPr>
                <w:rFonts w:hint="eastAsia"/>
                <w:sz w:val="24"/>
                <w:szCs w:val="24"/>
                <w:highlight w:val="none"/>
              </w:rPr>
              <w:t>6</w:t>
            </w:r>
          </w:p>
        </w:tc>
        <w:tc>
          <w:tcPr>
            <w:tcW w:w="1167" w:type="dxa"/>
            <w:vMerge w:val="restart"/>
            <w:vAlign w:val="center"/>
          </w:tcPr>
          <w:p w14:paraId="6B0B6833">
            <w:pPr>
              <w:pStyle w:val="46"/>
              <w:spacing w:line="240" w:lineRule="auto"/>
              <w:jc w:val="center"/>
              <w:rPr>
                <w:sz w:val="24"/>
                <w:szCs w:val="24"/>
                <w:highlight w:val="none"/>
              </w:rPr>
            </w:pPr>
            <w:r>
              <w:rPr>
                <w:rFonts w:hint="eastAsia"/>
                <w:sz w:val="24"/>
                <w:szCs w:val="24"/>
                <w:highlight w:val="none"/>
                <w:lang w:val="en-US" w:eastAsia="en-US" w:bidi="en-US"/>
              </w:rPr>
              <w:t xml:space="preserve">A020523 </w:t>
            </w:r>
            <w:r>
              <w:rPr>
                <w:rFonts w:hint="eastAsia"/>
                <w:sz w:val="24"/>
                <w:szCs w:val="24"/>
                <w:highlight w:val="none"/>
              </w:rPr>
              <w:t>制冷空调设备</w:t>
            </w:r>
          </w:p>
        </w:tc>
        <w:tc>
          <w:tcPr>
            <w:tcW w:w="1783" w:type="dxa"/>
            <w:vMerge w:val="restart"/>
            <w:vAlign w:val="center"/>
          </w:tcPr>
          <w:p w14:paraId="2FA97007">
            <w:pPr>
              <w:pStyle w:val="46"/>
              <w:spacing w:line="240" w:lineRule="auto"/>
              <w:jc w:val="center"/>
              <w:rPr>
                <w:sz w:val="24"/>
                <w:szCs w:val="24"/>
                <w:highlight w:val="none"/>
              </w:rPr>
            </w:pPr>
            <w:r>
              <w:rPr>
                <w:rFonts w:hint="eastAsia"/>
                <w:sz w:val="24"/>
                <w:szCs w:val="24"/>
                <w:highlight w:val="none"/>
                <w:lang w:val="en-US" w:eastAsia="en-US" w:bidi="en-US"/>
              </w:rPr>
              <w:t xml:space="preserve">★A02052301 </w:t>
            </w:r>
            <w:r>
              <w:rPr>
                <w:rFonts w:hint="eastAsia"/>
                <w:sz w:val="24"/>
                <w:szCs w:val="24"/>
                <w:highlight w:val="none"/>
              </w:rPr>
              <w:t>制冷压缩机</w:t>
            </w:r>
          </w:p>
        </w:tc>
        <w:tc>
          <w:tcPr>
            <w:tcW w:w="1877" w:type="dxa"/>
            <w:vAlign w:val="center"/>
          </w:tcPr>
          <w:p w14:paraId="123B8DFE">
            <w:pPr>
              <w:pStyle w:val="46"/>
              <w:spacing w:line="240" w:lineRule="auto"/>
              <w:jc w:val="center"/>
              <w:rPr>
                <w:sz w:val="24"/>
                <w:szCs w:val="24"/>
                <w:highlight w:val="none"/>
              </w:rPr>
            </w:pPr>
            <w:r>
              <w:rPr>
                <w:rFonts w:hint="eastAsia"/>
                <w:sz w:val="24"/>
                <w:szCs w:val="24"/>
                <w:highlight w:val="none"/>
              </w:rPr>
              <w:t>冷水机组</w:t>
            </w:r>
          </w:p>
        </w:tc>
        <w:tc>
          <w:tcPr>
            <w:tcW w:w="3628" w:type="dxa"/>
            <w:vAlign w:val="center"/>
          </w:tcPr>
          <w:p w14:paraId="11C30DC3">
            <w:pPr>
              <w:pStyle w:val="46"/>
              <w:spacing w:line="240" w:lineRule="auto"/>
              <w:jc w:val="center"/>
              <w:rPr>
                <w:sz w:val="24"/>
                <w:szCs w:val="24"/>
                <w:highlight w:val="none"/>
              </w:rPr>
            </w:pPr>
            <w:r>
              <w:rPr>
                <w:rFonts w:hint="eastAsia"/>
                <w:sz w:val="24"/>
                <w:szCs w:val="24"/>
                <w:highlight w:val="none"/>
              </w:rPr>
              <w:t>《冷水机组能效限定值及能效等 级》</w:t>
            </w:r>
            <w:r>
              <w:rPr>
                <w:rFonts w:hint="eastAsia"/>
                <w:sz w:val="24"/>
                <w:szCs w:val="24"/>
                <w:highlight w:val="none"/>
                <w:lang w:val="en-US" w:eastAsia="zh-CN" w:bidi="en-US"/>
              </w:rPr>
              <w:t xml:space="preserve">（GB </w:t>
            </w:r>
            <w:r>
              <w:rPr>
                <w:rFonts w:hint="eastAsia"/>
                <w:sz w:val="24"/>
                <w:szCs w:val="24"/>
                <w:highlight w:val="none"/>
              </w:rPr>
              <w:t>19577）</w:t>
            </w:r>
            <w:r>
              <w:rPr>
                <w:rFonts w:hint="eastAsia"/>
                <w:sz w:val="24"/>
                <w:szCs w:val="24"/>
                <w:highlight w:val="none"/>
                <w:lang w:eastAsia="zh-CN"/>
              </w:rPr>
              <w:t>，</w:t>
            </w:r>
            <w:r>
              <w:rPr>
                <w:rFonts w:hint="eastAsia"/>
                <w:sz w:val="24"/>
                <w:szCs w:val="24"/>
                <w:highlight w:val="none"/>
              </w:rPr>
              <w:t>《低环境温度 空气源热泵（冷水）机组能效限定 值及能效等级》</w:t>
            </w:r>
            <w:r>
              <w:rPr>
                <w:rFonts w:hint="eastAsia"/>
                <w:sz w:val="24"/>
                <w:szCs w:val="24"/>
                <w:highlight w:val="none"/>
                <w:lang w:val="en-US" w:eastAsia="zh-CN" w:bidi="en-US"/>
              </w:rPr>
              <w:t xml:space="preserve">（GB </w:t>
            </w:r>
            <w:r>
              <w:rPr>
                <w:rFonts w:hint="eastAsia"/>
                <w:sz w:val="24"/>
                <w:szCs w:val="24"/>
                <w:highlight w:val="none"/>
              </w:rPr>
              <w:t>37480）</w:t>
            </w:r>
          </w:p>
        </w:tc>
      </w:tr>
      <w:tr w14:paraId="1E58A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5836A4CE">
            <w:pPr>
              <w:jc w:val="center"/>
              <w:rPr>
                <w:rFonts w:ascii="宋体" w:hAnsi="宋体" w:cs="宋体"/>
                <w:sz w:val="24"/>
                <w:szCs w:val="24"/>
                <w:highlight w:val="none"/>
                <w:lang w:eastAsia="zh-CN"/>
              </w:rPr>
            </w:pPr>
          </w:p>
        </w:tc>
        <w:tc>
          <w:tcPr>
            <w:tcW w:w="1167" w:type="dxa"/>
            <w:vMerge w:val="continue"/>
            <w:vAlign w:val="center"/>
          </w:tcPr>
          <w:p w14:paraId="435D4961">
            <w:pPr>
              <w:jc w:val="center"/>
              <w:rPr>
                <w:rFonts w:ascii="宋体" w:hAnsi="宋体" w:cs="宋体"/>
                <w:sz w:val="24"/>
                <w:szCs w:val="24"/>
                <w:highlight w:val="none"/>
                <w:lang w:eastAsia="zh-CN"/>
              </w:rPr>
            </w:pPr>
          </w:p>
        </w:tc>
        <w:tc>
          <w:tcPr>
            <w:tcW w:w="1783" w:type="dxa"/>
            <w:vMerge w:val="continue"/>
            <w:vAlign w:val="center"/>
          </w:tcPr>
          <w:p w14:paraId="6CD4F736">
            <w:pPr>
              <w:jc w:val="center"/>
              <w:rPr>
                <w:rFonts w:ascii="宋体" w:hAnsi="宋体" w:cs="宋体"/>
                <w:sz w:val="24"/>
                <w:szCs w:val="24"/>
                <w:highlight w:val="none"/>
                <w:lang w:eastAsia="zh-CN"/>
              </w:rPr>
            </w:pPr>
          </w:p>
        </w:tc>
        <w:tc>
          <w:tcPr>
            <w:tcW w:w="1877" w:type="dxa"/>
            <w:vAlign w:val="center"/>
          </w:tcPr>
          <w:p w14:paraId="411CBED0">
            <w:pPr>
              <w:pStyle w:val="46"/>
              <w:spacing w:line="240" w:lineRule="auto"/>
              <w:jc w:val="center"/>
              <w:rPr>
                <w:sz w:val="24"/>
                <w:szCs w:val="24"/>
                <w:highlight w:val="none"/>
              </w:rPr>
            </w:pPr>
            <w:r>
              <w:rPr>
                <w:rFonts w:hint="eastAsia"/>
                <w:sz w:val="24"/>
                <w:szCs w:val="24"/>
                <w:highlight w:val="none"/>
              </w:rPr>
              <w:t>水源热泵机组</w:t>
            </w:r>
          </w:p>
        </w:tc>
        <w:tc>
          <w:tcPr>
            <w:tcW w:w="3628" w:type="dxa"/>
            <w:vAlign w:val="center"/>
          </w:tcPr>
          <w:p w14:paraId="06D1167F">
            <w:pPr>
              <w:pStyle w:val="46"/>
              <w:spacing w:line="240" w:lineRule="auto"/>
              <w:jc w:val="center"/>
              <w:rPr>
                <w:sz w:val="24"/>
                <w:szCs w:val="24"/>
                <w:highlight w:val="none"/>
              </w:rPr>
            </w:pPr>
            <w:r>
              <w:rPr>
                <w:rFonts w:hint="eastAsia"/>
                <w:sz w:val="24"/>
                <w:szCs w:val="24"/>
                <w:highlight w:val="none"/>
              </w:rPr>
              <w:t>《水（地）源热泵机组能效限定值 及能效等级》</w:t>
            </w:r>
            <w:r>
              <w:rPr>
                <w:rFonts w:hint="eastAsia"/>
                <w:sz w:val="24"/>
                <w:szCs w:val="24"/>
                <w:highlight w:val="none"/>
                <w:lang w:val="en-US" w:eastAsia="zh-CN" w:bidi="en-US"/>
              </w:rPr>
              <w:t xml:space="preserve">（GB </w:t>
            </w:r>
            <w:r>
              <w:rPr>
                <w:rFonts w:hint="eastAsia"/>
                <w:sz w:val="24"/>
                <w:szCs w:val="24"/>
                <w:highlight w:val="none"/>
              </w:rPr>
              <w:t>30721）</w:t>
            </w:r>
          </w:p>
        </w:tc>
      </w:tr>
      <w:tr w14:paraId="71714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4AEFC390">
            <w:pPr>
              <w:jc w:val="center"/>
              <w:rPr>
                <w:rFonts w:ascii="宋体" w:hAnsi="宋体" w:cs="宋体"/>
                <w:sz w:val="24"/>
                <w:szCs w:val="24"/>
                <w:highlight w:val="none"/>
                <w:lang w:eastAsia="zh-CN"/>
              </w:rPr>
            </w:pPr>
          </w:p>
        </w:tc>
        <w:tc>
          <w:tcPr>
            <w:tcW w:w="1167" w:type="dxa"/>
            <w:vMerge w:val="continue"/>
            <w:vAlign w:val="center"/>
          </w:tcPr>
          <w:p w14:paraId="6B2E4A9E">
            <w:pPr>
              <w:jc w:val="center"/>
              <w:rPr>
                <w:rFonts w:ascii="宋体" w:hAnsi="宋体" w:cs="宋体"/>
                <w:sz w:val="24"/>
                <w:szCs w:val="24"/>
                <w:highlight w:val="none"/>
                <w:lang w:eastAsia="zh-CN"/>
              </w:rPr>
            </w:pPr>
          </w:p>
        </w:tc>
        <w:tc>
          <w:tcPr>
            <w:tcW w:w="1783" w:type="dxa"/>
            <w:vAlign w:val="center"/>
          </w:tcPr>
          <w:p w14:paraId="69F19166">
            <w:pPr>
              <w:jc w:val="center"/>
              <w:rPr>
                <w:rFonts w:ascii="宋体" w:hAnsi="宋体" w:cs="宋体"/>
                <w:sz w:val="24"/>
                <w:szCs w:val="24"/>
                <w:highlight w:val="none"/>
                <w:lang w:eastAsia="zh-CN"/>
              </w:rPr>
            </w:pPr>
          </w:p>
        </w:tc>
        <w:tc>
          <w:tcPr>
            <w:tcW w:w="1877" w:type="dxa"/>
            <w:vAlign w:val="center"/>
          </w:tcPr>
          <w:p w14:paraId="7363D596">
            <w:pPr>
              <w:pStyle w:val="46"/>
              <w:spacing w:line="240" w:lineRule="auto"/>
              <w:jc w:val="center"/>
              <w:rPr>
                <w:sz w:val="24"/>
                <w:szCs w:val="24"/>
                <w:highlight w:val="none"/>
              </w:rPr>
            </w:pPr>
            <w:r>
              <w:rPr>
                <w:rFonts w:hint="eastAsia"/>
                <w:sz w:val="24"/>
                <w:szCs w:val="24"/>
                <w:highlight w:val="none"/>
              </w:rPr>
              <w:t>漠化锂吸收式冷水机 组</w:t>
            </w:r>
          </w:p>
        </w:tc>
        <w:tc>
          <w:tcPr>
            <w:tcW w:w="3628" w:type="dxa"/>
            <w:vAlign w:val="center"/>
          </w:tcPr>
          <w:p w14:paraId="5805CC09">
            <w:pPr>
              <w:pStyle w:val="46"/>
              <w:spacing w:line="240" w:lineRule="auto"/>
              <w:jc w:val="center"/>
              <w:rPr>
                <w:sz w:val="24"/>
                <w:szCs w:val="24"/>
                <w:highlight w:val="none"/>
              </w:rPr>
            </w:pPr>
            <w:r>
              <w:rPr>
                <w:rFonts w:hint="eastAsia"/>
                <w:sz w:val="24"/>
                <w:szCs w:val="24"/>
                <w:highlight w:val="none"/>
              </w:rPr>
              <w:t>《漠化锂吸收式冷水机组能效限 定值及能效等级》</w:t>
            </w:r>
            <w:r>
              <w:rPr>
                <w:rFonts w:hint="eastAsia"/>
                <w:sz w:val="24"/>
                <w:szCs w:val="24"/>
                <w:highlight w:val="none"/>
                <w:lang w:val="en-US" w:eastAsia="zh-CN" w:bidi="en-US"/>
              </w:rPr>
              <w:t xml:space="preserve">（GB </w:t>
            </w:r>
            <w:r>
              <w:rPr>
                <w:rFonts w:hint="eastAsia"/>
                <w:sz w:val="24"/>
                <w:szCs w:val="24"/>
                <w:highlight w:val="none"/>
              </w:rPr>
              <w:t>29540）</w:t>
            </w:r>
          </w:p>
        </w:tc>
      </w:tr>
      <w:tr w14:paraId="77D90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34" w:hRule="exact"/>
          <w:jc w:val="center"/>
        </w:trPr>
        <w:tc>
          <w:tcPr>
            <w:tcW w:w="583" w:type="dxa"/>
            <w:vMerge w:val="continue"/>
            <w:vAlign w:val="center"/>
          </w:tcPr>
          <w:p w14:paraId="21F7C23A">
            <w:pPr>
              <w:jc w:val="center"/>
              <w:rPr>
                <w:rFonts w:ascii="宋体" w:hAnsi="宋体" w:cs="宋体"/>
                <w:sz w:val="24"/>
                <w:szCs w:val="24"/>
                <w:highlight w:val="none"/>
                <w:lang w:eastAsia="zh-CN"/>
              </w:rPr>
            </w:pPr>
          </w:p>
        </w:tc>
        <w:tc>
          <w:tcPr>
            <w:tcW w:w="1167" w:type="dxa"/>
            <w:vMerge w:val="continue"/>
            <w:vAlign w:val="center"/>
          </w:tcPr>
          <w:p w14:paraId="38E2EFA1">
            <w:pPr>
              <w:jc w:val="center"/>
              <w:rPr>
                <w:rFonts w:ascii="宋体" w:hAnsi="宋体" w:cs="宋体"/>
                <w:sz w:val="24"/>
                <w:szCs w:val="24"/>
                <w:highlight w:val="none"/>
                <w:lang w:eastAsia="zh-CN"/>
              </w:rPr>
            </w:pPr>
          </w:p>
        </w:tc>
        <w:tc>
          <w:tcPr>
            <w:tcW w:w="1783" w:type="dxa"/>
            <w:vAlign w:val="center"/>
          </w:tcPr>
          <w:p w14:paraId="750FD50B">
            <w:pPr>
              <w:pStyle w:val="46"/>
              <w:spacing w:line="240" w:lineRule="auto"/>
              <w:jc w:val="center"/>
              <w:rPr>
                <w:sz w:val="24"/>
                <w:szCs w:val="24"/>
                <w:highlight w:val="none"/>
                <w:lang w:bidi="en-US"/>
              </w:rPr>
            </w:pPr>
            <w:r>
              <w:rPr>
                <w:rFonts w:hint="eastAsia"/>
                <w:sz w:val="24"/>
                <w:szCs w:val="24"/>
                <w:highlight w:val="none"/>
                <w:lang w:val="en-US" w:eastAsia="en-US" w:bidi="en-US"/>
              </w:rPr>
              <w:t>★A02052305 空调机组</w:t>
            </w:r>
          </w:p>
        </w:tc>
        <w:tc>
          <w:tcPr>
            <w:tcW w:w="1877" w:type="dxa"/>
            <w:vAlign w:val="center"/>
          </w:tcPr>
          <w:p w14:paraId="7B6CF3DD">
            <w:pPr>
              <w:pStyle w:val="46"/>
              <w:spacing w:line="240" w:lineRule="auto"/>
              <w:jc w:val="center"/>
              <w:rPr>
                <w:sz w:val="24"/>
                <w:szCs w:val="24"/>
                <w:highlight w:val="none"/>
                <w:lang w:bidi="en-US"/>
              </w:rPr>
            </w:pPr>
            <w:r>
              <w:rPr>
                <w:rFonts w:hint="eastAsia"/>
                <w:sz w:val="24"/>
                <w:szCs w:val="24"/>
                <w:highlight w:val="none"/>
                <w:lang w:val="en-US" w:eastAsia="zh-CN" w:bidi="en-US"/>
              </w:rPr>
              <w:t>多联式空调（热泵） 机组（制冷 量 &gt;14000W）</w:t>
            </w:r>
          </w:p>
        </w:tc>
        <w:tc>
          <w:tcPr>
            <w:tcW w:w="3628" w:type="dxa"/>
            <w:vAlign w:val="center"/>
          </w:tcPr>
          <w:p w14:paraId="1DD462A5">
            <w:pPr>
              <w:pStyle w:val="46"/>
              <w:spacing w:line="240" w:lineRule="auto"/>
              <w:jc w:val="center"/>
              <w:rPr>
                <w:sz w:val="24"/>
                <w:szCs w:val="24"/>
                <w:highlight w:val="none"/>
                <w:lang w:bidi="en-US"/>
              </w:rPr>
            </w:pPr>
            <w:r>
              <w:rPr>
                <w:rFonts w:hint="eastAsia"/>
                <w:sz w:val="24"/>
                <w:szCs w:val="24"/>
                <w:highlight w:val="none"/>
                <w:lang w:val="en-US" w:eastAsia="zh-CN" w:bidi="en-US"/>
              </w:rPr>
              <w:t>《多联式空调（热泵）机组能效限 定值及能源效率等级》（GB 21454）</w:t>
            </w:r>
          </w:p>
        </w:tc>
      </w:tr>
      <w:tr w14:paraId="71EF2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374" w:hRule="exact"/>
          <w:jc w:val="center"/>
        </w:trPr>
        <w:tc>
          <w:tcPr>
            <w:tcW w:w="583" w:type="dxa"/>
            <w:vMerge w:val="continue"/>
            <w:vAlign w:val="center"/>
          </w:tcPr>
          <w:p w14:paraId="5B57AD0B">
            <w:pPr>
              <w:jc w:val="center"/>
              <w:rPr>
                <w:rFonts w:ascii="宋体" w:hAnsi="宋体" w:cs="宋体"/>
                <w:sz w:val="24"/>
                <w:szCs w:val="24"/>
                <w:highlight w:val="none"/>
                <w:lang w:eastAsia="zh-CN"/>
              </w:rPr>
            </w:pPr>
          </w:p>
        </w:tc>
        <w:tc>
          <w:tcPr>
            <w:tcW w:w="1167" w:type="dxa"/>
            <w:vMerge w:val="continue"/>
            <w:vAlign w:val="center"/>
          </w:tcPr>
          <w:p w14:paraId="4D96613A">
            <w:pPr>
              <w:jc w:val="center"/>
              <w:rPr>
                <w:rFonts w:ascii="宋体" w:hAnsi="宋体" w:cs="宋体"/>
                <w:sz w:val="24"/>
                <w:szCs w:val="24"/>
                <w:highlight w:val="none"/>
                <w:lang w:eastAsia="zh-CN"/>
              </w:rPr>
            </w:pPr>
          </w:p>
        </w:tc>
        <w:tc>
          <w:tcPr>
            <w:tcW w:w="1783" w:type="dxa"/>
            <w:vAlign w:val="center"/>
          </w:tcPr>
          <w:p w14:paraId="1D1CCCEF">
            <w:pPr>
              <w:jc w:val="center"/>
              <w:rPr>
                <w:rFonts w:ascii="宋体" w:hAnsi="宋体" w:cs="宋体"/>
                <w:sz w:val="24"/>
                <w:szCs w:val="24"/>
                <w:highlight w:val="none"/>
                <w:lang w:eastAsia="zh-CN"/>
              </w:rPr>
            </w:pPr>
          </w:p>
        </w:tc>
        <w:tc>
          <w:tcPr>
            <w:tcW w:w="1877" w:type="dxa"/>
            <w:vAlign w:val="center"/>
          </w:tcPr>
          <w:p w14:paraId="74EE9EA6">
            <w:pPr>
              <w:pStyle w:val="46"/>
              <w:spacing w:line="240" w:lineRule="auto"/>
              <w:jc w:val="center"/>
              <w:rPr>
                <w:sz w:val="24"/>
                <w:szCs w:val="24"/>
                <w:highlight w:val="none"/>
              </w:rPr>
            </w:pPr>
            <w:r>
              <w:rPr>
                <w:rFonts w:hint="eastAsia"/>
                <w:sz w:val="24"/>
                <w:szCs w:val="24"/>
                <w:highlight w:val="none"/>
              </w:rPr>
              <w:t>单元式空气调节机（制冷量</w:t>
            </w:r>
            <w:r>
              <w:rPr>
                <w:rFonts w:hint="eastAsia"/>
                <w:sz w:val="24"/>
                <w:szCs w:val="24"/>
                <w:highlight w:val="none"/>
                <w:lang w:val="en-US" w:eastAsia="zh-CN" w:bidi="en-US"/>
              </w:rPr>
              <w:t>&gt;14000W）</w:t>
            </w:r>
          </w:p>
        </w:tc>
        <w:tc>
          <w:tcPr>
            <w:tcW w:w="3628" w:type="dxa"/>
            <w:vAlign w:val="center"/>
          </w:tcPr>
          <w:p w14:paraId="01493E7E">
            <w:pPr>
              <w:pStyle w:val="46"/>
              <w:spacing w:line="240" w:lineRule="auto"/>
              <w:jc w:val="center"/>
              <w:rPr>
                <w:sz w:val="24"/>
                <w:szCs w:val="24"/>
                <w:highlight w:val="none"/>
              </w:rPr>
            </w:pPr>
            <w:r>
              <w:rPr>
                <w:rFonts w:hint="eastAsia"/>
                <w:sz w:val="24"/>
                <w:szCs w:val="24"/>
                <w:highlight w:val="none"/>
              </w:rPr>
              <w:t>《单元式空气调节机能效限定值 及能效等级》</w:t>
            </w:r>
            <w:r>
              <w:rPr>
                <w:rFonts w:hint="eastAsia"/>
                <w:sz w:val="24"/>
                <w:szCs w:val="24"/>
                <w:highlight w:val="none"/>
                <w:lang w:val="en-US" w:eastAsia="zh-CN" w:bidi="en-US"/>
              </w:rPr>
              <w:t xml:space="preserve">（GB </w:t>
            </w:r>
            <w:r>
              <w:rPr>
                <w:rFonts w:hint="eastAsia"/>
                <w:sz w:val="24"/>
                <w:szCs w:val="24"/>
                <w:highlight w:val="none"/>
              </w:rPr>
              <w:t>19576）《风管 送风式空调机组能效限定值及能 效等级》</w:t>
            </w:r>
            <w:r>
              <w:rPr>
                <w:rFonts w:hint="eastAsia"/>
                <w:sz w:val="24"/>
                <w:szCs w:val="24"/>
                <w:highlight w:val="none"/>
                <w:lang w:val="en-US" w:eastAsia="zh-CN" w:bidi="en-US"/>
              </w:rPr>
              <w:t xml:space="preserve">（GB </w:t>
            </w:r>
            <w:r>
              <w:rPr>
                <w:rFonts w:hint="eastAsia"/>
                <w:sz w:val="24"/>
                <w:szCs w:val="24"/>
                <w:highlight w:val="none"/>
              </w:rPr>
              <w:t>37479）</w:t>
            </w:r>
          </w:p>
        </w:tc>
      </w:tr>
      <w:tr w14:paraId="337C1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44" w:hRule="exact"/>
          <w:jc w:val="center"/>
        </w:trPr>
        <w:tc>
          <w:tcPr>
            <w:tcW w:w="583" w:type="dxa"/>
            <w:vMerge w:val="continue"/>
            <w:vAlign w:val="center"/>
          </w:tcPr>
          <w:p w14:paraId="7EFAA0A4">
            <w:pPr>
              <w:jc w:val="center"/>
              <w:rPr>
                <w:rFonts w:ascii="宋体" w:hAnsi="宋体" w:cs="宋体"/>
                <w:sz w:val="24"/>
                <w:szCs w:val="24"/>
                <w:highlight w:val="none"/>
                <w:lang w:eastAsia="zh-CN"/>
              </w:rPr>
            </w:pPr>
          </w:p>
        </w:tc>
        <w:tc>
          <w:tcPr>
            <w:tcW w:w="1167" w:type="dxa"/>
            <w:vMerge w:val="continue"/>
            <w:vAlign w:val="center"/>
          </w:tcPr>
          <w:p w14:paraId="6FF1B1FB">
            <w:pPr>
              <w:jc w:val="center"/>
              <w:rPr>
                <w:rFonts w:ascii="宋体" w:hAnsi="宋体" w:cs="宋体"/>
                <w:sz w:val="24"/>
                <w:szCs w:val="24"/>
                <w:highlight w:val="none"/>
                <w:lang w:eastAsia="zh-CN"/>
              </w:rPr>
            </w:pPr>
          </w:p>
        </w:tc>
        <w:tc>
          <w:tcPr>
            <w:tcW w:w="1783" w:type="dxa"/>
            <w:vAlign w:val="center"/>
          </w:tcPr>
          <w:p w14:paraId="2645D482">
            <w:pPr>
              <w:pStyle w:val="46"/>
              <w:spacing w:line="240" w:lineRule="auto"/>
              <w:jc w:val="center"/>
              <w:rPr>
                <w:sz w:val="24"/>
                <w:szCs w:val="24"/>
                <w:highlight w:val="none"/>
                <w:lang w:bidi="en-US"/>
              </w:rPr>
            </w:pPr>
            <w:r>
              <w:rPr>
                <w:rFonts w:hint="eastAsia"/>
                <w:sz w:val="24"/>
                <w:szCs w:val="24"/>
                <w:highlight w:val="none"/>
                <w:lang w:val="en-US" w:eastAsia="zh-CN" w:bidi="en-US"/>
              </w:rPr>
              <w:t>★A02052309 专用制冷、空调设备</w:t>
            </w:r>
          </w:p>
        </w:tc>
        <w:tc>
          <w:tcPr>
            <w:tcW w:w="1877" w:type="dxa"/>
            <w:vAlign w:val="center"/>
          </w:tcPr>
          <w:p w14:paraId="5FF64F79">
            <w:pPr>
              <w:pStyle w:val="46"/>
              <w:spacing w:line="240" w:lineRule="auto"/>
              <w:jc w:val="center"/>
              <w:rPr>
                <w:sz w:val="24"/>
                <w:szCs w:val="24"/>
                <w:highlight w:val="none"/>
                <w:lang w:bidi="en-US"/>
              </w:rPr>
            </w:pPr>
            <w:r>
              <w:rPr>
                <w:rFonts w:hint="eastAsia"/>
                <w:sz w:val="24"/>
                <w:szCs w:val="24"/>
                <w:highlight w:val="none"/>
                <w:lang w:val="en-US" w:eastAsia="en-US" w:bidi="en-US"/>
              </w:rPr>
              <w:t>机房空调</w:t>
            </w:r>
          </w:p>
        </w:tc>
        <w:tc>
          <w:tcPr>
            <w:tcW w:w="3628" w:type="dxa"/>
            <w:vAlign w:val="center"/>
          </w:tcPr>
          <w:p w14:paraId="0753C368">
            <w:pPr>
              <w:pStyle w:val="46"/>
              <w:spacing w:line="240" w:lineRule="auto"/>
              <w:jc w:val="center"/>
              <w:rPr>
                <w:sz w:val="24"/>
                <w:szCs w:val="24"/>
                <w:highlight w:val="none"/>
                <w:lang w:bidi="en-US"/>
              </w:rPr>
            </w:pPr>
            <w:r>
              <w:rPr>
                <w:rFonts w:hint="eastAsia"/>
                <w:sz w:val="24"/>
                <w:szCs w:val="24"/>
                <w:highlight w:val="none"/>
                <w:lang w:val="en-US" w:eastAsia="zh-CN" w:bidi="en-US"/>
              </w:rPr>
              <w:t>《单元式空气调节机能效限定值 及能效等级》（GB 19576）</w:t>
            </w:r>
          </w:p>
        </w:tc>
      </w:tr>
      <w:tr w14:paraId="49DEA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470" w:hRule="exact"/>
          <w:jc w:val="center"/>
        </w:trPr>
        <w:tc>
          <w:tcPr>
            <w:tcW w:w="583" w:type="dxa"/>
            <w:vMerge w:val="continue"/>
            <w:vAlign w:val="center"/>
          </w:tcPr>
          <w:p w14:paraId="3A6D26FB">
            <w:pPr>
              <w:jc w:val="center"/>
              <w:rPr>
                <w:rFonts w:ascii="宋体" w:hAnsi="宋体" w:cs="宋体"/>
                <w:sz w:val="24"/>
                <w:szCs w:val="24"/>
                <w:highlight w:val="none"/>
                <w:lang w:eastAsia="zh-CN"/>
              </w:rPr>
            </w:pPr>
          </w:p>
        </w:tc>
        <w:tc>
          <w:tcPr>
            <w:tcW w:w="1167" w:type="dxa"/>
            <w:vMerge w:val="continue"/>
            <w:vAlign w:val="center"/>
          </w:tcPr>
          <w:p w14:paraId="087D2D59">
            <w:pPr>
              <w:jc w:val="center"/>
              <w:rPr>
                <w:rFonts w:ascii="宋体" w:hAnsi="宋体" w:cs="宋体"/>
                <w:sz w:val="24"/>
                <w:szCs w:val="24"/>
                <w:highlight w:val="none"/>
                <w:lang w:eastAsia="zh-CN"/>
              </w:rPr>
            </w:pPr>
          </w:p>
        </w:tc>
        <w:tc>
          <w:tcPr>
            <w:tcW w:w="1783" w:type="dxa"/>
            <w:vAlign w:val="center"/>
          </w:tcPr>
          <w:p w14:paraId="454171B8">
            <w:pPr>
              <w:pStyle w:val="46"/>
              <w:spacing w:line="240" w:lineRule="auto"/>
              <w:jc w:val="center"/>
              <w:rPr>
                <w:sz w:val="24"/>
                <w:szCs w:val="24"/>
                <w:highlight w:val="none"/>
              </w:rPr>
            </w:pPr>
            <w:r>
              <w:rPr>
                <w:rFonts w:hint="eastAsia"/>
                <w:sz w:val="24"/>
                <w:szCs w:val="24"/>
                <w:highlight w:val="none"/>
                <w:lang w:val="en-US" w:eastAsia="en-US" w:bidi="en-US"/>
              </w:rPr>
              <w:t>A02052399</w:t>
            </w:r>
            <w:r>
              <w:rPr>
                <w:rFonts w:hint="eastAsia"/>
                <w:sz w:val="24"/>
                <w:szCs w:val="24"/>
                <w:highlight w:val="none"/>
              </w:rPr>
              <w:t>其他制冷空调设备</w:t>
            </w:r>
          </w:p>
        </w:tc>
        <w:tc>
          <w:tcPr>
            <w:tcW w:w="1877" w:type="dxa"/>
            <w:vAlign w:val="center"/>
          </w:tcPr>
          <w:p w14:paraId="7AB47722">
            <w:pPr>
              <w:pStyle w:val="46"/>
              <w:spacing w:line="240" w:lineRule="auto"/>
              <w:jc w:val="center"/>
              <w:rPr>
                <w:sz w:val="24"/>
                <w:szCs w:val="24"/>
                <w:highlight w:val="none"/>
              </w:rPr>
            </w:pPr>
            <w:r>
              <w:rPr>
                <w:rFonts w:hint="eastAsia"/>
                <w:sz w:val="24"/>
                <w:szCs w:val="24"/>
                <w:highlight w:val="none"/>
              </w:rPr>
              <w:t>冷却塔</w:t>
            </w:r>
          </w:p>
        </w:tc>
        <w:tc>
          <w:tcPr>
            <w:tcW w:w="3628" w:type="dxa"/>
            <w:vAlign w:val="center"/>
          </w:tcPr>
          <w:p w14:paraId="784B44A4">
            <w:pPr>
              <w:pStyle w:val="46"/>
              <w:spacing w:line="240" w:lineRule="auto"/>
              <w:jc w:val="center"/>
              <w:rPr>
                <w:sz w:val="24"/>
                <w:szCs w:val="24"/>
                <w:highlight w:val="none"/>
              </w:rPr>
            </w:pPr>
            <w:r>
              <w:rPr>
                <w:rFonts w:hint="eastAsia"/>
                <w:sz w:val="24"/>
                <w:szCs w:val="24"/>
                <w:highlight w:val="none"/>
              </w:rPr>
              <w:t>《机械通风冷却塔第1部分：中 小型开式冷却塔》</w:t>
            </w:r>
            <w:r>
              <w:rPr>
                <w:rFonts w:hint="eastAsia"/>
                <w:sz w:val="24"/>
                <w:szCs w:val="24"/>
                <w:highlight w:val="none"/>
                <w:lang w:val="en-US" w:eastAsia="zh-CN" w:bidi="en-US"/>
              </w:rPr>
              <w:t>（GB /T7190.</w:t>
            </w:r>
            <w:r>
              <w:rPr>
                <w:rFonts w:hint="eastAsia"/>
                <w:sz w:val="24"/>
                <w:szCs w:val="24"/>
                <w:highlight w:val="none"/>
              </w:rPr>
              <w:t>1）；</w:t>
            </w:r>
          </w:p>
          <w:p w14:paraId="7A9539FE">
            <w:pPr>
              <w:pStyle w:val="46"/>
              <w:spacing w:line="240" w:lineRule="auto"/>
              <w:jc w:val="center"/>
              <w:rPr>
                <w:sz w:val="24"/>
                <w:szCs w:val="24"/>
                <w:highlight w:val="none"/>
              </w:rPr>
            </w:pPr>
            <w:r>
              <w:rPr>
                <w:rFonts w:hint="eastAsia"/>
                <w:sz w:val="24"/>
                <w:szCs w:val="24"/>
                <w:highlight w:val="none"/>
              </w:rPr>
              <w:t>《机械通风冷却塔第2部分：大 型开式冷却塔》</w:t>
            </w:r>
            <w:r>
              <w:rPr>
                <w:rFonts w:hint="eastAsia"/>
                <w:sz w:val="24"/>
                <w:szCs w:val="24"/>
                <w:highlight w:val="none"/>
                <w:lang w:val="en-US" w:eastAsia="zh-CN" w:bidi="en-US"/>
              </w:rPr>
              <w:t xml:space="preserve">（GB/T7190. </w:t>
            </w:r>
            <w:r>
              <w:rPr>
                <w:rFonts w:hint="eastAsia"/>
                <w:sz w:val="24"/>
                <w:szCs w:val="24"/>
                <w:highlight w:val="none"/>
              </w:rPr>
              <w:t>2）</w:t>
            </w:r>
          </w:p>
        </w:tc>
      </w:tr>
      <w:tr w14:paraId="2A6B8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Align w:val="center"/>
          </w:tcPr>
          <w:p w14:paraId="7EA754F7">
            <w:pPr>
              <w:pStyle w:val="46"/>
              <w:spacing w:line="240" w:lineRule="auto"/>
              <w:jc w:val="center"/>
              <w:rPr>
                <w:sz w:val="24"/>
                <w:szCs w:val="24"/>
                <w:highlight w:val="none"/>
              </w:rPr>
            </w:pPr>
            <w:r>
              <w:rPr>
                <w:rFonts w:hint="eastAsia"/>
                <w:sz w:val="24"/>
                <w:szCs w:val="24"/>
                <w:highlight w:val="none"/>
                <w:lang w:val="zh-CN" w:eastAsia="zh-CN" w:bidi="zh-CN"/>
              </w:rPr>
              <w:t>7</w:t>
            </w:r>
          </w:p>
        </w:tc>
        <w:tc>
          <w:tcPr>
            <w:tcW w:w="1167" w:type="dxa"/>
            <w:vAlign w:val="center"/>
          </w:tcPr>
          <w:p w14:paraId="747386F5">
            <w:pPr>
              <w:pStyle w:val="46"/>
              <w:spacing w:line="240" w:lineRule="auto"/>
              <w:jc w:val="center"/>
              <w:rPr>
                <w:sz w:val="24"/>
                <w:szCs w:val="24"/>
                <w:highlight w:val="none"/>
              </w:rPr>
            </w:pPr>
            <w:r>
              <w:rPr>
                <w:rFonts w:hint="eastAsia"/>
                <w:sz w:val="24"/>
                <w:szCs w:val="24"/>
                <w:highlight w:val="none"/>
                <w:lang w:val="en-US" w:eastAsia="en-US" w:bidi="en-US"/>
              </w:rPr>
              <w:t xml:space="preserve">A020601 </w:t>
            </w:r>
            <w:r>
              <w:rPr>
                <w:rFonts w:hint="eastAsia"/>
                <w:sz w:val="24"/>
                <w:szCs w:val="24"/>
                <w:highlight w:val="none"/>
              </w:rPr>
              <w:t>电机</w:t>
            </w:r>
          </w:p>
        </w:tc>
        <w:tc>
          <w:tcPr>
            <w:tcW w:w="1783" w:type="dxa"/>
            <w:vAlign w:val="center"/>
          </w:tcPr>
          <w:p w14:paraId="0F0D4F55">
            <w:pPr>
              <w:jc w:val="center"/>
              <w:rPr>
                <w:rFonts w:ascii="宋体" w:hAnsi="宋体" w:cs="宋体"/>
                <w:sz w:val="24"/>
                <w:szCs w:val="24"/>
                <w:highlight w:val="none"/>
              </w:rPr>
            </w:pPr>
          </w:p>
        </w:tc>
        <w:tc>
          <w:tcPr>
            <w:tcW w:w="1877" w:type="dxa"/>
            <w:vAlign w:val="center"/>
          </w:tcPr>
          <w:p w14:paraId="0CA919C4">
            <w:pPr>
              <w:jc w:val="center"/>
              <w:rPr>
                <w:rFonts w:ascii="宋体" w:hAnsi="宋体" w:cs="宋体"/>
                <w:sz w:val="24"/>
                <w:szCs w:val="24"/>
                <w:highlight w:val="none"/>
              </w:rPr>
            </w:pPr>
          </w:p>
        </w:tc>
        <w:tc>
          <w:tcPr>
            <w:tcW w:w="3628" w:type="dxa"/>
            <w:vAlign w:val="center"/>
          </w:tcPr>
          <w:p w14:paraId="4E4E3C49">
            <w:pPr>
              <w:pStyle w:val="46"/>
              <w:spacing w:line="240" w:lineRule="auto"/>
              <w:jc w:val="center"/>
              <w:rPr>
                <w:sz w:val="24"/>
                <w:szCs w:val="24"/>
                <w:highlight w:val="none"/>
              </w:rPr>
            </w:pPr>
            <w:r>
              <w:rPr>
                <w:rFonts w:hint="eastAsia"/>
                <w:sz w:val="24"/>
                <w:szCs w:val="24"/>
                <w:highlight w:val="none"/>
              </w:rPr>
              <w:t>《中小型三相异步电动机能效限 定值及能效等级》</w:t>
            </w:r>
            <w:r>
              <w:rPr>
                <w:rFonts w:hint="eastAsia"/>
                <w:sz w:val="24"/>
                <w:szCs w:val="24"/>
                <w:highlight w:val="none"/>
                <w:lang w:val="en-US" w:eastAsia="zh-CN" w:bidi="en-US"/>
              </w:rPr>
              <w:t xml:space="preserve">（GB </w:t>
            </w:r>
            <w:r>
              <w:rPr>
                <w:rFonts w:hint="eastAsia"/>
                <w:sz w:val="24"/>
                <w:szCs w:val="24"/>
                <w:highlight w:val="none"/>
              </w:rPr>
              <w:t>18613）</w:t>
            </w:r>
          </w:p>
        </w:tc>
      </w:tr>
      <w:tr w14:paraId="3EBB3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Align w:val="center"/>
          </w:tcPr>
          <w:p w14:paraId="7AF2EA6C">
            <w:pPr>
              <w:pStyle w:val="46"/>
              <w:spacing w:line="240" w:lineRule="auto"/>
              <w:jc w:val="center"/>
              <w:rPr>
                <w:sz w:val="24"/>
                <w:szCs w:val="24"/>
                <w:highlight w:val="none"/>
              </w:rPr>
            </w:pPr>
            <w:r>
              <w:rPr>
                <w:rFonts w:hint="eastAsia"/>
                <w:sz w:val="24"/>
                <w:szCs w:val="24"/>
                <w:highlight w:val="none"/>
                <w:lang w:val="zh-CN" w:eastAsia="zh-CN" w:bidi="zh-CN"/>
              </w:rPr>
              <w:t>8</w:t>
            </w:r>
          </w:p>
        </w:tc>
        <w:tc>
          <w:tcPr>
            <w:tcW w:w="1167" w:type="dxa"/>
            <w:vAlign w:val="center"/>
          </w:tcPr>
          <w:p w14:paraId="541819C2">
            <w:pPr>
              <w:pStyle w:val="46"/>
              <w:spacing w:line="240" w:lineRule="auto"/>
              <w:jc w:val="center"/>
              <w:rPr>
                <w:sz w:val="24"/>
                <w:szCs w:val="24"/>
                <w:highlight w:val="none"/>
              </w:rPr>
            </w:pPr>
            <w:r>
              <w:rPr>
                <w:rFonts w:hint="eastAsia"/>
                <w:sz w:val="24"/>
                <w:szCs w:val="24"/>
                <w:highlight w:val="none"/>
                <w:lang w:val="en-US" w:eastAsia="en-US" w:bidi="en-US"/>
              </w:rPr>
              <w:t>A020602</w:t>
            </w:r>
            <w:r>
              <w:rPr>
                <w:rFonts w:hint="eastAsia"/>
                <w:sz w:val="24"/>
                <w:szCs w:val="24"/>
                <w:highlight w:val="none"/>
              </w:rPr>
              <w:t>变压器</w:t>
            </w:r>
          </w:p>
        </w:tc>
        <w:tc>
          <w:tcPr>
            <w:tcW w:w="1783" w:type="dxa"/>
            <w:vAlign w:val="center"/>
          </w:tcPr>
          <w:p w14:paraId="3BA1104D">
            <w:pPr>
              <w:pStyle w:val="46"/>
              <w:spacing w:line="240" w:lineRule="auto"/>
              <w:jc w:val="center"/>
              <w:rPr>
                <w:sz w:val="24"/>
                <w:szCs w:val="24"/>
                <w:highlight w:val="none"/>
              </w:rPr>
            </w:pPr>
            <w:r>
              <w:rPr>
                <w:rFonts w:hint="eastAsia"/>
                <w:sz w:val="24"/>
                <w:szCs w:val="24"/>
                <w:highlight w:val="none"/>
              </w:rPr>
              <w:t>配电变压器</w:t>
            </w:r>
          </w:p>
        </w:tc>
        <w:tc>
          <w:tcPr>
            <w:tcW w:w="1877" w:type="dxa"/>
            <w:vAlign w:val="center"/>
          </w:tcPr>
          <w:p w14:paraId="2CFB383C">
            <w:pPr>
              <w:jc w:val="center"/>
              <w:rPr>
                <w:rFonts w:ascii="宋体" w:hAnsi="宋体" w:cs="宋体"/>
                <w:sz w:val="24"/>
                <w:szCs w:val="24"/>
                <w:highlight w:val="none"/>
              </w:rPr>
            </w:pPr>
          </w:p>
        </w:tc>
        <w:tc>
          <w:tcPr>
            <w:tcW w:w="3628" w:type="dxa"/>
            <w:vAlign w:val="center"/>
          </w:tcPr>
          <w:p w14:paraId="3CA91C9B">
            <w:pPr>
              <w:pStyle w:val="46"/>
              <w:spacing w:line="240" w:lineRule="auto"/>
              <w:jc w:val="center"/>
              <w:rPr>
                <w:sz w:val="24"/>
                <w:szCs w:val="24"/>
                <w:highlight w:val="none"/>
              </w:rPr>
            </w:pPr>
            <w:r>
              <w:rPr>
                <w:rFonts w:hint="eastAsia"/>
                <w:sz w:val="24"/>
                <w:szCs w:val="24"/>
                <w:highlight w:val="none"/>
              </w:rPr>
              <w:t>《三相配电变压器能效限定值及 能效等级》</w:t>
            </w:r>
            <w:r>
              <w:rPr>
                <w:rFonts w:hint="eastAsia"/>
                <w:sz w:val="24"/>
                <w:szCs w:val="24"/>
                <w:highlight w:val="none"/>
                <w:lang w:val="en-US" w:eastAsia="zh-CN" w:bidi="en-US"/>
              </w:rPr>
              <w:t xml:space="preserve">（GB </w:t>
            </w:r>
            <w:r>
              <w:rPr>
                <w:rFonts w:hint="eastAsia"/>
                <w:sz w:val="24"/>
                <w:szCs w:val="24"/>
                <w:highlight w:val="none"/>
              </w:rPr>
              <w:t>20052）</w:t>
            </w:r>
          </w:p>
        </w:tc>
      </w:tr>
      <w:tr w14:paraId="7C76D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09" w:hRule="exact"/>
          <w:jc w:val="center"/>
        </w:trPr>
        <w:tc>
          <w:tcPr>
            <w:tcW w:w="583" w:type="dxa"/>
            <w:vAlign w:val="center"/>
          </w:tcPr>
          <w:p w14:paraId="2E963AA1">
            <w:pPr>
              <w:pStyle w:val="46"/>
              <w:spacing w:line="240" w:lineRule="auto"/>
              <w:jc w:val="center"/>
              <w:rPr>
                <w:sz w:val="24"/>
                <w:szCs w:val="24"/>
                <w:highlight w:val="none"/>
              </w:rPr>
            </w:pPr>
            <w:r>
              <w:rPr>
                <w:rFonts w:hint="eastAsia"/>
                <w:sz w:val="24"/>
                <w:szCs w:val="24"/>
                <w:highlight w:val="none"/>
                <w:lang w:val="zh-CN" w:eastAsia="zh-CN" w:bidi="zh-CN"/>
              </w:rPr>
              <w:t>9</w:t>
            </w:r>
          </w:p>
        </w:tc>
        <w:tc>
          <w:tcPr>
            <w:tcW w:w="1167" w:type="dxa"/>
            <w:vAlign w:val="center"/>
          </w:tcPr>
          <w:p w14:paraId="5453EE48">
            <w:pPr>
              <w:pStyle w:val="46"/>
              <w:spacing w:line="240" w:lineRule="auto"/>
              <w:jc w:val="center"/>
              <w:rPr>
                <w:sz w:val="24"/>
                <w:szCs w:val="24"/>
                <w:highlight w:val="none"/>
              </w:rPr>
            </w:pPr>
            <w:r>
              <w:rPr>
                <w:rFonts w:hint="eastAsia"/>
                <w:sz w:val="24"/>
                <w:szCs w:val="24"/>
                <w:highlight w:val="none"/>
                <w:lang w:val="en-US" w:eastAsia="en-US" w:bidi="en-US"/>
              </w:rPr>
              <w:t xml:space="preserve">★A020609 </w:t>
            </w:r>
            <w:r>
              <w:rPr>
                <w:rFonts w:hint="eastAsia"/>
                <w:sz w:val="24"/>
                <w:szCs w:val="24"/>
                <w:highlight w:val="none"/>
              </w:rPr>
              <w:t>镇流器</w:t>
            </w:r>
          </w:p>
        </w:tc>
        <w:tc>
          <w:tcPr>
            <w:tcW w:w="1783" w:type="dxa"/>
            <w:vAlign w:val="center"/>
          </w:tcPr>
          <w:p w14:paraId="32E9180C">
            <w:pPr>
              <w:pStyle w:val="46"/>
              <w:spacing w:line="240" w:lineRule="auto"/>
              <w:jc w:val="center"/>
              <w:rPr>
                <w:sz w:val="24"/>
                <w:szCs w:val="24"/>
                <w:highlight w:val="none"/>
              </w:rPr>
            </w:pPr>
            <w:r>
              <w:rPr>
                <w:rFonts w:hint="eastAsia"/>
                <w:sz w:val="24"/>
                <w:szCs w:val="24"/>
                <w:highlight w:val="none"/>
              </w:rPr>
              <w:t>管型荧光灯镇流器</w:t>
            </w:r>
          </w:p>
        </w:tc>
        <w:tc>
          <w:tcPr>
            <w:tcW w:w="1877" w:type="dxa"/>
            <w:vAlign w:val="center"/>
          </w:tcPr>
          <w:p w14:paraId="334C60AC">
            <w:pPr>
              <w:jc w:val="center"/>
              <w:rPr>
                <w:rFonts w:ascii="宋体" w:hAnsi="宋体" w:cs="宋体"/>
                <w:sz w:val="24"/>
                <w:szCs w:val="24"/>
                <w:highlight w:val="none"/>
              </w:rPr>
            </w:pPr>
          </w:p>
        </w:tc>
        <w:tc>
          <w:tcPr>
            <w:tcW w:w="3628" w:type="dxa"/>
            <w:vAlign w:val="center"/>
          </w:tcPr>
          <w:p w14:paraId="142577EF">
            <w:pPr>
              <w:pStyle w:val="46"/>
              <w:spacing w:line="240" w:lineRule="auto"/>
              <w:jc w:val="center"/>
              <w:rPr>
                <w:sz w:val="24"/>
                <w:szCs w:val="24"/>
                <w:highlight w:val="none"/>
              </w:rPr>
            </w:pPr>
            <w:r>
              <w:rPr>
                <w:rFonts w:hint="eastAsia"/>
                <w:sz w:val="24"/>
                <w:szCs w:val="24"/>
                <w:highlight w:val="none"/>
              </w:rPr>
              <w:t>《管形荧光灯镇流器能效限定值 及能效等级》</w:t>
            </w:r>
            <w:r>
              <w:rPr>
                <w:rFonts w:hint="eastAsia"/>
                <w:sz w:val="24"/>
                <w:szCs w:val="24"/>
                <w:highlight w:val="none"/>
                <w:lang w:val="en-US" w:eastAsia="zh-CN" w:bidi="en-US"/>
              </w:rPr>
              <w:t xml:space="preserve">（GB </w:t>
            </w:r>
            <w:r>
              <w:rPr>
                <w:rFonts w:hint="eastAsia"/>
                <w:sz w:val="24"/>
                <w:szCs w:val="24"/>
                <w:highlight w:val="none"/>
              </w:rPr>
              <w:t>17896）</w:t>
            </w:r>
          </w:p>
        </w:tc>
      </w:tr>
      <w:tr w14:paraId="3B2ED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restart"/>
            <w:vAlign w:val="center"/>
          </w:tcPr>
          <w:p w14:paraId="75224149">
            <w:pPr>
              <w:pStyle w:val="46"/>
              <w:spacing w:line="240" w:lineRule="auto"/>
              <w:jc w:val="center"/>
              <w:rPr>
                <w:sz w:val="24"/>
                <w:szCs w:val="24"/>
                <w:highlight w:val="none"/>
                <w:lang w:val="en-US" w:eastAsia="zh-CN" w:bidi="zh-CN"/>
              </w:rPr>
            </w:pPr>
            <w:r>
              <w:rPr>
                <w:rFonts w:hint="eastAsia"/>
                <w:sz w:val="24"/>
                <w:szCs w:val="24"/>
                <w:highlight w:val="none"/>
                <w:lang w:val="en-US" w:eastAsia="zh-CN" w:bidi="zh-CN"/>
              </w:rPr>
              <w:t>10</w:t>
            </w:r>
          </w:p>
        </w:tc>
        <w:tc>
          <w:tcPr>
            <w:tcW w:w="1167" w:type="dxa"/>
            <w:vMerge w:val="restart"/>
            <w:vAlign w:val="center"/>
          </w:tcPr>
          <w:p w14:paraId="3E2F7E96">
            <w:pPr>
              <w:pStyle w:val="46"/>
              <w:spacing w:line="240" w:lineRule="auto"/>
              <w:jc w:val="center"/>
              <w:rPr>
                <w:sz w:val="24"/>
                <w:szCs w:val="24"/>
                <w:highlight w:val="none"/>
                <w:lang w:val="en-US" w:eastAsia="en-US" w:bidi="en-US"/>
              </w:rPr>
            </w:pPr>
            <w:r>
              <w:rPr>
                <w:rFonts w:hint="eastAsia"/>
                <w:sz w:val="24"/>
                <w:szCs w:val="24"/>
                <w:highlight w:val="none"/>
                <w:lang w:val="en-US" w:eastAsia="en-US" w:bidi="en-US"/>
              </w:rPr>
              <w:t xml:space="preserve">A020618 </w:t>
            </w:r>
            <w:r>
              <w:rPr>
                <w:rFonts w:hint="eastAsia"/>
                <w:sz w:val="24"/>
                <w:szCs w:val="24"/>
                <w:highlight w:val="none"/>
              </w:rPr>
              <w:t>生活用电器</w:t>
            </w:r>
          </w:p>
        </w:tc>
        <w:tc>
          <w:tcPr>
            <w:tcW w:w="1783" w:type="dxa"/>
            <w:vAlign w:val="center"/>
          </w:tcPr>
          <w:p w14:paraId="3F181E14">
            <w:pPr>
              <w:pStyle w:val="46"/>
              <w:spacing w:line="240" w:lineRule="auto"/>
              <w:jc w:val="center"/>
              <w:rPr>
                <w:sz w:val="24"/>
                <w:szCs w:val="24"/>
                <w:highlight w:val="none"/>
              </w:rPr>
            </w:pPr>
            <w:r>
              <w:rPr>
                <w:rFonts w:hint="eastAsia"/>
                <w:sz w:val="24"/>
                <w:szCs w:val="24"/>
                <w:highlight w:val="none"/>
                <w:lang w:val="en-US" w:eastAsia="en-US" w:bidi="en-US"/>
              </w:rPr>
              <w:t xml:space="preserve">A0206180101 </w:t>
            </w:r>
            <w:r>
              <w:rPr>
                <w:rFonts w:hint="eastAsia"/>
                <w:sz w:val="24"/>
                <w:szCs w:val="24"/>
                <w:highlight w:val="none"/>
              </w:rPr>
              <w:t>电冰箱</w:t>
            </w:r>
          </w:p>
        </w:tc>
        <w:tc>
          <w:tcPr>
            <w:tcW w:w="1877" w:type="dxa"/>
            <w:vAlign w:val="center"/>
          </w:tcPr>
          <w:p w14:paraId="1B46BA16">
            <w:pPr>
              <w:jc w:val="center"/>
              <w:rPr>
                <w:rFonts w:ascii="宋体" w:hAnsi="宋体" w:cs="宋体"/>
                <w:sz w:val="24"/>
                <w:szCs w:val="24"/>
                <w:highlight w:val="none"/>
              </w:rPr>
            </w:pPr>
          </w:p>
        </w:tc>
        <w:tc>
          <w:tcPr>
            <w:tcW w:w="3628" w:type="dxa"/>
            <w:vAlign w:val="center"/>
          </w:tcPr>
          <w:p w14:paraId="035DA926">
            <w:pPr>
              <w:pStyle w:val="46"/>
              <w:spacing w:line="240" w:lineRule="auto"/>
              <w:jc w:val="center"/>
              <w:rPr>
                <w:sz w:val="24"/>
                <w:szCs w:val="24"/>
                <w:highlight w:val="none"/>
              </w:rPr>
            </w:pPr>
            <w:r>
              <w:rPr>
                <w:rFonts w:hint="eastAsia"/>
                <w:sz w:val="24"/>
                <w:szCs w:val="24"/>
                <w:highlight w:val="none"/>
              </w:rPr>
              <w:t>《家用电冰箱耗电量限定值及能 效等级》</w:t>
            </w:r>
            <w:r>
              <w:rPr>
                <w:rFonts w:hint="eastAsia"/>
                <w:sz w:val="24"/>
                <w:szCs w:val="24"/>
                <w:highlight w:val="none"/>
                <w:lang w:val="en-US" w:eastAsia="zh-CN" w:bidi="en-US"/>
              </w:rPr>
              <w:t>（GB 12021.2）</w:t>
            </w:r>
          </w:p>
        </w:tc>
      </w:tr>
      <w:tr w14:paraId="1BDA9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004" w:hRule="exact"/>
          <w:jc w:val="center"/>
        </w:trPr>
        <w:tc>
          <w:tcPr>
            <w:tcW w:w="583" w:type="dxa"/>
            <w:vMerge w:val="continue"/>
            <w:vAlign w:val="center"/>
          </w:tcPr>
          <w:p w14:paraId="0E24118C">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18C1D305">
            <w:pPr>
              <w:pStyle w:val="46"/>
              <w:spacing w:line="240" w:lineRule="auto"/>
              <w:jc w:val="center"/>
              <w:rPr>
                <w:sz w:val="24"/>
                <w:szCs w:val="24"/>
                <w:highlight w:val="none"/>
                <w:lang w:val="en-US" w:eastAsia="zh-CN" w:bidi="en-US"/>
              </w:rPr>
            </w:pPr>
          </w:p>
        </w:tc>
        <w:tc>
          <w:tcPr>
            <w:tcW w:w="1783" w:type="dxa"/>
            <w:vMerge w:val="restart"/>
            <w:vAlign w:val="center"/>
          </w:tcPr>
          <w:p w14:paraId="5EC93245">
            <w:pPr>
              <w:pStyle w:val="46"/>
              <w:spacing w:line="240" w:lineRule="auto"/>
              <w:jc w:val="center"/>
              <w:rPr>
                <w:sz w:val="24"/>
                <w:szCs w:val="24"/>
                <w:highlight w:val="none"/>
              </w:rPr>
            </w:pPr>
            <w:r>
              <w:rPr>
                <w:rFonts w:hint="eastAsia"/>
                <w:sz w:val="24"/>
                <w:szCs w:val="24"/>
                <w:highlight w:val="none"/>
                <w:lang w:val="en-US" w:eastAsia="en-US" w:bidi="en-US"/>
              </w:rPr>
              <w:t xml:space="preserve">★A0206180203 </w:t>
            </w:r>
            <w:r>
              <w:rPr>
                <w:rFonts w:hint="eastAsia"/>
                <w:sz w:val="24"/>
                <w:szCs w:val="24"/>
                <w:highlight w:val="none"/>
              </w:rPr>
              <w:t>空调机</w:t>
            </w:r>
          </w:p>
        </w:tc>
        <w:tc>
          <w:tcPr>
            <w:tcW w:w="1877" w:type="dxa"/>
            <w:vAlign w:val="center"/>
          </w:tcPr>
          <w:p w14:paraId="679A5788">
            <w:pPr>
              <w:pStyle w:val="46"/>
              <w:spacing w:line="240" w:lineRule="auto"/>
              <w:jc w:val="center"/>
              <w:rPr>
                <w:sz w:val="24"/>
                <w:szCs w:val="24"/>
                <w:highlight w:val="none"/>
                <w:lang w:val="en-US" w:eastAsia="zh-CN"/>
              </w:rPr>
            </w:pPr>
            <w:r>
              <w:rPr>
                <w:rFonts w:hint="eastAsia"/>
                <w:sz w:val="24"/>
                <w:szCs w:val="24"/>
                <w:highlight w:val="none"/>
              </w:rPr>
              <w:t>房间空气调节器</w:t>
            </w:r>
          </w:p>
        </w:tc>
        <w:tc>
          <w:tcPr>
            <w:tcW w:w="3628" w:type="dxa"/>
            <w:vAlign w:val="center"/>
          </w:tcPr>
          <w:p w14:paraId="271CEDC6">
            <w:pPr>
              <w:pStyle w:val="46"/>
              <w:spacing w:line="240" w:lineRule="auto"/>
              <w:jc w:val="center"/>
              <w:rPr>
                <w:sz w:val="24"/>
                <w:szCs w:val="24"/>
                <w:highlight w:val="none"/>
              </w:rPr>
            </w:pPr>
            <w:r>
              <w:rPr>
                <w:rFonts w:hint="eastAsia"/>
                <w:sz w:val="24"/>
                <w:szCs w:val="24"/>
                <w:highlight w:val="none"/>
              </w:rPr>
              <w:t>《转速可控型房间空气调节器能 效限定值及能效等级》（</w:t>
            </w:r>
            <w:r>
              <w:rPr>
                <w:rFonts w:hint="eastAsia"/>
                <w:sz w:val="24"/>
                <w:szCs w:val="24"/>
                <w:highlight w:val="none"/>
                <w:lang w:val="en-US" w:eastAsia="zh-CN" w:bidi="en-US"/>
              </w:rPr>
              <w:t>GB 21455-2013）</w:t>
            </w:r>
            <w:r>
              <w:rPr>
                <w:rFonts w:hint="eastAsia"/>
                <w:sz w:val="24"/>
                <w:szCs w:val="24"/>
                <w:highlight w:val="none"/>
                <w:lang w:eastAsia="zh-CN"/>
              </w:rPr>
              <w:t>，</w:t>
            </w:r>
            <w:r>
              <w:rPr>
                <w:rFonts w:hint="eastAsia"/>
                <w:sz w:val="24"/>
                <w:szCs w:val="24"/>
                <w:highlight w:val="none"/>
              </w:rPr>
              <w:t>待 2019 年修订发 布后，按《房间空气调节器能效限 定值及能效等级</w:t>
            </w:r>
            <w:r>
              <w:rPr>
                <w:rFonts w:hint="eastAsia"/>
                <w:sz w:val="24"/>
                <w:szCs w:val="24"/>
                <w:highlight w:val="none"/>
                <w:lang w:val="en-US" w:eastAsia="zh-CN" w:bidi="en-US"/>
              </w:rPr>
              <w:t xml:space="preserve">MGB21455-2019） </w:t>
            </w:r>
            <w:r>
              <w:rPr>
                <w:rFonts w:hint="eastAsia"/>
                <w:sz w:val="24"/>
                <w:szCs w:val="24"/>
                <w:highlight w:val="none"/>
              </w:rPr>
              <w:t>实施。</w:t>
            </w:r>
          </w:p>
        </w:tc>
      </w:tr>
      <w:tr w14:paraId="3D254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24" w:hRule="exact"/>
          <w:jc w:val="center"/>
        </w:trPr>
        <w:tc>
          <w:tcPr>
            <w:tcW w:w="583" w:type="dxa"/>
            <w:vMerge w:val="continue"/>
            <w:vAlign w:val="center"/>
          </w:tcPr>
          <w:p w14:paraId="2C042902">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36A60280">
            <w:pPr>
              <w:pStyle w:val="46"/>
              <w:spacing w:line="240" w:lineRule="auto"/>
              <w:jc w:val="center"/>
              <w:rPr>
                <w:sz w:val="24"/>
                <w:szCs w:val="24"/>
                <w:highlight w:val="none"/>
                <w:lang w:val="en-US" w:eastAsia="zh-CN" w:bidi="en-US"/>
              </w:rPr>
            </w:pPr>
          </w:p>
        </w:tc>
        <w:tc>
          <w:tcPr>
            <w:tcW w:w="1783" w:type="dxa"/>
            <w:vMerge w:val="continue"/>
            <w:vAlign w:val="center"/>
          </w:tcPr>
          <w:p w14:paraId="19BABB00">
            <w:pPr>
              <w:pStyle w:val="46"/>
              <w:spacing w:line="240" w:lineRule="auto"/>
              <w:jc w:val="center"/>
              <w:rPr>
                <w:sz w:val="24"/>
                <w:szCs w:val="24"/>
                <w:highlight w:val="none"/>
              </w:rPr>
            </w:pPr>
          </w:p>
        </w:tc>
        <w:tc>
          <w:tcPr>
            <w:tcW w:w="1877" w:type="dxa"/>
            <w:vAlign w:val="center"/>
          </w:tcPr>
          <w:p w14:paraId="2BA4A1F4">
            <w:pPr>
              <w:pStyle w:val="46"/>
              <w:spacing w:line="240" w:lineRule="auto"/>
              <w:jc w:val="center"/>
              <w:rPr>
                <w:sz w:val="24"/>
                <w:szCs w:val="24"/>
                <w:highlight w:val="none"/>
                <w:lang w:val="en-US" w:eastAsia="zh-CN"/>
              </w:rPr>
            </w:pPr>
            <w:r>
              <w:rPr>
                <w:rFonts w:hint="eastAsia"/>
                <w:sz w:val="24"/>
                <w:szCs w:val="24"/>
                <w:highlight w:val="none"/>
              </w:rPr>
              <w:t>多联式空调（热泵） 机组（制冷量</w:t>
            </w:r>
            <w:r>
              <w:rPr>
                <w:rFonts w:hint="eastAsia"/>
                <w:sz w:val="24"/>
                <w:szCs w:val="24"/>
                <w:highlight w:val="none"/>
                <w:lang w:val="en-US" w:eastAsia="zh-CN" w:bidi="en-US"/>
              </w:rPr>
              <w:t>W 14000W）</w:t>
            </w:r>
          </w:p>
        </w:tc>
        <w:tc>
          <w:tcPr>
            <w:tcW w:w="3628" w:type="dxa"/>
            <w:vAlign w:val="center"/>
          </w:tcPr>
          <w:p w14:paraId="65E5D4E5">
            <w:pPr>
              <w:pStyle w:val="46"/>
              <w:spacing w:line="240" w:lineRule="auto"/>
              <w:jc w:val="center"/>
              <w:rPr>
                <w:sz w:val="24"/>
                <w:szCs w:val="24"/>
                <w:highlight w:val="none"/>
              </w:rPr>
            </w:pPr>
            <w:r>
              <w:rPr>
                <w:rFonts w:hint="eastAsia"/>
                <w:sz w:val="24"/>
                <w:szCs w:val="24"/>
                <w:highlight w:val="none"/>
              </w:rPr>
              <w:t>《多联式空调（热泵）机组能效限 定值及能源效率等级》</w:t>
            </w:r>
            <w:r>
              <w:rPr>
                <w:rFonts w:hint="eastAsia"/>
                <w:sz w:val="24"/>
                <w:szCs w:val="24"/>
                <w:highlight w:val="none"/>
                <w:lang w:val="en-US" w:eastAsia="zh-CN" w:bidi="en-US"/>
              </w:rPr>
              <w:t xml:space="preserve">（GB </w:t>
            </w:r>
            <w:r>
              <w:rPr>
                <w:rFonts w:hint="eastAsia"/>
                <w:sz w:val="24"/>
                <w:szCs w:val="24"/>
                <w:highlight w:val="none"/>
              </w:rPr>
              <w:t>21454）</w:t>
            </w:r>
          </w:p>
        </w:tc>
      </w:tr>
      <w:tr w14:paraId="43B86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419" w:hRule="exact"/>
          <w:jc w:val="center"/>
        </w:trPr>
        <w:tc>
          <w:tcPr>
            <w:tcW w:w="583" w:type="dxa"/>
            <w:vMerge w:val="continue"/>
            <w:vAlign w:val="center"/>
          </w:tcPr>
          <w:p w14:paraId="5ACB8690">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4CF626B7">
            <w:pPr>
              <w:pStyle w:val="46"/>
              <w:spacing w:line="240" w:lineRule="auto"/>
              <w:jc w:val="center"/>
              <w:rPr>
                <w:sz w:val="24"/>
                <w:szCs w:val="24"/>
                <w:highlight w:val="none"/>
                <w:lang w:val="en-US" w:eastAsia="zh-CN" w:bidi="en-US"/>
              </w:rPr>
            </w:pPr>
          </w:p>
        </w:tc>
        <w:tc>
          <w:tcPr>
            <w:tcW w:w="1783" w:type="dxa"/>
            <w:vMerge w:val="continue"/>
            <w:vAlign w:val="center"/>
          </w:tcPr>
          <w:p w14:paraId="1A38239C">
            <w:pPr>
              <w:pStyle w:val="46"/>
              <w:spacing w:line="240" w:lineRule="auto"/>
              <w:jc w:val="center"/>
              <w:rPr>
                <w:sz w:val="24"/>
                <w:szCs w:val="24"/>
                <w:highlight w:val="none"/>
              </w:rPr>
            </w:pPr>
          </w:p>
        </w:tc>
        <w:tc>
          <w:tcPr>
            <w:tcW w:w="1877" w:type="dxa"/>
            <w:vAlign w:val="center"/>
          </w:tcPr>
          <w:p w14:paraId="76BAC513">
            <w:pPr>
              <w:pStyle w:val="46"/>
              <w:spacing w:line="240" w:lineRule="auto"/>
              <w:jc w:val="center"/>
              <w:rPr>
                <w:sz w:val="24"/>
                <w:szCs w:val="24"/>
                <w:highlight w:val="none"/>
              </w:rPr>
            </w:pPr>
            <w:r>
              <w:rPr>
                <w:rFonts w:hint="eastAsia"/>
                <w:sz w:val="24"/>
                <w:szCs w:val="24"/>
                <w:highlight w:val="none"/>
              </w:rPr>
              <w:t>单元式空气调节机</w:t>
            </w:r>
          </w:p>
          <w:p w14:paraId="76276CF3">
            <w:pPr>
              <w:pStyle w:val="46"/>
              <w:spacing w:line="240" w:lineRule="auto"/>
              <w:jc w:val="center"/>
              <w:rPr>
                <w:sz w:val="24"/>
                <w:szCs w:val="24"/>
                <w:highlight w:val="none"/>
                <w:lang w:val="en-US" w:eastAsia="zh-CN"/>
              </w:rPr>
            </w:pPr>
            <w:r>
              <w:rPr>
                <w:rFonts w:hint="eastAsia"/>
                <w:sz w:val="24"/>
                <w:szCs w:val="24"/>
                <w:highlight w:val="none"/>
              </w:rPr>
              <w:t>（制冷量</w:t>
            </w:r>
            <w:r>
              <w:rPr>
                <w:rFonts w:hint="eastAsia"/>
                <w:sz w:val="24"/>
                <w:szCs w:val="24"/>
                <w:highlight w:val="none"/>
                <w:lang w:val="en-US" w:eastAsia="zh-CN" w:bidi="en-US"/>
              </w:rPr>
              <w:t>W14000W）</w:t>
            </w:r>
          </w:p>
        </w:tc>
        <w:tc>
          <w:tcPr>
            <w:tcW w:w="3628" w:type="dxa"/>
            <w:vAlign w:val="center"/>
          </w:tcPr>
          <w:p w14:paraId="618B9AA4">
            <w:pPr>
              <w:pStyle w:val="46"/>
              <w:spacing w:line="240" w:lineRule="auto"/>
              <w:jc w:val="center"/>
              <w:rPr>
                <w:sz w:val="24"/>
                <w:szCs w:val="24"/>
                <w:highlight w:val="none"/>
              </w:rPr>
            </w:pPr>
            <w:r>
              <w:rPr>
                <w:rFonts w:hint="eastAsia"/>
                <w:sz w:val="24"/>
                <w:szCs w:val="24"/>
                <w:highlight w:val="none"/>
              </w:rPr>
              <w:t>《单元式空气调节机能效限定值 及能源效率等级》</w:t>
            </w:r>
            <w:r>
              <w:rPr>
                <w:rFonts w:hint="eastAsia"/>
                <w:sz w:val="24"/>
                <w:szCs w:val="24"/>
                <w:highlight w:val="none"/>
                <w:lang w:val="en-US" w:eastAsia="zh-CN" w:bidi="en-US"/>
              </w:rPr>
              <w:t xml:space="preserve">（GB </w:t>
            </w:r>
            <w:r>
              <w:rPr>
                <w:rFonts w:hint="eastAsia"/>
                <w:sz w:val="24"/>
                <w:szCs w:val="24"/>
                <w:highlight w:val="none"/>
              </w:rPr>
              <w:t>19576）《风 管送风式空调机组能效限定值及 能效等级》</w:t>
            </w:r>
            <w:r>
              <w:rPr>
                <w:rFonts w:hint="eastAsia"/>
                <w:sz w:val="24"/>
                <w:szCs w:val="24"/>
                <w:highlight w:val="none"/>
                <w:lang w:val="en-US" w:eastAsia="zh-CN" w:bidi="en-US"/>
              </w:rPr>
              <w:t xml:space="preserve">（GB </w:t>
            </w:r>
            <w:r>
              <w:rPr>
                <w:rFonts w:hint="eastAsia"/>
                <w:sz w:val="24"/>
                <w:szCs w:val="24"/>
                <w:highlight w:val="none"/>
              </w:rPr>
              <w:t>37479）</w:t>
            </w:r>
          </w:p>
        </w:tc>
      </w:tr>
      <w:tr w14:paraId="0AAFB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13B59799">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38857DDB">
            <w:pPr>
              <w:pStyle w:val="46"/>
              <w:spacing w:line="240" w:lineRule="auto"/>
              <w:jc w:val="center"/>
              <w:rPr>
                <w:sz w:val="24"/>
                <w:szCs w:val="24"/>
                <w:highlight w:val="none"/>
                <w:lang w:val="en-US" w:eastAsia="zh-CN" w:bidi="en-US"/>
              </w:rPr>
            </w:pPr>
          </w:p>
        </w:tc>
        <w:tc>
          <w:tcPr>
            <w:tcW w:w="1783" w:type="dxa"/>
            <w:vAlign w:val="center"/>
          </w:tcPr>
          <w:p w14:paraId="743A1A04">
            <w:pPr>
              <w:pStyle w:val="46"/>
              <w:spacing w:line="240" w:lineRule="auto"/>
              <w:jc w:val="center"/>
              <w:rPr>
                <w:sz w:val="24"/>
                <w:szCs w:val="24"/>
                <w:highlight w:val="none"/>
              </w:rPr>
            </w:pPr>
            <w:r>
              <w:rPr>
                <w:rFonts w:hint="eastAsia"/>
                <w:sz w:val="24"/>
                <w:szCs w:val="24"/>
                <w:highlight w:val="none"/>
                <w:lang w:val="en-US" w:eastAsia="en-US" w:bidi="en-US"/>
              </w:rPr>
              <w:t xml:space="preserve">A0206180301 </w:t>
            </w:r>
            <w:r>
              <w:rPr>
                <w:rFonts w:hint="eastAsia"/>
                <w:sz w:val="24"/>
                <w:szCs w:val="24"/>
                <w:highlight w:val="none"/>
              </w:rPr>
              <w:t>洗衣机</w:t>
            </w:r>
          </w:p>
        </w:tc>
        <w:tc>
          <w:tcPr>
            <w:tcW w:w="1877" w:type="dxa"/>
            <w:vAlign w:val="center"/>
          </w:tcPr>
          <w:p w14:paraId="7404F506">
            <w:pPr>
              <w:jc w:val="center"/>
              <w:rPr>
                <w:rFonts w:ascii="宋体" w:hAnsi="宋体" w:cs="宋体"/>
                <w:sz w:val="24"/>
                <w:szCs w:val="24"/>
                <w:highlight w:val="none"/>
              </w:rPr>
            </w:pPr>
          </w:p>
        </w:tc>
        <w:tc>
          <w:tcPr>
            <w:tcW w:w="3628" w:type="dxa"/>
            <w:vAlign w:val="center"/>
          </w:tcPr>
          <w:p w14:paraId="7D38E4D5">
            <w:pPr>
              <w:pStyle w:val="46"/>
              <w:spacing w:line="240" w:lineRule="auto"/>
              <w:jc w:val="center"/>
              <w:rPr>
                <w:sz w:val="24"/>
                <w:szCs w:val="24"/>
                <w:highlight w:val="none"/>
              </w:rPr>
            </w:pPr>
            <w:r>
              <w:rPr>
                <w:rFonts w:hint="eastAsia"/>
                <w:sz w:val="24"/>
                <w:szCs w:val="24"/>
                <w:highlight w:val="none"/>
              </w:rPr>
              <w:t>《电动洗衣机能效水效限定值及 等级》</w:t>
            </w:r>
            <w:r>
              <w:rPr>
                <w:rFonts w:hint="eastAsia"/>
                <w:sz w:val="24"/>
                <w:szCs w:val="24"/>
                <w:highlight w:val="none"/>
                <w:lang w:val="en-US" w:eastAsia="zh-CN" w:bidi="en-US"/>
              </w:rPr>
              <w:t>（GB 12021.4）</w:t>
            </w:r>
          </w:p>
        </w:tc>
      </w:tr>
      <w:tr w14:paraId="5D687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111C627C">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08FAF363">
            <w:pPr>
              <w:pStyle w:val="46"/>
              <w:spacing w:line="240" w:lineRule="auto"/>
              <w:jc w:val="center"/>
              <w:rPr>
                <w:sz w:val="24"/>
                <w:szCs w:val="24"/>
                <w:highlight w:val="none"/>
                <w:lang w:val="en-US" w:eastAsia="zh-CN" w:bidi="en-US"/>
              </w:rPr>
            </w:pPr>
          </w:p>
        </w:tc>
        <w:tc>
          <w:tcPr>
            <w:tcW w:w="1783" w:type="dxa"/>
            <w:vMerge w:val="restart"/>
            <w:vAlign w:val="center"/>
          </w:tcPr>
          <w:p w14:paraId="1E57C341">
            <w:pPr>
              <w:pStyle w:val="46"/>
              <w:spacing w:line="240" w:lineRule="auto"/>
              <w:jc w:val="center"/>
              <w:rPr>
                <w:sz w:val="24"/>
                <w:szCs w:val="24"/>
                <w:highlight w:val="none"/>
              </w:rPr>
            </w:pPr>
            <w:r>
              <w:rPr>
                <w:rFonts w:hint="eastAsia"/>
                <w:sz w:val="24"/>
                <w:szCs w:val="24"/>
                <w:highlight w:val="none"/>
                <w:lang w:val="en-US" w:eastAsia="en-US" w:bidi="en-US"/>
              </w:rPr>
              <w:t>A02061808</w:t>
            </w:r>
            <w:r>
              <w:rPr>
                <w:rFonts w:hint="eastAsia"/>
                <w:sz w:val="24"/>
                <w:szCs w:val="24"/>
                <w:highlight w:val="none"/>
              </w:rPr>
              <w:t>热水器</w:t>
            </w:r>
          </w:p>
        </w:tc>
        <w:tc>
          <w:tcPr>
            <w:tcW w:w="1877" w:type="dxa"/>
            <w:vAlign w:val="center"/>
          </w:tcPr>
          <w:p w14:paraId="27EA677C">
            <w:pPr>
              <w:pStyle w:val="46"/>
              <w:spacing w:line="240" w:lineRule="auto"/>
              <w:jc w:val="center"/>
              <w:rPr>
                <w:sz w:val="24"/>
                <w:szCs w:val="24"/>
                <w:highlight w:val="none"/>
                <w:lang w:val="en-US" w:eastAsia="zh-CN"/>
              </w:rPr>
            </w:pPr>
            <w:r>
              <w:rPr>
                <w:rFonts w:hint="eastAsia"/>
                <w:sz w:val="24"/>
                <w:szCs w:val="24"/>
                <w:highlight w:val="none"/>
              </w:rPr>
              <w:t>★电热水器</w:t>
            </w:r>
          </w:p>
        </w:tc>
        <w:tc>
          <w:tcPr>
            <w:tcW w:w="3628" w:type="dxa"/>
            <w:vAlign w:val="center"/>
          </w:tcPr>
          <w:p w14:paraId="6690D5D6">
            <w:pPr>
              <w:pStyle w:val="46"/>
              <w:spacing w:line="240" w:lineRule="auto"/>
              <w:jc w:val="center"/>
              <w:rPr>
                <w:sz w:val="24"/>
                <w:szCs w:val="24"/>
                <w:highlight w:val="none"/>
              </w:rPr>
            </w:pPr>
            <w:r>
              <w:rPr>
                <w:rFonts w:hint="eastAsia"/>
                <w:sz w:val="24"/>
                <w:szCs w:val="24"/>
                <w:highlight w:val="none"/>
              </w:rPr>
              <w:t>《储水式电热水器能效限定值及 能效等级》</w:t>
            </w:r>
            <w:r>
              <w:rPr>
                <w:rFonts w:hint="eastAsia"/>
                <w:sz w:val="24"/>
                <w:szCs w:val="24"/>
                <w:highlight w:val="none"/>
                <w:lang w:val="en-US" w:eastAsia="zh-CN" w:bidi="en-US"/>
              </w:rPr>
              <w:t xml:space="preserve">（GB </w:t>
            </w:r>
            <w:r>
              <w:rPr>
                <w:rFonts w:hint="eastAsia"/>
                <w:sz w:val="24"/>
                <w:szCs w:val="24"/>
                <w:highlight w:val="none"/>
              </w:rPr>
              <w:t>21519）</w:t>
            </w:r>
          </w:p>
        </w:tc>
      </w:tr>
      <w:tr w14:paraId="404DD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89" w:hRule="exact"/>
          <w:jc w:val="center"/>
        </w:trPr>
        <w:tc>
          <w:tcPr>
            <w:tcW w:w="583" w:type="dxa"/>
            <w:vMerge w:val="continue"/>
            <w:vAlign w:val="center"/>
          </w:tcPr>
          <w:p w14:paraId="0AEEE103">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093AEA17">
            <w:pPr>
              <w:pStyle w:val="46"/>
              <w:spacing w:line="240" w:lineRule="auto"/>
              <w:jc w:val="center"/>
              <w:rPr>
                <w:sz w:val="24"/>
                <w:szCs w:val="24"/>
                <w:highlight w:val="none"/>
                <w:lang w:val="en-US" w:eastAsia="zh-CN" w:bidi="en-US"/>
              </w:rPr>
            </w:pPr>
          </w:p>
        </w:tc>
        <w:tc>
          <w:tcPr>
            <w:tcW w:w="1783" w:type="dxa"/>
            <w:vMerge w:val="continue"/>
            <w:vAlign w:val="center"/>
          </w:tcPr>
          <w:p w14:paraId="34331819">
            <w:pPr>
              <w:pStyle w:val="46"/>
              <w:spacing w:line="240" w:lineRule="auto"/>
              <w:jc w:val="center"/>
              <w:rPr>
                <w:sz w:val="24"/>
                <w:szCs w:val="24"/>
                <w:highlight w:val="none"/>
              </w:rPr>
            </w:pPr>
          </w:p>
        </w:tc>
        <w:tc>
          <w:tcPr>
            <w:tcW w:w="1877" w:type="dxa"/>
            <w:vAlign w:val="center"/>
          </w:tcPr>
          <w:p w14:paraId="27304336">
            <w:pPr>
              <w:pStyle w:val="46"/>
              <w:spacing w:line="240" w:lineRule="auto"/>
              <w:jc w:val="center"/>
              <w:rPr>
                <w:sz w:val="24"/>
                <w:szCs w:val="24"/>
                <w:highlight w:val="none"/>
                <w:lang w:val="en-US" w:eastAsia="zh-CN"/>
              </w:rPr>
            </w:pPr>
            <w:r>
              <w:rPr>
                <w:rFonts w:hint="eastAsia"/>
                <w:sz w:val="24"/>
                <w:szCs w:val="24"/>
                <w:highlight w:val="none"/>
              </w:rPr>
              <w:t>燃气热水器</w:t>
            </w:r>
          </w:p>
        </w:tc>
        <w:tc>
          <w:tcPr>
            <w:tcW w:w="3628" w:type="dxa"/>
            <w:vAlign w:val="center"/>
          </w:tcPr>
          <w:p w14:paraId="018F3714">
            <w:pPr>
              <w:pStyle w:val="46"/>
              <w:spacing w:line="240" w:lineRule="auto"/>
              <w:jc w:val="center"/>
              <w:rPr>
                <w:sz w:val="24"/>
                <w:szCs w:val="24"/>
                <w:highlight w:val="none"/>
              </w:rPr>
            </w:pPr>
            <w:r>
              <w:rPr>
                <w:rFonts w:hint="eastAsia"/>
                <w:sz w:val="24"/>
                <w:szCs w:val="24"/>
                <w:highlight w:val="none"/>
              </w:rPr>
              <w:t>《家用燃气快速热水器和燃气釆 暖热水炉能效限定值及能效等级》</w:t>
            </w:r>
          </w:p>
          <w:p w14:paraId="6E40A02D">
            <w:pPr>
              <w:pStyle w:val="46"/>
              <w:spacing w:line="240" w:lineRule="auto"/>
              <w:jc w:val="center"/>
              <w:rPr>
                <w:sz w:val="24"/>
                <w:szCs w:val="24"/>
                <w:highlight w:val="none"/>
              </w:rPr>
            </w:pPr>
            <w:r>
              <w:rPr>
                <w:rFonts w:hint="eastAsia"/>
                <w:sz w:val="24"/>
                <w:szCs w:val="24"/>
                <w:highlight w:val="none"/>
                <w:lang w:val="en-US" w:eastAsia="en-US" w:bidi="en-US"/>
              </w:rPr>
              <w:t xml:space="preserve">（GB </w:t>
            </w:r>
            <w:r>
              <w:rPr>
                <w:rFonts w:hint="eastAsia"/>
                <w:sz w:val="24"/>
                <w:szCs w:val="24"/>
                <w:highlight w:val="none"/>
              </w:rPr>
              <w:t>20665）</w:t>
            </w:r>
          </w:p>
        </w:tc>
      </w:tr>
      <w:tr w14:paraId="6BB14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05DB6A76">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4D8FE790">
            <w:pPr>
              <w:pStyle w:val="46"/>
              <w:spacing w:line="240" w:lineRule="auto"/>
              <w:jc w:val="center"/>
              <w:rPr>
                <w:sz w:val="24"/>
                <w:szCs w:val="24"/>
                <w:highlight w:val="none"/>
                <w:lang w:val="en-US" w:eastAsia="en-US" w:bidi="en-US"/>
              </w:rPr>
            </w:pPr>
          </w:p>
        </w:tc>
        <w:tc>
          <w:tcPr>
            <w:tcW w:w="1783" w:type="dxa"/>
            <w:vMerge w:val="continue"/>
            <w:vAlign w:val="center"/>
          </w:tcPr>
          <w:p w14:paraId="24B37015">
            <w:pPr>
              <w:pStyle w:val="46"/>
              <w:spacing w:line="240" w:lineRule="auto"/>
              <w:jc w:val="center"/>
              <w:rPr>
                <w:sz w:val="24"/>
                <w:szCs w:val="24"/>
                <w:highlight w:val="none"/>
              </w:rPr>
            </w:pPr>
          </w:p>
        </w:tc>
        <w:tc>
          <w:tcPr>
            <w:tcW w:w="1877" w:type="dxa"/>
            <w:vAlign w:val="center"/>
          </w:tcPr>
          <w:p w14:paraId="12DF9745">
            <w:pPr>
              <w:pStyle w:val="46"/>
              <w:spacing w:line="240" w:lineRule="auto"/>
              <w:jc w:val="center"/>
              <w:rPr>
                <w:sz w:val="24"/>
                <w:szCs w:val="24"/>
                <w:highlight w:val="none"/>
                <w:lang w:val="en-US" w:eastAsia="zh-CN"/>
              </w:rPr>
            </w:pPr>
            <w:r>
              <w:rPr>
                <w:rFonts w:hint="eastAsia"/>
                <w:sz w:val="24"/>
                <w:szCs w:val="24"/>
                <w:highlight w:val="none"/>
              </w:rPr>
              <w:t>热泵热水器</w:t>
            </w:r>
          </w:p>
        </w:tc>
        <w:tc>
          <w:tcPr>
            <w:tcW w:w="3628" w:type="dxa"/>
            <w:vAlign w:val="center"/>
          </w:tcPr>
          <w:p w14:paraId="26BAEA0A">
            <w:pPr>
              <w:pStyle w:val="46"/>
              <w:spacing w:line="240" w:lineRule="auto"/>
              <w:jc w:val="center"/>
              <w:rPr>
                <w:sz w:val="24"/>
                <w:szCs w:val="24"/>
                <w:highlight w:val="none"/>
              </w:rPr>
            </w:pPr>
            <w:r>
              <w:rPr>
                <w:rFonts w:hint="eastAsia"/>
                <w:sz w:val="24"/>
                <w:szCs w:val="24"/>
                <w:highlight w:val="none"/>
              </w:rPr>
              <w:t>《热泵热水机（器）能效限定值及 能效等级》</w:t>
            </w:r>
            <w:r>
              <w:rPr>
                <w:rFonts w:hint="eastAsia"/>
                <w:sz w:val="24"/>
                <w:szCs w:val="24"/>
                <w:highlight w:val="none"/>
                <w:lang w:val="en-US" w:eastAsia="zh-CN" w:bidi="en-US"/>
              </w:rPr>
              <w:t xml:space="preserve">（GB </w:t>
            </w:r>
            <w:r>
              <w:rPr>
                <w:rFonts w:hint="eastAsia"/>
                <w:sz w:val="24"/>
                <w:szCs w:val="24"/>
                <w:highlight w:val="none"/>
              </w:rPr>
              <w:t>29541）</w:t>
            </w:r>
          </w:p>
        </w:tc>
      </w:tr>
      <w:tr w14:paraId="5AEB2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0C403774">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169C1B8F">
            <w:pPr>
              <w:pStyle w:val="46"/>
              <w:spacing w:line="240" w:lineRule="auto"/>
              <w:jc w:val="center"/>
              <w:rPr>
                <w:sz w:val="24"/>
                <w:szCs w:val="24"/>
                <w:highlight w:val="none"/>
                <w:lang w:val="en-US" w:eastAsia="zh-CN" w:bidi="en-US"/>
              </w:rPr>
            </w:pPr>
          </w:p>
        </w:tc>
        <w:tc>
          <w:tcPr>
            <w:tcW w:w="1783" w:type="dxa"/>
            <w:vMerge w:val="continue"/>
            <w:vAlign w:val="center"/>
          </w:tcPr>
          <w:p w14:paraId="7DD9FC2F">
            <w:pPr>
              <w:pStyle w:val="46"/>
              <w:spacing w:line="240" w:lineRule="auto"/>
              <w:jc w:val="center"/>
              <w:rPr>
                <w:sz w:val="24"/>
                <w:szCs w:val="24"/>
                <w:highlight w:val="none"/>
              </w:rPr>
            </w:pPr>
          </w:p>
        </w:tc>
        <w:tc>
          <w:tcPr>
            <w:tcW w:w="1877" w:type="dxa"/>
            <w:vAlign w:val="center"/>
          </w:tcPr>
          <w:p w14:paraId="2EACA2F7">
            <w:pPr>
              <w:pStyle w:val="46"/>
              <w:spacing w:line="240" w:lineRule="auto"/>
              <w:jc w:val="center"/>
              <w:rPr>
                <w:sz w:val="24"/>
                <w:szCs w:val="24"/>
                <w:highlight w:val="none"/>
                <w:lang w:val="en-US" w:eastAsia="zh-CN"/>
              </w:rPr>
            </w:pPr>
            <w:r>
              <w:rPr>
                <w:rFonts w:hint="eastAsia"/>
                <w:sz w:val="24"/>
                <w:szCs w:val="24"/>
                <w:highlight w:val="none"/>
              </w:rPr>
              <w:t>太阳能热水系统</w:t>
            </w:r>
          </w:p>
        </w:tc>
        <w:tc>
          <w:tcPr>
            <w:tcW w:w="3628" w:type="dxa"/>
            <w:vAlign w:val="center"/>
          </w:tcPr>
          <w:p w14:paraId="2FF4BC5E">
            <w:pPr>
              <w:pStyle w:val="46"/>
              <w:spacing w:line="240" w:lineRule="auto"/>
              <w:jc w:val="center"/>
              <w:rPr>
                <w:sz w:val="24"/>
                <w:szCs w:val="24"/>
                <w:highlight w:val="none"/>
              </w:rPr>
            </w:pPr>
            <w:r>
              <w:rPr>
                <w:rFonts w:hint="eastAsia"/>
                <w:sz w:val="24"/>
                <w:szCs w:val="24"/>
                <w:highlight w:val="none"/>
              </w:rPr>
              <w:t>《家用太阳能热水系统能效限定 值及能效等级》</w:t>
            </w:r>
            <w:r>
              <w:rPr>
                <w:rFonts w:hint="eastAsia"/>
                <w:sz w:val="24"/>
                <w:szCs w:val="24"/>
                <w:highlight w:val="none"/>
                <w:lang w:val="en-US" w:eastAsia="zh-CN" w:bidi="en-US"/>
              </w:rPr>
              <w:t xml:space="preserve">（GB </w:t>
            </w:r>
            <w:r>
              <w:rPr>
                <w:rFonts w:hint="eastAsia"/>
                <w:sz w:val="24"/>
                <w:szCs w:val="24"/>
                <w:highlight w:val="none"/>
              </w:rPr>
              <w:t>26969）</w:t>
            </w:r>
          </w:p>
        </w:tc>
      </w:tr>
      <w:tr w14:paraId="2ADAE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restart"/>
            <w:vAlign w:val="center"/>
          </w:tcPr>
          <w:p w14:paraId="0A07F183">
            <w:pPr>
              <w:pStyle w:val="46"/>
              <w:spacing w:line="240" w:lineRule="auto"/>
              <w:jc w:val="center"/>
              <w:rPr>
                <w:sz w:val="24"/>
                <w:szCs w:val="24"/>
                <w:highlight w:val="none"/>
                <w:lang w:val="en-US" w:eastAsia="zh-CN" w:bidi="zh-CN"/>
              </w:rPr>
            </w:pPr>
            <w:r>
              <w:rPr>
                <w:rFonts w:hint="eastAsia"/>
                <w:sz w:val="24"/>
                <w:szCs w:val="24"/>
                <w:highlight w:val="none"/>
                <w:lang w:val="en-US" w:eastAsia="zh-CN" w:bidi="zh-CN"/>
              </w:rPr>
              <w:t>11</w:t>
            </w:r>
          </w:p>
        </w:tc>
        <w:tc>
          <w:tcPr>
            <w:tcW w:w="1167" w:type="dxa"/>
            <w:vMerge w:val="restart"/>
            <w:vAlign w:val="center"/>
          </w:tcPr>
          <w:p w14:paraId="6DC8EE6D">
            <w:pPr>
              <w:pStyle w:val="46"/>
              <w:spacing w:line="240" w:lineRule="auto"/>
              <w:jc w:val="center"/>
              <w:rPr>
                <w:sz w:val="24"/>
                <w:szCs w:val="24"/>
                <w:highlight w:val="none"/>
                <w:lang w:val="en-US" w:eastAsia="en-US" w:bidi="en-US"/>
              </w:rPr>
            </w:pPr>
            <w:r>
              <w:rPr>
                <w:rFonts w:hint="eastAsia"/>
                <w:sz w:val="24"/>
                <w:szCs w:val="24"/>
                <w:highlight w:val="none"/>
                <w:lang w:val="en-US" w:eastAsia="en-US" w:bidi="en-US"/>
              </w:rPr>
              <w:t xml:space="preserve">A020619 </w:t>
            </w:r>
            <w:r>
              <w:rPr>
                <w:rFonts w:hint="eastAsia"/>
                <w:sz w:val="24"/>
                <w:szCs w:val="24"/>
                <w:highlight w:val="none"/>
              </w:rPr>
              <w:t>照明设备</w:t>
            </w:r>
          </w:p>
        </w:tc>
        <w:tc>
          <w:tcPr>
            <w:tcW w:w="1783" w:type="dxa"/>
            <w:vAlign w:val="center"/>
          </w:tcPr>
          <w:p w14:paraId="506FC282">
            <w:pPr>
              <w:pStyle w:val="46"/>
              <w:spacing w:line="240" w:lineRule="auto"/>
              <w:jc w:val="center"/>
              <w:rPr>
                <w:sz w:val="24"/>
                <w:szCs w:val="24"/>
                <w:highlight w:val="none"/>
              </w:rPr>
            </w:pPr>
            <w:r>
              <w:rPr>
                <w:rFonts w:hint="eastAsia"/>
                <w:sz w:val="24"/>
                <w:szCs w:val="24"/>
                <w:highlight w:val="none"/>
              </w:rPr>
              <w:t>★普通照明用双端荧光灯</w:t>
            </w:r>
          </w:p>
        </w:tc>
        <w:tc>
          <w:tcPr>
            <w:tcW w:w="1877" w:type="dxa"/>
            <w:vAlign w:val="center"/>
          </w:tcPr>
          <w:p w14:paraId="6A85D941">
            <w:pPr>
              <w:jc w:val="center"/>
              <w:rPr>
                <w:rFonts w:ascii="宋体" w:hAnsi="宋体" w:cs="宋体"/>
                <w:sz w:val="24"/>
                <w:szCs w:val="24"/>
                <w:highlight w:val="none"/>
                <w:lang w:eastAsia="zh-CN"/>
              </w:rPr>
            </w:pPr>
          </w:p>
        </w:tc>
        <w:tc>
          <w:tcPr>
            <w:tcW w:w="3628" w:type="dxa"/>
            <w:vAlign w:val="center"/>
          </w:tcPr>
          <w:p w14:paraId="2BEC7F43">
            <w:pPr>
              <w:pStyle w:val="46"/>
              <w:spacing w:line="240" w:lineRule="auto"/>
              <w:jc w:val="center"/>
              <w:rPr>
                <w:sz w:val="24"/>
                <w:szCs w:val="24"/>
                <w:highlight w:val="none"/>
              </w:rPr>
            </w:pPr>
            <w:r>
              <w:rPr>
                <w:rFonts w:hint="eastAsia"/>
                <w:sz w:val="24"/>
                <w:szCs w:val="24"/>
                <w:highlight w:val="none"/>
              </w:rPr>
              <w:t>《普通照明用双端荧光灯能效限 定值及能效等级》</w:t>
            </w:r>
            <w:r>
              <w:rPr>
                <w:rFonts w:hint="eastAsia"/>
                <w:sz w:val="24"/>
                <w:szCs w:val="24"/>
                <w:highlight w:val="none"/>
                <w:lang w:val="en-US" w:eastAsia="zh-CN" w:bidi="en-US"/>
              </w:rPr>
              <w:t xml:space="preserve">（GB </w:t>
            </w:r>
            <w:r>
              <w:rPr>
                <w:rFonts w:hint="eastAsia"/>
                <w:sz w:val="24"/>
                <w:szCs w:val="24"/>
                <w:highlight w:val="none"/>
              </w:rPr>
              <w:t>19043）</w:t>
            </w:r>
          </w:p>
        </w:tc>
      </w:tr>
      <w:tr w14:paraId="2CB83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2C1D2A83">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75F49CC2">
            <w:pPr>
              <w:pStyle w:val="46"/>
              <w:spacing w:line="240" w:lineRule="auto"/>
              <w:jc w:val="center"/>
              <w:rPr>
                <w:sz w:val="24"/>
                <w:szCs w:val="24"/>
                <w:highlight w:val="none"/>
                <w:lang w:val="en-US" w:eastAsia="zh-CN" w:bidi="en-US"/>
              </w:rPr>
            </w:pPr>
          </w:p>
        </w:tc>
        <w:tc>
          <w:tcPr>
            <w:tcW w:w="1783" w:type="dxa"/>
            <w:vAlign w:val="center"/>
          </w:tcPr>
          <w:p w14:paraId="442EAF05">
            <w:pPr>
              <w:pStyle w:val="46"/>
              <w:spacing w:line="240" w:lineRule="auto"/>
              <w:jc w:val="center"/>
              <w:rPr>
                <w:sz w:val="24"/>
                <w:szCs w:val="24"/>
                <w:highlight w:val="none"/>
              </w:rPr>
            </w:pPr>
            <w:r>
              <w:rPr>
                <w:rFonts w:hint="eastAsia"/>
                <w:sz w:val="24"/>
                <w:szCs w:val="24"/>
                <w:highlight w:val="none"/>
                <w:lang w:val="en-US" w:eastAsia="en-US" w:bidi="en-US"/>
              </w:rPr>
              <w:t>LED</w:t>
            </w:r>
            <w:r>
              <w:rPr>
                <w:rFonts w:hint="eastAsia"/>
                <w:sz w:val="24"/>
                <w:szCs w:val="24"/>
                <w:highlight w:val="none"/>
              </w:rPr>
              <w:t>道路/隧道照明产品</w:t>
            </w:r>
          </w:p>
        </w:tc>
        <w:tc>
          <w:tcPr>
            <w:tcW w:w="1877" w:type="dxa"/>
            <w:vAlign w:val="center"/>
          </w:tcPr>
          <w:p w14:paraId="4DFD2610">
            <w:pPr>
              <w:jc w:val="center"/>
              <w:rPr>
                <w:rFonts w:ascii="宋体" w:hAnsi="宋体" w:cs="宋体"/>
                <w:sz w:val="24"/>
                <w:szCs w:val="24"/>
                <w:highlight w:val="none"/>
              </w:rPr>
            </w:pPr>
          </w:p>
        </w:tc>
        <w:tc>
          <w:tcPr>
            <w:tcW w:w="3628" w:type="dxa"/>
            <w:vAlign w:val="center"/>
          </w:tcPr>
          <w:p w14:paraId="03AA0616">
            <w:pPr>
              <w:pStyle w:val="46"/>
              <w:spacing w:line="240" w:lineRule="auto"/>
              <w:jc w:val="center"/>
              <w:rPr>
                <w:sz w:val="24"/>
                <w:szCs w:val="24"/>
                <w:highlight w:val="none"/>
              </w:rPr>
            </w:pPr>
            <w:r>
              <w:rPr>
                <w:rFonts w:hint="eastAsia"/>
                <w:sz w:val="24"/>
                <w:szCs w:val="24"/>
                <w:highlight w:val="none"/>
              </w:rPr>
              <w:t>《道路和隧道照明用</w:t>
            </w:r>
            <w:r>
              <w:rPr>
                <w:rFonts w:hint="eastAsia"/>
                <w:sz w:val="24"/>
                <w:szCs w:val="24"/>
                <w:highlight w:val="none"/>
                <w:lang w:val="en-US" w:eastAsia="zh-CN" w:bidi="en-US"/>
              </w:rPr>
              <w:t>LED</w:t>
            </w:r>
            <w:r>
              <w:rPr>
                <w:rFonts w:hint="eastAsia"/>
                <w:sz w:val="24"/>
                <w:szCs w:val="24"/>
                <w:highlight w:val="none"/>
              </w:rPr>
              <w:t>灯具能 效限定值及能效等级》</w:t>
            </w:r>
            <w:r>
              <w:rPr>
                <w:rFonts w:hint="eastAsia"/>
                <w:sz w:val="24"/>
                <w:szCs w:val="24"/>
                <w:highlight w:val="none"/>
                <w:lang w:val="en-US" w:eastAsia="zh-CN" w:bidi="en-US"/>
              </w:rPr>
              <w:t xml:space="preserve">（GB </w:t>
            </w:r>
            <w:r>
              <w:rPr>
                <w:rFonts w:hint="eastAsia"/>
                <w:sz w:val="24"/>
                <w:szCs w:val="24"/>
                <w:highlight w:val="none"/>
              </w:rPr>
              <w:t>37478）</w:t>
            </w:r>
          </w:p>
        </w:tc>
      </w:tr>
      <w:tr w14:paraId="166A9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333EC90A">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0AB35363">
            <w:pPr>
              <w:pStyle w:val="46"/>
              <w:spacing w:line="240" w:lineRule="auto"/>
              <w:jc w:val="center"/>
              <w:rPr>
                <w:sz w:val="24"/>
                <w:szCs w:val="24"/>
                <w:highlight w:val="none"/>
                <w:lang w:val="en-US" w:eastAsia="zh-CN" w:bidi="en-US"/>
              </w:rPr>
            </w:pPr>
          </w:p>
        </w:tc>
        <w:tc>
          <w:tcPr>
            <w:tcW w:w="1783" w:type="dxa"/>
            <w:vAlign w:val="center"/>
          </w:tcPr>
          <w:p w14:paraId="1C92ACC6">
            <w:pPr>
              <w:pStyle w:val="46"/>
              <w:spacing w:line="240" w:lineRule="auto"/>
              <w:jc w:val="center"/>
              <w:rPr>
                <w:sz w:val="24"/>
                <w:szCs w:val="24"/>
                <w:highlight w:val="none"/>
              </w:rPr>
            </w:pPr>
            <w:r>
              <w:rPr>
                <w:rFonts w:hint="eastAsia"/>
                <w:sz w:val="24"/>
                <w:szCs w:val="24"/>
                <w:highlight w:val="none"/>
                <w:lang w:val="en-US" w:eastAsia="en-US" w:bidi="en-US"/>
              </w:rPr>
              <w:t>LED</w:t>
            </w:r>
            <w:r>
              <w:rPr>
                <w:rFonts w:hint="eastAsia"/>
                <w:sz w:val="24"/>
                <w:szCs w:val="24"/>
                <w:highlight w:val="none"/>
              </w:rPr>
              <w:t>筒灯</w:t>
            </w:r>
          </w:p>
        </w:tc>
        <w:tc>
          <w:tcPr>
            <w:tcW w:w="1877" w:type="dxa"/>
            <w:vAlign w:val="center"/>
          </w:tcPr>
          <w:p w14:paraId="41FAD70F">
            <w:pPr>
              <w:jc w:val="center"/>
              <w:rPr>
                <w:rFonts w:ascii="宋体" w:hAnsi="宋体" w:cs="宋体"/>
                <w:sz w:val="24"/>
                <w:szCs w:val="24"/>
                <w:highlight w:val="none"/>
              </w:rPr>
            </w:pPr>
          </w:p>
        </w:tc>
        <w:tc>
          <w:tcPr>
            <w:tcW w:w="3628" w:type="dxa"/>
            <w:vAlign w:val="center"/>
          </w:tcPr>
          <w:p w14:paraId="4F193DF4">
            <w:pPr>
              <w:pStyle w:val="46"/>
              <w:spacing w:line="240" w:lineRule="auto"/>
              <w:jc w:val="center"/>
              <w:rPr>
                <w:sz w:val="24"/>
                <w:szCs w:val="24"/>
                <w:highlight w:val="none"/>
              </w:rPr>
            </w:pPr>
            <w:r>
              <w:rPr>
                <w:rFonts w:hint="eastAsia"/>
                <w:sz w:val="24"/>
                <w:szCs w:val="24"/>
                <w:highlight w:val="none"/>
              </w:rPr>
              <w:t>《室内照明用</w:t>
            </w:r>
            <w:r>
              <w:rPr>
                <w:rFonts w:hint="eastAsia"/>
                <w:sz w:val="24"/>
                <w:szCs w:val="24"/>
                <w:highlight w:val="none"/>
                <w:lang w:val="en-US" w:eastAsia="zh-CN" w:bidi="en-US"/>
              </w:rPr>
              <w:t>LED</w:t>
            </w:r>
            <w:r>
              <w:rPr>
                <w:rFonts w:hint="eastAsia"/>
                <w:sz w:val="24"/>
                <w:szCs w:val="24"/>
                <w:highlight w:val="none"/>
              </w:rPr>
              <w:t>产品能效限定 值及能效等级》</w:t>
            </w:r>
            <w:r>
              <w:rPr>
                <w:rFonts w:hint="eastAsia"/>
                <w:sz w:val="24"/>
                <w:szCs w:val="24"/>
                <w:highlight w:val="none"/>
                <w:lang w:val="en-US" w:eastAsia="zh-CN" w:bidi="en-US"/>
              </w:rPr>
              <w:t xml:space="preserve">（GB </w:t>
            </w:r>
            <w:r>
              <w:rPr>
                <w:rFonts w:hint="eastAsia"/>
                <w:sz w:val="24"/>
                <w:szCs w:val="24"/>
                <w:highlight w:val="none"/>
              </w:rPr>
              <w:t>30255）</w:t>
            </w:r>
          </w:p>
        </w:tc>
      </w:tr>
      <w:tr w14:paraId="700A7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64" w:hRule="exact"/>
          <w:jc w:val="center"/>
        </w:trPr>
        <w:tc>
          <w:tcPr>
            <w:tcW w:w="583" w:type="dxa"/>
            <w:vMerge w:val="continue"/>
            <w:vAlign w:val="center"/>
          </w:tcPr>
          <w:p w14:paraId="12EA98E0">
            <w:pPr>
              <w:pStyle w:val="46"/>
              <w:spacing w:line="240" w:lineRule="auto"/>
              <w:ind w:firstLine="200"/>
              <w:jc w:val="center"/>
              <w:rPr>
                <w:sz w:val="24"/>
                <w:szCs w:val="24"/>
                <w:highlight w:val="none"/>
                <w:lang w:val="zh-CN" w:eastAsia="zh-CN" w:bidi="zh-CN"/>
              </w:rPr>
            </w:pPr>
          </w:p>
        </w:tc>
        <w:tc>
          <w:tcPr>
            <w:tcW w:w="1167" w:type="dxa"/>
            <w:vMerge w:val="continue"/>
            <w:vAlign w:val="center"/>
          </w:tcPr>
          <w:p w14:paraId="4CF77B34">
            <w:pPr>
              <w:pStyle w:val="46"/>
              <w:spacing w:line="240" w:lineRule="auto"/>
              <w:jc w:val="center"/>
              <w:rPr>
                <w:sz w:val="24"/>
                <w:szCs w:val="24"/>
                <w:highlight w:val="none"/>
                <w:lang w:val="en-US" w:eastAsia="zh-CN" w:bidi="en-US"/>
              </w:rPr>
            </w:pPr>
          </w:p>
        </w:tc>
        <w:tc>
          <w:tcPr>
            <w:tcW w:w="1783" w:type="dxa"/>
            <w:vAlign w:val="center"/>
          </w:tcPr>
          <w:p w14:paraId="4D3E4BB6">
            <w:pPr>
              <w:pStyle w:val="46"/>
              <w:spacing w:line="240" w:lineRule="auto"/>
              <w:jc w:val="center"/>
              <w:rPr>
                <w:sz w:val="24"/>
                <w:szCs w:val="24"/>
                <w:highlight w:val="none"/>
              </w:rPr>
            </w:pPr>
            <w:r>
              <w:rPr>
                <w:rFonts w:hint="eastAsia"/>
                <w:sz w:val="24"/>
                <w:szCs w:val="24"/>
                <w:highlight w:val="none"/>
              </w:rPr>
              <w:t>普通照明用非定向自镇流</w:t>
            </w:r>
            <w:r>
              <w:rPr>
                <w:rFonts w:hint="eastAsia"/>
                <w:sz w:val="24"/>
                <w:szCs w:val="24"/>
                <w:highlight w:val="none"/>
                <w:lang w:val="en-US" w:eastAsia="zh-CN" w:bidi="en-US"/>
              </w:rPr>
              <w:t>LED</w:t>
            </w:r>
            <w:r>
              <w:rPr>
                <w:rFonts w:hint="eastAsia"/>
                <w:sz w:val="24"/>
                <w:szCs w:val="24"/>
                <w:highlight w:val="none"/>
              </w:rPr>
              <w:t>灯</w:t>
            </w:r>
          </w:p>
        </w:tc>
        <w:tc>
          <w:tcPr>
            <w:tcW w:w="1877" w:type="dxa"/>
            <w:vAlign w:val="center"/>
          </w:tcPr>
          <w:p w14:paraId="69EB6C71">
            <w:pPr>
              <w:jc w:val="center"/>
              <w:rPr>
                <w:rFonts w:ascii="宋体" w:hAnsi="宋体" w:cs="宋体"/>
                <w:sz w:val="24"/>
                <w:szCs w:val="24"/>
                <w:highlight w:val="none"/>
                <w:lang w:eastAsia="zh-CN"/>
              </w:rPr>
            </w:pPr>
          </w:p>
        </w:tc>
        <w:tc>
          <w:tcPr>
            <w:tcW w:w="3628" w:type="dxa"/>
            <w:vAlign w:val="center"/>
          </w:tcPr>
          <w:p w14:paraId="07AC1767">
            <w:pPr>
              <w:pStyle w:val="46"/>
              <w:spacing w:line="240" w:lineRule="auto"/>
              <w:jc w:val="center"/>
              <w:rPr>
                <w:sz w:val="24"/>
                <w:szCs w:val="24"/>
                <w:highlight w:val="none"/>
              </w:rPr>
            </w:pPr>
            <w:r>
              <w:rPr>
                <w:rFonts w:hint="eastAsia"/>
                <w:sz w:val="24"/>
                <w:szCs w:val="24"/>
                <w:highlight w:val="none"/>
              </w:rPr>
              <w:t>《室内照明用</w:t>
            </w:r>
            <w:r>
              <w:rPr>
                <w:rFonts w:hint="eastAsia"/>
                <w:sz w:val="24"/>
                <w:szCs w:val="24"/>
                <w:highlight w:val="none"/>
                <w:lang w:val="en-US" w:eastAsia="zh-CN" w:bidi="en-US"/>
              </w:rPr>
              <w:t>LED</w:t>
            </w:r>
            <w:r>
              <w:rPr>
                <w:rFonts w:hint="eastAsia"/>
                <w:sz w:val="24"/>
                <w:szCs w:val="24"/>
                <w:highlight w:val="none"/>
              </w:rPr>
              <w:t>产品能效限定 值及能效等级》</w:t>
            </w:r>
            <w:r>
              <w:rPr>
                <w:rFonts w:hint="eastAsia"/>
                <w:sz w:val="24"/>
                <w:szCs w:val="24"/>
                <w:highlight w:val="none"/>
                <w:lang w:val="en-US" w:eastAsia="zh-CN" w:bidi="en-US"/>
              </w:rPr>
              <w:t xml:space="preserve">（GB </w:t>
            </w:r>
            <w:r>
              <w:rPr>
                <w:rFonts w:hint="eastAsia"/>
                <w:sz w:val="24"/>
                <w:szCs w:val="24"/>
                <w:highlight w:val="none"/>
              </w:rPr>
              <w:t>30255）</w:t>
            </w:r>
          </w:p>
        </w:tc>
      </w:tr>
      <w:tr w14:paraId="72B1A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39" w:hRule="exact"/>
          <w:jc w:val="center"/>
        </w:trPr>
        <w:tc>
          <w:tcPr>
            <w:tcW w:w="583" w:type="dxa"/>
            <w:vAlign w:val="center"/>
          </w:tcPr>
          <w:p w14:paraId="5B8CE2E2">
            <w:pPr>
              <w:pStyle w:val="46"/>
              <w:spacing w:line="240" w:lineRule="auto"/>
              <w:jc w:val="center"/>
              <w:rPr>
                <w:sz w:val="24"/>
                <w:szCs w:val="24"/>
                <w:highlight w:val="none"/>
                <w:lang w:val="zh-CN" w:eastAsia="zh-CN"/>
              </w:rPr>
            </w:pPr>
            <w:r>
              <w:rPr>
                <w:rFonts w:hint="eastAsia"/>
                <w:sz w:val="24"/>
                <w:szCs w:val="24"/>
                <w:highlight w:val="none"/>
                <w:lang w:val="zh-CN" w:eastAsia="zh-CN" w:bidi="zh-CN"/>
              </w:rPr>
              <w:t>12</w:t>
            </w:r>
          </w:p>
        </w:tc>
        <w:tc>
          <w:tcPr>
            <w:tcW w:w="1167" w:type="dxa"/>
            <w:vAlign w:val="center"/>
          </w:tcPr>
          <w:p w14:paraId="46E8D623">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★A020910 </w:t>
            </w:r>
            <w:r>
              <w:rPr>
                <w:rFonts w:hint="eastAsia"/>
                <w:sz w:val="24"/>
                <w:szCs w:val="24"/>
                <w:highlight w:val="none"/>
              </w:rPr>
              <w:t>电视设备</w:t>
            </w:r>
          </w:p>
        </w:tc>
        <w:tc>
          <w:tcPr>
            <w:tcW w:w="1783" w:type="dxa"/>
            <w:vAlign w:val="center"/>
          </w:tcPr>
          <w:p w14:paraId="6D6BD4FA">
            <w:pPr>
              <w:pStyle w:val="46"/>
              <w:spacing w:line="240" w:lineRule="auto"/>
              <w:jc w:val="center"/>
              <w:rPr>
                <w:sz w:val="24"/>
                <w:szCs w:val="24"/>
                <w:highlight w:val="none"/>
              </w:rPr>
            </w:pPr>
            <w:r>
              <w:rPr>
                <w:rFonts w:hint="eastAsia"/>
                <w:sz w:val="24"/>
                <w:szCs w:val="24"/>
                <w:highlight w:val="none"/>
                <w:lang w:val="en-US" w:eastAsia="zh-CN" w:bidi="en-US"/>
              </w:rPr>
              <w:t>A02091001</w:t>
            </w:r>
            <w:r>
              <w:rPr>
                <w:rFonts w:hint="eastAsia"/>
                <w:sz w:val="24"/>
                <w:szCs w:val="24"/>
                <w:highlight w:val="none"/>
              </w:rPr>
              <w:t>普通电视设备（电视机）</w:t>
            </w:r>
          </w:p>
        </w:tc>
        <w:tc>
          <w:tcPr>
            <w:tcW w:w="1877" w:type="dxa"/>
            <w:vAlign w:val="center"/>
          </w:tcPr>
          <w:p w14:paraId="5CD679F9">
            <w:pPr>
              <w:jc w:val="center"/>
              <w:rPr>
                <w:rFonts w:ascii="宋体" w:hAnsi="宋体" w:cs="宋体"/>
                <w:sz w:val="24"/>
                <w:szCs w:val="24"/>
                <w:highlight w:val="none"/>
                <w:lang w:eastAsia="zh-CN"/>
              </w:rPr>
            </w:pPr>
          </w:p>
        </w:tc>
        <w:tc>
          <w:tcPr>
            <w:tcW w:w="3628" w:type="dxa"/>
            <w:vAlign w:val="center"/>
          </w:tcPr>
          <w:p w14:paraId="2B1228BD">
            <w:pPr>
              <w:pStyle w:val="46"/>
              <w:spacing w:line="240" w:lineRule="auto"/>
              <w:jc w:val="center"/>
              <w:rPr>
                <w:sz w:val="24"/>
                <w:szCs w:val="24"/>
                <w:highlight w:val="none"/>
              </w:rPr>
            </w:pPr>
            <w:r>
              <w:rPr>
                <w:rFonts w:hint="eastAsia"/>
                <w:sz w:val="24"/>
                <w:szCs w:val="24"/>
                <w:highlight w:val="none"/>
              </w:rPr>
              <w:t>《平板电视能效限定值及能效等 级》</w:t>
            </w:r>
            <w:r>
              <w:rPr>
                <w:rFonts w:hint="eastAsia"/>
                <w:sz w:val="24"/>
                <w:szCs w:val="24"/>
                <w:highlight w:val="none"/>
                <w:lang w:val="en-US" w:eastAsia="zh-CN" w:bidi="en-US"/>
              </w:rPr>
              <w:t xml:space="preserve">（GB </w:t>
            </w:r>
            <w:r>
              <w:rPr>
                <w:rFonts w:hint="eastAsia"/>
                <w:sz w:val="24"/>
                <w:szCs w:val="24"/>
                <w:highlight w:val="none"/>
              </w:rPr>
              <w:t>24850）</w:t>
            </w:r>
          </w:p>
        </w:tc>
      </w:tr>
      <w:tr w14:paraId="2A63F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204" w:hRule="exact"/>
          <w:jc w:val="center"/>
        </w:trPr>
        <w:tc>
          <w:tcPr>
            <w:tcW w:w="583" w:type="dxa"/>
            <w:vAlign w:val="center"/>
          </w:tcPr>
          <w:p w14:paraId="248659C5">
            <w:pPr>
              <w:pStyle w:val="46"/>
              <w:spacing w:line="240" w:lineRule="auto"/>
              <w:jc w:val="center"/>
              <w:rPr>
                <w:sz w:val="24"/>
                <w:szCs w:val="24"/>
                <w:highlight w:val="none"/>
                <w:lang w:val="zh-CN" w:eastAsia="zh-CN"/>
              </w:rPr>
            </w:pPr>
            <w:r>
              <w:rPr>
                <w:rFonts w:hint="eastAsia"/>
                <w:sz w:val="24"/>
                <w:szCs w:val="24"/>
                <w:highlight w:val="none"/>
                <w:lang w:val="zh-CN" w:eastAsia="zh-CN" w:bidi="zh-CN"/>
              </w:rPr>
              <w:t>13</w:t>
            </w:r>
          </w:p>
        </w:tc>
        <w:tc>
          <w:tcPr>
            <w:tcW w:w="1167" w:type="dxa"/>
            <w:vAlign w:val="center"/>
          </w:tcPr>
          <w:p w14:paraId="512EB1B5">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★A020911 </w:t>
            </w:r>
            <w:r>
              <w:rPr>
                <w:rFonts w:hint="eastAsia"/>
                <w:sz w:val="24"/>
                <w:szCs w:val="24"/>
                <w:highlight w:val="none"/>
              </w:rPr>
              <w:t>视频设备</w:t>
            </w:r>
          </w:p>
        </w:tc>
        <w:tc>
          <w:tcPr>
            <w:tcW w:w="1783" w:type="dxa"/>
            <w:vAlign w:val="center"/>
          </w:tcPr>
          <w:p w14:paraId="0764501D">
            <w:pPr>
              <w:pStyle w:val="46"/>
              <w:spacing w:line="240" w:lineRule="auto"/>
              <w:jc w:val="center"/>
              <w:rPr>
                <w:sz w:val="24"/>
                <w:szCs w:val="24"/>
                <w:highlight w:val="none"/>
              </w:rPr>
            </w:pPr>
            <w:r>
              <w:rPr>
                <w:rFonts w:hint="eastAsia"/>
                <w:sz w:val="24"/>
                <w:szCs w:val="24"/>
                <w:highlight w:val="none"/>
                <w:lang w:val="en-US" w:eastAsia="en-US" w:bidi="en-US"/>
              </w:rPr>
              <w:t>A02091107</w:t>
            </w:r>
            <w:r>
              <w:rPr>
                <w:rFonts w:hint="eastAsia"/>
                <w:sz w:val="24"/>
                <w:szCs w:val="24"/>
                <w:highlight w:val="none"/>
              </w:rPr>
              <w:t>视频监控 设备</w:t>
            </w:r>
          </w:p>
        </w:tc>
        <w:tc>
          <w:tcPr>
            <w:tcW w:w="1877" w:type="dxa"/>
            <w:vAlign w:val="center"/>
          </w:tcPr>
          <w:p w14:paraId="2E621678">
            <w:pPr>
              <w:pStyle w:val="46"/>
              <w:spacing w:line="240" w:lineRule="auto"/>
              <w:jc w:val="center"/>
              <w:rPr>
                <w:sz w:val="24"/>
                <w:szCs w:val="24"/>
                <w:highlight w:val="none"/>
                <w:lang w:val="en-US" w:eastAsia="zh-CN"/>
              </w:rPr>
            </w:pPr>
            <w:r>
              <w:rPr>
                <w:rFonts w:hint="eastAsia"/>
                <w:sz w:val="24"/>
                <w:szCs w:val="24"/>
                <w:highlight w:val="none"/>
              </w:rPr>
              <w:t>监视器</w:t>
            </w:r>
          </w:p>
        </w:tc>
        <w:tc>
          <w:tcPr>
            <w:tcW w:w="3628" w:type="dxa"/>
            <w:vAlign w:val="center"/>
          </w:tcPr>
          <w:p w14:paraId="0404BA56">
            <w:pPr>
              <w:pStyle w:val="46"/>
              <w:spacing w:line="240" w:lineRule="auto"/>
              <w:jc w:val="center"/>
              <w:rPr>
                <w:sz w:val="24"/>
                <w:szCs w:val="24"/>
                <w:highlight w:val="none"/>
                <w:lang w:eastAsia="zh-CN"/>
              </w:rPr>
            </w:pPr>
            <w:r>
              <w:rPr>
                <w:rFonts w:hint="eastAsia"/>
                <w:sz w:val="24"/>
                <w:szCs w:val="24"/>
                <w:highlight w:val="none"/>
              </w:rPr>
              <w:t>以射频信号为主要信号输入的监 视器应符合《平板电视能效限定值 及能效等级》</w:t>
            </w:r>
            <w:r>
              <w:rPr>
                <w:rFonts w:hint="eastAsia"/>
                <w:sz w:val="24"/>
                <w:szCs w:val="24"/>
                <w:highlight w:val="none"/>
                <w:lang w:val="en-US" w:eastAsia="zh-CN" w:bidi="en-US"/>
              </w:rPr>
              <w:t xml:space="preserve">（GB </w:t>
            </w:r>
            <w:r>
              <w:rPr>
                <w:rFonts w:hint="eastAsia"/>
                <w:sz w:val="24"/>
                <w:szCs w:val="24"/>
                <w:highlight w:val="none"/>
              </w:rPr>
              <w:t>24850）</w:t>
            </w:r>
            <w:r>
              <w:rPr>
                <w:rFonts w:hint="eastAsia"/>
                <w:sz w:val="24"/>
                <w:szCs w:val="24"/>
                <w:highlight w:val="none"/>
                <w:lang w:eastAsia="zh-CN"/>
              </w:rPr>
              <w:t>，</w:t>
            </w:r>
          </w:p>
          <w:p w14:paraId="446D2652">
            <w:pPr>
              <w:pStyle w:val="46"/>
              <w:spacing w:line="240" w:lineRule="auto"/>
              <w:jc w:val="center"/>
              <w:rPr>
                <w:sz w:val="24"/>
                <w:szCs w:val="24"/>
                <w:highlight w:val="none"/>
              </w:rPr>
            </w:pPr>
            <w:r>
              <w:rPr>
                <w:rFonts w:hint="eastAsia"/>
                <w:sz w:val="24"/>
                <w:szCs w:val="24"/>
                <w:highlight w:val="none"/>
              </w:rPr>
              <w:t>以数字信号为主要信号输入的监 视器应符合《计算机显示器能效限 定值及能效等级》</w:t>
            </w:r>
            <w:r>
              <w:rPr>
                <w:rFonts w:hint="eastAsia"/>
                <w:sz w:val="24"/>
                <w:szCs w:val="24"/>
                <w:highlight w:val="none"/>
                <w:lang w:val="en-US" w:eastAsia="zh-CN" w:bidi="en-US"/>
              </w:rPr>
              <w:t xml:space="preserve">（GB </w:t>
            </w:r>
            <w:r>
              <w:rPr>
                <w:rFonts w:hint="eastAsia"/>
                <w:sz w:val="24"/>
                <w:szCs w:val="24"/>
                <w:highlight w:val="none"/>
              </w:rPr>
              <w:t>21520）</w:t>
            </w:r>
          </w:p>
        </w:tc>
      </w:tr>
      <w:tr w14:paraId="187FA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49" w:hRule="exact"/>
          <w:jc w:val="center"/>
        </w:trPr>
        <w:tc>
          <w:tcPr>
            <w:tcW w:w="583" w:type="dxa"/>
            <w:vAlign w:val="center"/>
          </w:tcPr>
          <w:p w14:paraId="571420D7">
            <w:pPr>
              <w:pStyle w:val="46"/>
              <w:spacing w:line="240" w:lineRule="auto"/>
              <w:jc w:val="center"/>
              <w:rPr>
                <w:sz w:val="24"/>
                <w:szCs w:val="24"/>
                <w:highlight w:val="none"/>
                <w:lang w:val="zh-CN" w:eastAsia="zh-CN"/>
              </w:rPr>
            </w:pPr>
            <w:r>
              <w:rPr>
                <w:rFonts w:hint="eastAsia"/>
                <w:sz w:val="24"/>
                <w:szCs w:val="24"/>
                <w:highlight w:val="none"/>
                <w:lang w:val="zh-CN" w:eastAsia="zh-CN" w:bidi="zh-CN"/>
              </w:rPr>
              <w:t>14</w:t>
            </w:r>
          </w:p>
        </w:tc>
        <w:tc>
          <w:tcPr>
            <w:tcW w:w="1167" w:type="dxa"/>
            <w:vAlign w:val="center"/>
          </w:tcPr>
          <w:p w14:paraId="3A3CC0B5">
            <w:pPr>
              <w:pStyle w:val="46"/>
              <w:spacing w:line="240" w:lineRule="auto"/>
              <w:jc w:val="center"/>
              <w:rPr>
                <w:sz w:val="24"/>
                <w:szCs w:val="24"/>
                <w:highlight w:val="none"/>
                <w:lang w:val="en-US" w:eastAsia="en-US"/>
              </w:rPr>
            </w:pPr>
            <w:r>
              <w:rPr>
                <w:rFonts w:hint="eastAsia"/>
                <w:sz w:val="24"/>
                <w:szCs w:val="24"/>
                <w:highlight w:val="none"/>
                <w:lang w:val="en-US" w:eastAsia="en-US" w:bidi="en-US"/>
              </w:rPr>
              <w:t>A031210</w:t>
            </w:r>
            <w:r>
              <w:rPr>
                <w:rFonts w:hint="eastAsia"/>
                <w:sz w:val="24"/>
                <w:szCs w:val="24"/>
                <w:highlight w:val="none"/>
              </w:rPr>
              <w:t>饮食炊事机械</w:t>
            </w:r>
          </w:p>
        </w:tc>
        <w:tc>
          <w:tcPr>
            <w:tcW w:w="1783" w:type="dxa"/>
            <w:vAlign w:val="center"/>
          </w:tcPr>
          <w:p w14:paraId="47B9A91C">
            <w:pPr>
              <w:pStyle w:val="46"/>
              <w:spacing w:line="240" w:lineRule="auto"/>
              <w:jc w:val="center"/>
              <w:rPr>
                <w:sz w:val="24"/>
                <w:szCs w:val="24"/>
                <w:highlight w:val="none"/>
                <w:lang w:val="en-US" w:eastAsia="en-US"/>
              </w:rPr>
            </w:pPr>
            <w:r>
              <w:rPr>
                <w:rFonts w:hint="eastAsia"/>
                <w:sz w:val="24"/>
                <w:szCs w:val="24"/>
                <w:highlight w:val="none"/>
              </w:rPr>
              <w:t>商用燃气灶具</w:t>
            </w:r>
          </w:p>
        </w:tc>
        <w:tc>
          <w:tcPr>
            <w:tcW w:w="1877" w:type="dxa"/>
            <w:vAlign w:val="center"/>
          </w:tcPr>
          <w:p w14:paraId="38996A58">
            <w:pPr>
              <w:jc w:val="center"/>
              <w:rPr>
                <w:rFonts w:ascii="宋体" w:hAnsi="宋体" w:cs="宋体"/>
                <w:sz w:val="24"/>
                <w:szCs w:val="24"/>
                <w:highlight w:val="none"/>
              </w:rPr>
            </w:pPr>
          </w:p>
        </w:tc>
        <w:tc>
          <w:tcPr>
            <w:tcW w:w="3628" w:type="dxa"/>
            <w:vAlign w:val="center"/>
          </w:tcPr>
          <w:p w14:paraId="70917D45">
            <w:pPr>
              <w:pStyle w:val="46"/>
              <w:spacing w:line="240" w:lineRule="auto"/>
              <w:jc w:val="center"/>
              <w:rPr>
                <w:sz w:val="24"/>
                <w:szCs w:val="24"/>
                <w:highlight w:val="none"/>
              </w:rPr>
            </w:pPr>
            <w:r>
              <w:rPr>
                <w:rFonts w:hint="eastAsia"/>
                <w:sz w:val="24"/>
                <w:szCs w:val="24"/>
                <w:highlight w:val="none"/>
              </w:rPr>
              <w:t>《商用燃气灶具能效限定值及能 效等级》</w:t>
            </w:r>
            <w:r>
              <w:rPr>
                <w:rFonts w:hint="eastAsia"/>
                <w:sz w:val="24"/>
                <w:szCs w:val="24"/>
                <w:highlight w:val="none"/>
                <w:lang w:val="en-US" w:eastAsia="zh-CN" w:bidi="en-US"/>
              </w:rPr>
              <w:t xml:space="preserve">（GB </w:t>
            </w:r>
            <w:r>
              <w:rPr>
                <w:rFonts w:hint="eastAsia"/>
                <w:sz w:val="24"/>
                <w:szCs w:val="24"/>
                <w:highlight w:val="none"/>
              </w:rPr>
              <w:t>30531）</w:t>
            </w:r>
          </w:p>
        </w:tc>
      </w:tr>
      <w:tr w14:paraId="4A5CE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restart"/>
            <w:vAlign w:val="center"/>
          </w:tcPr>
          <w:p w14:paraId="7567E69C">
            <w:pPr>
              <w:pStyle w:val="46"/>
              <w:spacing w:line="240" w:lineRule="auto"/>
              <w:jc w:val="center"/>
              <w:rPr>
                <w:sz w:val="24"/>
                <w:szCs w:val="24"/>
                <w:highlight w:val="none"/>
                <w:lang w:val="zh-CN" w:eastAsia="zh-CN"/>
              </w:rPr>
            </w:pPr>
            <w:r>
              <w:rPr>
                <w:rFonts w:hint="eastAsia"/>
                <w:sz w:val="24"/>
                <w:szCs w:val="24"/>
                <w:highlight w:val="none"/>
                <w:lang w:val="zh-CN" w:eastAsia="zh-CN" w:bidi="zh-CN"/>
              </w:rPr>
              <w:t>15</w:t>
            </w:r>
          </w:p>
        </w:tc>
        <w:tc>
          <w:tcPr>
            <w:tcW w:w="1167" w:type="dxa"/>
            <w:vMerge w:val="restart"/>
            <w:vAlign w:val="center"/>
          </w:tcPr>
          <w:p w14:paraId="2E06E74F">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★A060805 </w:t>
            </w:r>
            <w:r>
              <w:rPr>
                <w:rFonts w:hint="eastAsia"/>
                <w:sz w:val="24"/>
                <w:szCs w:val="24"/>
                <w:highlight w:val="none"/>
              </w:rPr>
              <w:t>便器</w:t>
            </w:r>
          </w:p>
        </w:tc>
        <w:tc>
          <w:tcPr>
            <w:tcW w:w="1783" w:type="dxa"/>
            <w:vAlign w:val="center"/>
          </w:tcPr>
          <w:p w14:paraId="59E48642">
            <w:pPr>
              <w:pStyle w:val="46"/>
              <w:spacing w:line="240" w:lineRule="auto"/>
              <w:jc w:val="center"/>
              <w:rPr>
                <w:sz w:val="24"/>
                <w:szCs w:val="24"/>
                <w:highlight w:val="none"/>
                <w:lang w:val="en-US" w:eastAsia="en-US"/>
              </w:rPr>
            </w:pPr>
            <w:r>
              <w:rPr>
                <w:rFonts w:hint="eastAsia"/>
                <w:sz w:val="24"/>
                <w:szCs w:val="24"/>
                <w:highlight w:val="none"/>
              </w:rPr>
              <w:t>坐便器</w:t>
            </w:r>
          </w:p>
        </w:tc>
        <w:tc>
          <w:tcPr>
            <w:tcW w:w="1877" w:type="dxa"/>
            <w:vAlign w:val="center"/>
          </w:tcPr>
          <w:p w14:paraId="2EFF7389">
            <w:pPr>
              <w:jc w:val="center"/>
              <w:rPr>
                <w:rFonts w:ascii="宋体" w:hAnsi="宋体" w:cs="宋体"/>
                <w:sz w:val="24"/>
                <w:szCs w:val="24"/>
                <w:highlight w:val="none"/>
              </w:rPr>
            </w:pPr>
          </w:p>
        </w:tc>
        <w:tc>
          <w:tcPr>
            <w:tcW w:w="3628" w:type="dxa"/>
            <w:vAlign w:val="center"/>
          </w:tcPr>
          <w:p w14:paraId="19001548">
            <w:pPr>
              <w:pStyle w:val="46"/>
              <w:spacing w:line="240" w:lineRule="auto"/>
              <w:jc w:val="center"/>
              <w:rPr>
                <w:sz w:val="24"/>
                <w:szCs w:val="24"/>
                <w:highlight w:val="none"/>
              </w:rPr>
            </w:pPr>
            <w:r>
              <w:rPr>
                <w:rFonts w:hint="eastAsia"/>
                <w:sz w:val="24"/>
                <w:szCs w:val="24"/>
                <w:highlight w:val="none"/>
              </w:rPr>
              <w:t>《坐便器水效限定值及水效等级》</w:t>
            </w:r>
          </w:p>
          <w:p w14:paraId="333D1BB6">
            <w:pPr>
              <w:pStyle w:val="46"/>
              <w:spacing w:line="240" w:lineRule="auto"/>
              <w:jc w:val="center"/>
              <w:rPr>
                <w:sz w:val="24"/>
                <w:szCs w:val="24"/>
                <w:highlight w:val="none"/>
              </w:rPr>
            </w:pPr>
            <w:r>
              <w:rPr>
                <w:rFonts w:hint="eastAsia"/>
                <w:sz w:val="24"/>
                <w:szCs w:val="24"/>
                <w:highlight w:val="none"/>
                <w:lang w:val="en-US" w:eastAsia="en-US" w:bidi="en-US"/>
              </w:rPr>
              <w:t xml:space="preserve">（GB </w:t>
            </w:r>
            <w:r>
              <w:rPr>
                <w:rFonts w:hint="eastAsia"/>
                <w:sz w:val="24"/>
                <w:szCs w:val="24"/>
                <w:highlight w:val="none"/>
              </w:rPr>
              <w:t>25502）</w:t>
            </w:r>
          </w:p>
        </w:tc>
      </w:tr>
      <w:tr w14:paraId="3E045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68931255">
            <w:pPr>
              <w:pStyle w:val="46"/>
              <w:spacing w:line="240" w:lineRule="auto"/>
              <w:jc w:val="center"/>
              <w:rPr>
                <w:sz w:val="24"/>
                <w:szCs w:val="24"/>
                <w:highlight w:val="none"/>
                <w:lang w:val="zh-CN" w:eastAsia="zh-CN" w:bidi="zh-CN"/>
              </w:rPr>
            </w:pPr>
          </w:p>
        </w:tc>
        <w:tc>
          <w:tcPr>
            <w:tcW w:w="1167" w:type="dxa"/>
            <w:vMerge w:val="continue"/>
            <w:vAlign w:val="center"/>
          </w:tcPr>
          <w:p w14:paraId="6D332CDB">
            <w:pPr>
              <w:pStyle w:val="46"/>
              <w:spacing w:line="240" w:lineRule="auto"/>
              <w:jc w:val="center"/>
              <w:rPr>
                <w:sz w:val="24"/>
                <w:szCs w:val="24"/>
                <w:highlight w:val="none"/>
                <w:lang w:val="en-US" w:eastAsia="en-US" w:bidi="en-US"/>
              </w:rPr>
            </w:pPr>
          </w:p>
        </w:tc>
        <w:tc>
          <w:tcPr>
            <w:tcW w:w="1783" w:type="dxa"/>
            <w:vAlign w:val="center"/>
          </w:tcPr>
          <w:p w14:paraId="5F4CAF90">
            <w:pPr>
              <w:pStyle w:val="46"/>
              <w:spacing w:line="240" w:lineRule="auto"/>
              <w:jc w:val="center"/>
              <w:rPr>
                <w:sz w:val="24"/>
                <w:szCs w:val="24"/>
                <w:highlight w:val="none"/>
                <w:lang w:val="en-US" w:eastAsia="en-US"/>
              </w:rPr>
            </w:pPr>
            <w:r>
              <w:rPr>
                <w:rFonts w:hint="eastAsia"/>
                <w:sz w:val="24"/>
                <w:szCs w:val="24"/>
                <w:highlight w:val="none"/>
              </w:rPr>
              <w:t>蹲便器</w:t>
            </w:r>
          </w:p>
        </w:tc>
        <w:tc>
          <w:tcPr>
            <w:tcW w:w="1877" w:type="dxa"/>
            <w:vAlign w:val="center"/>
          </w:tcPr>
          <w:p w14:paraId="1BF817A2">
            <w:pPr>
              <w:jc w:val="center"/>
              <w:rPr>
                <w:rFonts w:ascii="宋体" w:hAnsi="宋体" w:cs="宋体"/>
                <w:sz w:val="24"/>
                <w:szCs w:val="24"/>
                <w:highlight w:val="none"/>
              </w:rPr>
            </w:pPr>
          </w:p>
        </w:tc>
        <w:tc>
          <w:tcPr>
            <w:tcW w:w="3628" w:type="dxa"/>
            <w:vAlign w:val="center"/>
          </w:tcPr>
          <w:p w14:paraId="17AF600B">
            <w:pPr>
              <w:pStyle w:val="46"/>
              <w:spacing w:line="240" w:lineRule="auto"/>
              <w:jc w:val="center"/>
              <w:rPr>
                <w:sz w:val="24"/>
                <w:szCs w:val="24"/>
                <w:highlight w:val="none"/>
              </w:rPr>
            </w:pPr>
            <w:r>
              <w:rPr>
                <w:rFonts w:hint="eastAsia"/>
                <w:sz w:val="24"/>
                <w:szCs w:val="24"/>
                <w:highlight w:val="none"/>
              </w:rPr>
              <w:t>《蹲便器用水效率限定值及用水 效率等级》</w:t>
            </w:r>
            <w:r>
              <w:rPr>
                <w:rFonts w:hint="eastAsia"/>
                <w:sz w:val="24"/>
                <w:szCs w:val="24"/>
                <w:highlight w:val="none"/>
                <w:lang w:val="en-US" w:eastAsia="zh-CN" w:bidi="en-US"/>
              </w:rPr>
              <w:t xml:space="preserve">（GB </w:t>
            </w:r>
            <w:r>
              <w:rPr>
                <w:rFonts w:hint="eastAsia"/>
                <w:sz w:val="24"/>
                <w:szCs w:val="24"/>
                <w:highlight w:val="none"/>
              </w:rPr>
              <w:t>30717）</w:t>
            </w:r>
          </w:p>
        </w:tc>
      </w:tr>
      <w:tr w14:paraId="7268B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754" w:hRule="exact"/>
          <w:jc w:val="center"/>
        </w:trPr>
        <w:tc>
          <w:tcPr>
            <w:tcW w:w="583" w:type="dxa"/>
            <w:vMerge w:val="continue"/>
            <w:vAlign w:val="center"/>
          </w:tcPr>
          <w:p w14:paraId="477EB631">
            <w:pPr>
              <w:pStyle w:val="46"/>
              <w:spacing w:line="240" w:lineRule="auto"/>
              <w:jc w:val="center"/>
              <w:rPr>
                <w:sz w:val="24"/>
                <w:szCs w:val="24"/>
                <w:highlight w:val="none"/>
                <w:lang w:val="zh-CN" w:eastAsia="zh-CN" w:bidi="zh-CN"/>
              </w:rPr>
            </w:pPr>
          </w:p>
        </w:tc>
        <w:tc>
          <w:tcPr>
            <w:tcW w:w="1167" w:type="dxa"/>
            <w:vMerge w:val="continue"/>
            <w:vAlign w:val="center"/>
          </w:tcPr>
          <w:p w14:paraId="6320533C">
            <w:pPr>
              <w:pStyle w:val="46"/>
              <w:spacing w:line="240" w:lineRule="auto"/>
              <w:jc w:val="center"/>
              <w:rPr>
                <w:sz w:val="24"/>
                <w:szCs w:val="24"/>
                <w:highlight w:val="none"/>
                <w:lang w:val="en-US" w:eastAsia="zh-CN" w:bidi="en-US"/>
              </w:rPr>
            </w:pPr>
          </w:p>
        </w:tc>
        <w:tc>
          <w:tcPr>
            <w:tcW w:w="1783" w:type="dxa"/>
            <w:vAlign w:val="center"/>
          </w:tcPr>
          <w:p w14:paraId="6A26120A">
            <w:pPr>
              <w:pStyle w:val="46"/>
              <w:spacing w:line="240" w:lineRule="auto"/>
              <w:jc w:val="center"/>
              <w:rPr>
                <w:sz w:val="24"/>
                <w:szCs w:val="24"/>
                <w:highlight w:val="none"/>
                <w:lang w:val="en-US" w:eastAsia="en-US"/>
              </w:rPr>
            </w:pPr>
            <w:r>
              <w:rPr>
                <w:rFonts w:hint="eastAsia"/>
                <w:sz w:val="24"/>
                <w:szCs w:val="24"/>
                <w:highlight w:val="none"/>
              </w:rPr>
              <w:t>小便器</w:t>
            </w:r>
          </w:p>
        </w:tc>
        <w:tc>
          <w:tcPr>
            <w:tcW w:w="1877" w:type="dxa"/>
            <w:vAlign w:val="center"/>
          </w:tcPr>
          <w:p w14:paraId="518F0364">
            <w:pPr>
              <w:jc w:val="center"/>
              <w:rPr>
                <w:rFonts w:ascii="宋体" w:hAnsi="宋体" w:cs="宋体"/>
                <w:sz w:val="24"/>
                <w:szCs w:val="24"/>
                <w:highlight w:val="none"/>
              </w:rPr>
            </w:pPr>
          </w:p>
        </w:tc>
        <w:tc>
          <w:tcPr>
            <w:tcW w:w="3628" w:type="dxa"/>
            <w:vAlign w:val="center"/>
          </w:tcPr>
          <w:p w14:paraId="7681F388">
            <w:pPr>
              <w:pStyle w:val="46"/>
              <w:spacing w:line="240" w:lineRule="auto"/>
              <w:jc w:val="center"/>
              <w:rPr>
                <w:sz w:val="24"/>
                <w:szCs w:val="24"/>
                <w:highlight w:val="none"/>
              </w:rPr>
            </w:pPr>
            <w:r>
              <w:rPr>
                <w:rFonts w:hint="eastAsia"/>
                <w:sz w:val="24"/>
                <w:szCs w:val="24"/>
                <w:highlight w:val="none"/>
              </w:rPr>
              <w:t>《小便器用水效率限定值及用水 效率等级》</w:t>
            </w:r>
            <w:r>
              <w:rPr>
                <w:rFonts w:hint="eastAsia"/>
                <w:sz w:val="24"/>
                <w:szCs w:val="24"/>
                <w:highlight w:val="none"/>
                <w:lang w:val="en-US" w:eastAsia="zh-CN" w:bidi="en-US"/>
              </w:rPr>
              <w:t xml:space="preserve">（GB </w:t>
            </w:r>
            <w:r>
              <w:rPr>
                <w:rFonts w:hint="eastAsia"/>
                <w:sz w:val="24"/>
                <w:szCs w:val="24"/>
                <w:highlight w:val="none"/>
              </w:rPr>
              <w:t>28377）</w:t>
            </w:r>
          </w:p>
        </w:tc>
      </w:tr>
      <w:tr w14:paraId="5E846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124" w:hRule="exact"/>
          <w:jc w:val="center"/>
        </w:trPr>
        <w:tc>
          <w:tcPr>
            <w:tcW w:w="583" w:type="dxa"/>
            <w:vAlign w:val="center"/>
          </w:tcPr>
          <w:p w14:paraId="3566AB6B">
            <w:pPr>
              <w:pStyle w:val="46"/>
              <w:spacing w:line="240" w:lineRule="auto"/>
              <w:jc w:val="center"/>
              <w:rPr>
                <w:sz w:val="24"/>
                <w:szCs w:val="24"/>
                <w:highlight w:val="none"/>
                <w:lang w:val="zh-CN" w:eastAsia="zh-CN"/>
              </w:rPr>
            </w:pPr>
            <w:r>
              <w:rPr>
                <w:rFonts w:hint="eastAsia"/>
                <w:sz w:val="24"/>
                <w:szCs w:val="24"/>
                <w:highlight w:val="none"/>
              </w:rPr>
              <w:t>16</w:t>
            </w:r>
          </w:p>
        </w:tc>
        <w:tc>
          <w:tcPr>
            <w:tcW w:w="1167" w:type="dxa"/>
            <w:vAlign w:val="center"/>
          </w:tcPr>
          <w:p w14:paraId="3ECAF69F">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★A060806 </w:t>
            </w:r>
            <w:r>
              <w:rPr>
                <w:rFonts w:hint="eastAsia"/>
                <w:sz w:val="24"/>
                <w:szCs w:val="24"/>
                <w:highlight w:val="none"/>
              </w:rPr>
              <w:t>水嘴</w:t>
            </w:r>
          </w:p>
        </w:tc>
        <w:tc>
          <w:tcPr>
            <w:tcW w:w="1783" w:type="dxa"/>
            <w:vAlign w:val="center"/>
          </w:tcPr>
          <w:p w14:paraId="0B6407EF">
            <w:pPr>
              <w:jc w:val="center"/>
              <w:rPr>
                <w:rFonts w:ascii="宋体" w:hAnsi="宋体" w:cs="宋体"/>
                <w:sz w:val="24"/>
                <w:szCs w:val="24"/>
                <w:highlight w:val="none"/>
              </w:rPr>
            </w:pPr>
          </w:p>
        </w:tc>
        <w:tc>
          <w:tcPr>
            <w:tcW w:w="1877" w:type="dxa"/>
            <w:vAlign w:val="center"/>
          </w:tcPr>
          <w:p w14:paraId="17910AF5">
            <w:pPr>
              <w:jc w:val="center"/>
              <w:rPr>
                <w:rFonts w:ascii="宋体" w:hAnsi="宋体" w:cs="宋体"/>
                <w:sz w:val="24"/>
                <w:szCs w:val="24"/>
                <w:highlight w:val="none"/>
              </w:rPr>
            </w:pPr>
          </w:p>
        </w:tc>
        <w:tc>
          <w:tcPr>
            <w:tcW w:w="3628" w:type="dxa"/>
            <w:vAlign w:val="center"/>
          </w:tcPr>
          <w:p w14:paraId="325E1626">
            <w:pPr>
              <w:pStyle w:val="46"/>
              <w:spacing w:line="240" w:lineRule="auto"/>
              <w:jc w:val="center"/>
              <w:rPr>
                <w:sz w:val="24"/>
                <w:szCs w:val="24"/>
                <w:highlight w:val="none"/>
              </w:rPr>
            </w:pPr>
            <w:r>
              <w:rPr>
                <w:rFonts w:hint="eastAsia"/>
                <w:sz w:val="24"/>
                <w:szCs w:val="24"/>
                <w:highlight w:val="none"/>
              </w:rPr>
              <w:t>《水嘴用水效率限定值及用水效 率等级》</w:t>
            </w:r>
            <w:r>
              <w:rPr>
                <w:rFonts w:hint="eastAsia"/>
                <w:sz w:val="24"/>
                <w:szCs w:val="24"/>
                <w:highlight w:val="none"/>
                <w:lang w:val="en-US" w:eastAsia="zh-CN" w:bidi="en-US"/>
              </w:rPr>
              <w:t xml:space="preserve">（GB </w:t>
            </w:r>
            <w:r>
              <w:rPr>
                <w:rFonts w:hint="eastAsia"/>
                <w:sz w:val="24"/>
                <w:szCs w:val="24"/>
                <w:highlight w:val="none"/>
              </w:rPr>
              <w:t>25501）</w:t>
            </w:r>
          </w:p>
        </w:tc>
      </w:tr>
      <w:tr w14:paraId="4859C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49" w:hRule="exact"/>
          <w:jc w:val="center"/>
        </w:trPr>
        <w:tc>
          <w:tcPr>
            <w:tcW w:w="583" w:type="dxa"/>
            <w:vAlign w:val="center"/>
          </w:tcPr>
          <w:p w14:paraId="19238459">
            <w:pPr>
              <w:pStyle w:val="46"/>
              <w:spacing w:line="240" w:lineRule="auto"/>
              <w:jc w:val="center"/>
              <w:rPr>
                <w:sz w:val="24"/>
                <w:szCs w:val="24"/>
                <w:highlight w:val="none"/>
                <w:lang w:val="zh-CN" w:eastAsia="zh-CN"/>
              </w:rPr>
            </w:pPr>
            <w:r>
              <w:rPr>
                <w:rFonts w:hint="eastAsia"/>
                <w:sz w:val="24"/>
                <w:szCs w:val="24"/>
                <w:highlight w:val="none"/>
              </w:rPr>
              <w:t>17</w:t>
            </w:r>
          </w:p>
        </w:tc>
        <w:tc>
          <w:tcPr>
            <w:tcW w:w="1167" w:type="dxa"/>
            <w:vAlign w:val="center"/>
          </w:tcPr>
          <w:p w14:paraId="0298FC2A">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A060807 </w:t>
            </w:r>
            <w:r>
              <w:rPr>
                <w:rFonts w:hint="eastAsia"/>
                <w:sz w:val="24"/>
                <w:szCs w:val="24"/>
                <w:highlight w:val="none"/>
              </w:rPr>
              <w:t>便器冲洗阀</w:t>
            </w:r>
          </w:p>
        </w:tc>
        <w:tc>
          <w:tcPr>
            <w:tcW w:w="1783" w:type="dxa"/>
            <w:vAlign w:val="center"/>
          </w:tcPr>
          <w:p w14:paraId="420E82B7">
            <w:pPr>
              <w:jc w:val="center"/>
              <w:rPr>
                <w:rFonts w:ascii="宋体" w:hAnsi="宋体" w:cs="宋体"/>
                <w:sz w:val="24"/>
                <w:szCs w:val="24"/>
                <w:highlight w:val="none"/>
              </w:rPr>
            </w:pPr>
          </w:p>
        </w:tc>
        <w:tc>
          <w:tcPr>
            <w:tcW w:w="1877" w:type="dxa"/>
            <w:vAlign w:val="center"/>
          </w:tcPr>
          <w:p w14:paraId="41B98DCF">
            <w:pPr>
              <w:jc w:val="center"/>
              <w:rPr>
                <w:rFonts w:ascii="宋体" w:hAnsi="宋体" w:cs="宋体"/>
                <w:sz w:val="24"/>
                <w:szCs w:val="24"/>
                <w:highlight w:val="none"/>
              </w:rPr>
            </w:pPr>
          </w:p>
        </w:tc>
        <w:tc>
          <w:tcPr>
            <w:tcW w:w="3628" w:type="dxa"/>
            <w:vAlign w:val="center"/>
          </w:tcPr>
          <w:p w14:paraId="06821B30">
            <w:pPr>
              <w:pStyle w:val="46"/>
              <w:spacing w:line="240" w:lineRule="auto"/>
              <w:jc w:val="center"/>
              <w:rPr>
                <w:sz w:val="24"/>
                <w:szCs w:val="24"/>
                <w:highlight w:val="none"/>
              </w:rPr>
            </w:pPr>
            <w:r>
              <w:rPr>
                <w:rFonts w:hint="eastAsia"/>
                <w:sz w:val="24"/>
                <w:szCs w:val="24"/>
                <w:highlight w:val="none"/>
              </w:rPr>
              <w:t>《便器冲洗阀用水效率限定值及 用水效率等级》</w:t>
            </w:r>
            <w:r>
              <w:rPr>
                <w:rFonts w:hint="eastAsia"/>
                <w:sz w:val="24"/>
                <w:szCs w:val="24"/>
                <w:highlight w:val="none"/>
                <w:lang w:val="en-US" w:eastAsia="zh-CN" w:bidi="en-US"/>
              </w:rPr>
              <w:t xml:space="preserve">（GB </w:t>
            </w:r>
            <w:r>
              <w:rPr>
                <w:rFonts w:hint="eastAsia"/>
                <w:sz w:val="24"/>
                <w:szCs w:val="24"/>
                <w:highlight w:val="none"/>
              </w:rPr>
              <w:t>28379）</w:t>
            </w:r>
          </w:p>
        </w:tc>
      </w:tr>
      <w:tr w14:paraId="65E00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909" w:hRule="exact"/>
          <w:jc w:val="center"/>
        </w:trPr>
        <w:tc>
          <w:tcPr>
            <w:tcW w:w="583" w:type="dxa"/>
            <w:vAlign w:val="center"/>
          </w:tcPr>
          <w:p w14:paraId="36BC2E22">
            <w:pPr>
              <w:pStyle w:val="46"/>
              <w:spacing w:line="240" w:lineRule="auto"/>
              <w:jc w:val="center"/>
              <w:rPr>
                <w:sz w:val="24"/>
                <w:szCs w:val="24"/>
                <w:highlight w:val="none"/>
                <w:lang w:val="zh-CN" w:eastAsia="zh-CN"/>
              </w:rPr>
            </w:pPr>
            <w:r>
              <w:rPr>
                <w:rFonts w:hint="eastAsia"/>
                <w:sz w:val="24"/>
                <w:szCs w:val="24"/>
                <w:highlight w:val="none"/>
              </w:rPr>
              <w:t>18</w:t>
            </w:r>
          </w:p>
        </w:tc>
        <w:tc>
          <w:tcPr>
            <w:tcW w:w="1167" w:type="dxa"/>
            <w:vAlign w:val="center"/>
          </w:tcPr>
          <w:p w14:paraId="6C42AC4F">
            <w:pPr>
              <w:pStyle w:val="46"/>
              <w:spacing w:line="240" w:lineRule="auto"/>
              <w:jc w:val="center"/>
              <w:rPr>
                <w:sz w:val="24"/>
                <w:szCs w:val="24"/>
                <w:highlight w:val="none"/>
                <w:lang w:val="en-US" w:eastAsia="en-US"/>
              </w:rPr>
            </w:pPr>
            <w:r>
              <w:rPr>
                <w:rFonts w:hint="eastAsia"/>
                <w:sz w:val="24"/>
                <w:szCs w:val="24"/>
                <w:highlight w:val="none"/>
                <w:lang w:val="en-US" w:eastAsia="en-US" w:bidi="en-US"/>
              </w:rPr>
              <w:t xml:space="preserve">A060810 </w:t>
            </w:r>
            <w:r>
              <w:rPr>
                <w:rFonts w:hint="eastAsia"/>
                <w:sz w:val="24"/>
                <w:szCs w:val="24"/>
                <w:highlight w:val="none"/>
              </w:rPr>
              <w:t>淋浴器</w:t>
            </w:r>
          </w:p>
        </w:tc>
        <w:tc>
          <w:tcPr>
            <w:tcW w:w="1783" w:type="dxa"/>
            <w:vAlign w:val="center"/>
          </w:tcPr>
          <w:p w14:paraId="54D94A5C">
            <w:pPr>
              <w:jc w:val="center"/>
              <w:rPr>
                <w:rFonts w:ascii="宋体" w:hAnsi="宋体" w:cs="宋体"/>
                <w:sz w:val="24"/>
                <w:szCs w:val="24"/>
                <w:highlight w:val="none"/>
              </w:rPr>
            </w:pPr>
          </w:p>
        </w:tc>
        <w:tc>
          <w:tcPr>
            <w:tcW w:w="1877" w:type="dxa"/>
            <w:vAlign w:val="center"/>
          </w:tcPr>
          <w:p w14:paraId="2F068869">
            <w:pPr>
              <w:jc w:val="center"/>
              <w:rPr>
                <w:rFonts w:ascii="宋体" w:hAnsi="宋体" w:cs="宋体"/>
                <w:sz w:val="24"/>
                <w:szCs w:val="24"/>
                <w:highlight w:val="none"/>
              </w:rPr>
            </w:pPr>
          </w:p>
        </w:tc>
        <w:tc>
          <w:tcPr>
            <w:tcW w:w="3628" w:type="dxa"/>
            <w:vAlign w:val="center"/>
          </w:tcPr>
          <w:p w14:paraId="28ABE795">
            <w:pPr>
              <w:pStyle w:val="46"/>
              <w:spacing w:line="240" w:lineRule="auto"/>
              <w:jc w:val="center"/>
              <w:rPr>
                <w:sz w:val="24"/>
                <w:szCs w:val="24"/>
                <w:highlight w:val="none"/>
              </w:rPr>
            </w:pPr>
            <w:r>
              <w:rPr>
                <w:rFonts w:hint="eastAsia"/>
                <w:sz w:val="24"/>
                <w:szCs w:val="24"/>
                <w:highlight w:val="none"/>
              </w:rPr>
              <w:t>《淋浴器用水效率限定值及用水 效率等级》</w:t>
            </w:r>
            <w:r>
              <w:rPr>
                <w:rFonts w:hint="eastAsia"/>
                <w:sz w:val="24"/>
                <w:szCs w:val="24"/>
                <w:highlight w:val="none"/>
                <w:lang w:val="en-US" w:eastAsia="zh-CN" w:bidi="en-US"/>
              </w:rPr>
              <w:t xml:space="preserve">（GB </w:t>
            </w:r>
            <w:r>
              <w:rPr>
                <w:rFonts w:hint="eastAsia"/>
                <w:sz w:val="24"/>
                <w:szCs w:val="24"/>
                <w:highlight w:val="none"/>
              </w:rPr>
              <w:t>28378）</w:t>
            </w:r>
          </w:p>
        </w:tc>
      </w:tr>
      <w:tr w14:paraId="65AB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709" w:hRule="exact"/>
          <w:jc w:val="center"/>
        </w:trPr>
        <w:tc>
          <w:tcPr>
            <w:tcW w:w="9038" w:type="dxa"/>
            <w:gridSpan w:val="5"/>
            <w:vAlign w:val="center"/>
          </w:tcPr>
          <w:p w14:paraId="5E28566C">
            <w:pPr>
              <w:pStyle w:val="47"/>
              <w:rPr>
                <w:sz w:val="24"/>
                <w:szCs w:val="24"/>
                <w:highlight w:val="none"/>
              </w:rPr>
            </w:pPr>
            <w:r>
              <w:rPr>
                <w:rFonts w:hint="eastAsia"/>
                <w:sz w:val="24"/>
                <w:szCs w:val="24"/>
                <w:highlight w:val="none"/>
              </w:rPr>
              <w:t>注：</w:t>
            </w:r>
            <w:r>
              <w:rPr>
                <w:rFonts w:hint="eastAsia"/>
                <w:sz w:val="24"/>
                <w:szCs w:val="24"/>
                <w:highlight w:val="none"/>
                <w:lang w:val="en-US" w:eastAsia="zh-CN" w:bidi="en-US"/>
              </w:rPr>
              <w:t>1、</w:t>
            </w:r>
            <w:r>
              <w:rPr>
                <w:rFonts w:hint="eastAsia"/>
                <w:sz w:val="24"/>
                <w:szCs w:val="24"/>
                <w:highlight w:val="none"/>
              </w:rPr>
              <w:t>节能产品认证应依据相关国家标准的最新版本，依据国家标准中二级能效（水效） 指标。</w:t>
            </w:r>
          </w:p>
          <w:p w14:paraId="4C8864E5">
            <w:pPr>
              <w:pStyle w:val="29"/>
              <w:tabs>
                <w:tab w:val="left" w:pos="790"/>
              </w:tabs>
              <w:spacing w:line="317" w:lineRule="exact"/>
              <w:ind w:left="440" w:firstLine="0"/>
              <w:rPr>
                <w:rFonts w:hint="eastAsia"/>
                <w:sz w:val="24"/>
                <w:szCs w:val="24"/>
                <w:highlight w:val="none"/>
              </w:rPr>
            </w:pPr>
            <w:r>
              <w:rPr>
                <w:rFonts w:hint="eastAsia"/>
                <w:sz w:val="24"/>
                <w:szCs w:val="24"/>
                <w:highlight w:val="none"/>
                <w:lang w:val="en-US" w:eastAsia="zh-CN"/>
              </w:rPr>
              <w:t>2、</w:t>
            </w:r>
            <w:r>
              <w:rPr>
                <w:rFonts w:hint="eastAsia"/>
                <w:sz w:val="24"/>
                <w:szCs w:val="24"/>
                <w:highlight w:val="none"/>
              </w:rPr>
              <w:t>上述产品中认证标准发生变更的，依据原认证标准获得的、仍在有效期内的认证证书可使用至2019年6月1日。</w:t>
            </w:r>
          </w:p>
          <w:p w14:paraId="2793821B">
            <w:pPr>
              <w:pStyle w:val="29"/>
              <w:tabs>
                <w:tab w:val="left" w:pos="784"/>
              </w:tabs>
              <w:spacing w:line="317" w:lineRule="exact"/>
              <w:ind w:left="440" w:firstLine="0"/>
              <w:rPr>
                <w:rFonts w:hint="eastAsia"/>
                <w:sz w:val="24"/>
                <w:szCs w:val="24"/>
                <w:highlight w:val="none"/>
              </w:rPr>
            </w:pPr>
            <w:bookmarkStart w:id="158" w:name="bookmark4"/>
            <w:bookmarkEnd w:id="158"/>
            <w:r>
              <w:rPr>
                <w:rFonts w:hint="eastAsia"/>
                <w:sz w:val="24"/>
                <w:szCs w:val="24"/>
                <w:highlight w:val="none"/>
                <w:lang w:val="en-US" w:eastAsia="zh-CN"/>
              </w:rPr>
              <w:t>3、</w:t>
            </w:r>
            <w:r>
              <w:rPr>
                <w:rFonts w:hint="eastAsia"/>
                <w:sz w:val="24"/>
                <w:szCs w:val="24"/>
                <w:highlight w:val="none"/>
              </w:rPr>
              <w:t>以“★”标注的为政府强制采购产品。</w:t>
            </w:r>
          </w:p>
          <w:p w14:paraId="60F30246">
            <w:pPr>
              <w:pStyle w:val="46"/>
              <w:spacing w:line="240" w:lineRule="auto"/>
              <w:jc w:val="center"/>
              <w:rPr>
                <w:sz w:val="24"/>
                <w:szCs w:val="24"/>
                <w:highlight w:val="none"/>
              </w:rPr>
            </w:pPr>
          </w:p>
        </w:tc>
      </w:tr>
    </w:tbl>
    <w:p w14:paraId="577E7EE2">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sectPr>
          <w:footerReference r:id="rId20" w:type="default"/>
          <w:pgSz w:w="11906" w:h="16839"/>
          <w:pgMar w:top="1431" w:right="1531" w:bottom="1429" w:left="1531" w:header="0" w:footer="994" w:gutter="0"/>
          <w:cols w:space="720" w:num="1"/>
        </w:sectPr>
      </w:pPr>
    </w:p>
    <w:p w14:paraId="19B3C975">
      <w:pPr>
        <w:pageBreakBefore w:val="0"/>
        <w:widowControl w:val="0"/>
        <w:wordWrap/>
        <w:overflowPunct/>
        <w:topLinePunct w:val="0"/>
        <w:bidi w:val="0"/>
        <w:spacing w:before="101" w:line="219" w:lineRule="auto"/>
        <w:ind w:left="2651"/>
        <w:outlineLvl w:val="1"/>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159" w:name="bookmark77"/>
      <w:bookmarkEnd w:id="159"/>
      <w:bookmarkStart w:id="160" w:name="bookmark78"/>
      <w:bookmarkEnd w:id="160"/>
      <w:bookmarkStart w:id="161" w:name="_Toc22999"/>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5</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 xml:space="preserve"> 本国产品标准的声明函</w:t>
      </w:r>
      <w:bookmarkEnd w:id="161"/>
    </w:p>
    <w:p w14:paraId="67331FD8">
      <w:pPr>
        <w:pageBreakBefore w:val="0"/>
        <w:widowControl w:val="0"/>
        <w:wordWrap/>
        <w:overflowPunct/>
        <w:topLinePunct w:val="0"/>
        <w:bidi w:val="0"/>
        <w:spacing w:line="362" w:lineRule="auto"/>
        <w:rPr>
          <w:rFonts w:hint="eastAsia" w:ascii="宋体" w:hAnsi="宋体" w:eastAsia="宋体" w:cs="宋体"/>
          <w:color w:val="auto"/>
          <w:spacing w:val="0"/>
          <w:w w:val="100"/>
          <w:position w:val="0"/>
          <w:highlight w:val="none"/>
          <w:lang w:eastAsia="zh-CN"/>
        </w:rPr>
      </w:pPr>
    </w:p>
    <w:p w14:paraId="392B4D5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center"/>
        <w:textAlignment w:val="baseline"/>
        <w:rPr>
          <w:rFonts w:hint="eastAsia" w:ascii="宋体" w:hAnsi="宋体" w:eastAsia="宋体" w:cs="宋体"/>
          <w:i w:val="0"/>
          <w:iCs w:val="0"/>
          <w:caps w:val="0"/>
          <w:color w:val="383838"/>
          <w:spacing w:val="0"/>
          <w:sz w:val="24"/>
          <w:szCs w:val="24"/>
          <w:highlight w:val="none"/>
        </w:rPr>
      </w:pPr>
      <w:r>
        <w:rPr>
          <w:rStyle w:val="21"/>
          <w:rFonts w:hint="eastAsia" w:ascii="宋体" w:hAnsi="宋体" w:eastAsia="宋体" w:cs="宋体"/>
          <w:b/>
          <w:bCs/>
          <w:i w:val="0"/>
          <w:iCs w:val="0"/>
          <w:caps w:val="0"/>
          <w:color w:val="383838"/>
          <w:spacing w:val="0"/>
          <w:sz w:val="24"/>
          <w:szCs w:val="24"/>
          <w:highlight w:val="none"/>
          <w:shd w:val="clear" w:fill="FFFFFF"/>
          <w:vertAlign w:val="baseline"/>
        </w:rPr>
        <w:t>关于符合本国产品标准的声明函</w:t>
      </w:r>
    </w:p>
    <w:p w14:paraId="75A3F206">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本公司（单位）郑重声明，根据《国务院办公厅关于在政府采购中实施本国产品标准及相关政策的通知》（国办发〔2025〕34号）的规定，本公司（单位）提供的以下产品属于本国产品。具体情况如下：</w:t>
      </w:r>
    </w:p>
    <w:p w14:paraId="3B14502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1.</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（产品名称1）1</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2"/>
          <w:rFonts w:hint="eastAsia" w:ascii="宋体" w:hAnsi="宋体" w:eastAsia="宋体" w:cs="宋体"/>
          <w:i w:val="0"/>
          <w:iCs w:val="0"/>
          <w:caps w:val="0"/>
          <w:color w:val="383838"/>
          <w:spacing w:val="0"/>
          <w:sz w:val="24"/>
          <w:szCs w:val="24"/>
          <w:highlight w:val="none"/>
          <w:shd w:val="clear" w:fill="FFFFFF"/>
          <w:vertAlign w:val="baseline"/>
        </w:rPr>
        <w:t>（厂名）2</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2"/>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highlight w:val="none"/>
          <w:shd w:val="clear" w:fill="FFFFFF"/>
          <w:vertAlign w:val="baseline"/>
        </w:rPr>
        <w:t>（规定比例）3</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（关键组件）4</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（产品名称1）</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（关键工序）5</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6FE8D44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2.</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，生产厂为</w:t>
      </w:r>
      <w:r>
        <w:rPr>
          <w:rStyle w:val="22"/>
          <w:rFonts w:hint="eastAsia" w:ascii="宋体" w:hAnsi="宋体" w:eastAsia="宋体" w:cs="宋体"/>
          <w:i w:val="0"/>
          <w:iCs w:val="0"/>
          <w:caps w:val="0"/>
          <w:color w:val="383838"/>
          <w:spacing w:val="0"/>
          <w:sz w:val="24"/>
          <w:szCs w:val="24"/>
          <w:highlight w:val="none"/>
          <w:shd w:val="clear" w:fill="FFFFFF"/>
          <w:vertAlign w:val="baseline"/>
        </w:rPr>
        <w:t>（厂名）</w:t>
      </w:r>
      <w:r>
        <w:rPr>
          <w:rFonts w:hint="eastAsia" w:ascii="宋体" w:hAnsi="宋体" w:eastAsia="宋体" w:cs="宋体"/>
          <w:i w:val="0"/>
          <w:iCs w:val="0"/>
          <w:caps w:val="0"/>
          <w:color w:val="383838"/>
          <w:spacing w:val="0"/>
          <w:sz w:val="24"/>
          <w:szCs w:val="24"/>
          <w:highlight w:val="none"/>
          <w:shd w:val="clear" w:fill="FFFFFF"/>
          <w:vertAlign w:val="baseline"/>
        </w:rPr>
        <w:t>，厂址为</w:t>
      </w:r>
      <w:r>
        <w:rPr>
          <w:rStyle w:val="22"/>
          <w:rFonts w:hint="eastAsia" w:ascii="宋体" w:hAnsi="宋体" w:eastAsia="宋体" w:cs="宋体"/>
          <w:i w:val="0"/>
          <w:iCs w:val="0"/>
          <w:caps w:val="0"/>
          <w:color w:val="383838"/>
          <w:spacing w:val="0"/>
          <w:sz w:val="24"/>
          <w:szCs w:val="24"/>
          <w:highlight w:val="none"/>
          <w:shd w:val="clear" w:fill="FFFFFF"/>
          <w:vertAlign w:val="baseline"/>
        </w:rPr>
        <w:t>（生产厂址）</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的中国境内生产的组件成本占比≥</w:t>
      </w:r>
      <w:r>
        <w:rPr>
          <w:rStyle w:val="22"/>
          <w:rFonts w:hint="eastAsia" w:ascii="宋体" w:hAnsi="宋体" w:eastAsia="宋体" w:cs="宋体"/>
          <w:i w:val="0"/>
          <w:iCs w:val="0"/>
          <w:caps w:val="0"/>
          <w:color w:val="383838"/>
          <w:spacing w:val="0"/>
          <w:sz w:val="24"/>
          <w:szCs w:val="24"/>
          <w:highlight w:val="none"/>
          <w:shd w:val="clear" w:fill="FFFFFF"/>
          <w:vertAlign w:val="baseline"/>
        </w:rPr>
        <w:t>（规定比例）</w:t>
      </w:r>
      <w:r>
        <w:rPr>
          <w:rFonts w:hint="eastAsia" w:ascii="宋体" w:hAnsi="宋体" w:eastAsia="宋体" w:cs="宋体"/>
          <w:i w:val="0"/>
          <w:iCs w:val="0"/>
          <w:caps w:val="0"/>
          <w:color w:val="383838"/>
          <w:spacing w:val="0"/>
          <w:sz w:val="24"/>
          <w:szCs w:val="24"/>
          <w:highlight w:val="none"/>
          <w:shd w:val="clear" w:fill="FFFFFF"/>
          <w:vertAlign w:val="baseline"/>
        </w:rPr>
        <w:t>。</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（关键组件）</w:t>
      </w:r>
      <w:r>
        <w:rPr>
          <w:rFonts w:hint="eastAsia" w:ascii="宋体" w:hAnsi="宋体" w:eastAsia="宋体" w:cs="宋体"/>
          <w:i w:val="0"/>
          <w:iCs w:val="0"/>
          <w:caps w:val="0"/>
          <w:color w:val="383838"/>
          <w:spacing w:val="0"/>
          <w:sz w:val="24"/>
          <w:szCs w:val="24"/>
          <w:highlight w:val="none"/>
          <w:shd w:val="clear" w:fill="FFFFFF"/>
          <w:vertAlign w:val="baseline"/>
        </w:rPr>
        <w:t>在中国境内生产。</w:t>
      </w:r>
      <w:r>
        <w:rPr>
          <w:rStyle w:val="22"/>
          <w:rFonts w:hint="eastAsia" w:ascii="宋体" w:hAnsi="宋体" w:eastAsia="宋体" w:cs="宋体"/>
          <w:i w:val="0"/>
          <w:iCs w:val="0"/>
          <w:caps w:val="0"/>
          <w:color w:val="383838"/>
          <w:spacing w:val="0"/>
          <w:sz w:val="24"/>
          <w:szCs w:val="24"/>
          <w:highlight w:val="none"/>
          <w:shd w:val="clear" w:fill="FFFFFF"/>
          <w:vertAlign w:val="baseline"/>
        </w:rPr>
        <w:t>（产品名称2）</w:t>
      </w:r>
      <w:r>
        <w:rPr>
          <w:rFonts w:hint="eastAsia" w:ascii="宋体" w:hAnsi="宋体" w:eastAsia="宋体" w:cs="宋体"/>
          <w:i w:val="0"/>
          <w:iCs w:val="0"/>
          <w:caps w:val="0"/>
          <w:color w:val="383838"/>
          <w:spacing w:val="0"/>
          <w:sz w:val="24"/>
          <w:szCs w:val="24"/>
          <w:highlight w:val="none"/>
          <w:shd w:val="clear" w:fill="FFFFFF"/>
          <w:vertAlign w:val="baseline"/>
        </w:rPr>
        <w:t>的</w:t>
      </w:r>
      <w:r>
        <w:rPr>
          <w:rStyle w:val="22"/>
          <w:rFonts w:hint="eastAsia" w:ascii="宋体" w:hAnsi="宋体" w:eastAsia="宋体" w:cs="宋体"/>
          <w:i w:val="0"/>
          <w:iCs w:val="0"/>
          <w:caps w:val="0"/>
          <w:color w:val="383838"/>
          <w:spacing w:val="0"/>
          <w:sz w:val="24"/>
          <w:szCs w:val="24"/>
          <w:highlight w:val="none"/>
          <w:shd w:val="clear" w:fill="FFFFFF"/>
          <w:vertAlign w:val="baseline"/>
        </w:rPr>
        <w:t>（关键工序）</w:t>
      </w:r>
      <w:r>
        <w:rPr>
          <w:rFonts w:hint="eastAsia" w:ascii="宋体" w:hAnsi="宋体" w:eastAsia="宋体" w:cs="宋体"/>
          <w:i w:val="0"/>
          <w:iCs w:val="0"/>
          <w:caps w:val="0"/>
          <w:color w:val="383838"/>
          <w:spacing w:val="0"/>
          <w:sz w:val="24"/>
          <w:szCs w:val="24"/>
          <w:highlight w:val="none"/>
          <w:shd w:val="clear" w:fill="FFFFFF"/>
          <w:vertAlign w:val="baseline"/>
        </w:rPr>
        <w:t>在中国境内完成。</w:t>
      </w:r>
    </w:p>
    <w:p w14:paraId="118E185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w:t>
      </w:r>
    </w:p>
    <w:p w14:paraId="0D5E4ED0">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本公司（单位）对上述声明内容的真实性负责。如有虚假，愿承担相应法律责任。</w:t>
      </w:r>
    </w:p>
    <w:p w14:paraId="43EAED97">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 </w:t>
      </w:r>
    </w:p>
    <w:p w14:paraId="7341028F">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公司（单位）名称（盖章）：　        </w:t>
      </w:r>
    </w:p>
    <w:p w14:paraId="6C33146D">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0"/>
        <w:jc w:val="right"/>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日期：　     年　  月　  日         </w:t>
      </w:r>
    </w:p>
    <w:p w14:paraId="0865A694">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1.产品如有型号，请在“产品名称”栏一并填写。</w:t>
      </w:r>
    </w:p>
    <w:p w14:paraId="0553D163">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2.生产厂名与厂址应与生产厂营业执照载明的相关信息保持一致。</w:t>
      </w:r>
    </w:p>
    <w:p w14:paraId="1E912AC8">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3.该产品的中国境内生产的组件成本占比相关要求实施前，“规定比例”栏可不填，下同。</w:t>
      </w:r>
    </w:p>
    <w:p w14:paraId="71D07AAE">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rPr>
      </w:pPr>
      <w:r>
        <w:rPr>
          <w:rFonts w:hint="eastAsia" w:ascii="宋体" w:hAnsi="宋体" w:eastAsia="宋体" w:cs="宋体"/>
          <w:i w:val="0"/>
          <w:iCs w:val="0"/>
          <w:caps w:val="0"/>
          <w:color w:val="383838"/>
          <w:spacing w:val="0"/>
          <w:sz w:val="24"/>
          <w:szCs w:val="24"/>
          <w:highlight w:val="none"/>
          <w:shd w:val="clear" w:fill="FFFFFF"/>
          <w:vertAlign w:val="baseline"/>
        </w:rPr>
        <w:t>4.该产品的关键组件要求实施前，“关键组件”栏可不填，下同。</w:t>
      </w:r>
    </w:p>
    <w:p w14:paraId="1F2D6E22">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383838"/>
          <w:spacing w:val="0"/>
          <w:sz w:val="24"/>
          <w:szCs w:val="24"/>
          <w:highlight w:val="none"/>
          <w:shd w:val="clear" w:fill="FFFFFF"/>
          <w:vertAlign w:val="baseline"/>
        </w:rPr>
        <w:t>5.该产品的关键工序要求实施前，“关键工序”栏可不填，下同。</w:t>
      </w:r>
    </w:p>
    <w:p w14:paraId="7F28C51C">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383838"/>
          <w:spacing w:val="0"/>
          <w:sz w:val="24"/>
          <w:szCs w:val="24"/>
          <w:highlight w:val="none"/>
          <w:shd w:val="clear" w:fill="FFFFFF"/>
          <w:vertAlign w:val="baseline"/>
          <w:lang w:val="en-US" w:eastAsia="zh-CN"/>
        </w:rPr>
        <w:t>6、风险提示：</w:t>
      </w:r>
      <w:r>
        <w:rPr>
          <w:rFonts w:hint="eastAsia" w:ascii="宋体" w:hAnsi="宋体" w:eastAsia="宋体" w:cs="宋体"/>
          <w:i w:val="0"/>
          <w:iCs w:val="0"/>
          <w:caps w:val="0"/>
          <w:color w:val="383838"/>
          <w:spacing w:val="0"/>
          <w:sz w:val="24"/>
          <w:szCs w:val="24"/>
          <w:highlight w:val="none"/>
          <w:shd w:val="clear" w:fill="FFFFFF"/>
          <w:vertAlign w:val="baseline"/>
        </w:rPr>
        <w:t>随中标、成交结果同时公告中标供应商提供的《声明函》或有关证明文件。</w:t>
      </w:r>
      <w:r>
        <w:rPr>
          <w:rFonts w:hint="eastAsia" w:ascii="宋体" w:hAnsi="宋体" w:eastAsia="宋体" w:cs="宋体"/>
          <w:i w:val="0"/>
          <w:iCs w:val="0"/>
          <w:caps w:val="0"/>
          <w:color w:val="383838"/>
          <w:spacing w:val="0"/>
          <w:sz w:val="24"/>
          <w:szCs w:val="24"/>
          <w:highlight w:val="none"/>
          <w:shd w:val="clear" w:fill="FFFFFF"/>
          <w:vertAlign w:val="baseline"/>
          <w:lang w:eastAsia="zh-CN"/>
        </w:rPr>
        <w:t>投标人</w:t>
      </w:r>
      <w:r>
        <w:rPr>
          <w:rFonts w:hint="eastAsia" w:ascii="宋体" w:hAnsi="宋体" w:eastAsia="宋体" w:cs="宋体"/>
          <w:i w:val="0"/>
          <w:iCs w:val="0"/>
          <w:caps w:val="0"/>
          <w:color w:val="383838"/>
          <w:spacing w:val="0"/>
          <w:sz w:val="24"/>
          <w:szCs w:val="24"/>
          <w:highlight w:val="none"/>
          <w:shd w:val="clear" w:fill="FFFFFF"/>
          <w:vertAlign w:val="baseline"/>
        </w:rPr>
        <w:t>提供虚假《声明函》、虚假证明文件谋取中标、成交的，依照《中华人民共和国政府采购法》等法律法规规定追究相应责任。</w:t>
      </w:r>
    </w:p>
    <w:p w14:paraId="73B37CDD">
      <w:pPr>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383838"/>
          <w:spacing w:val="0"/>
          <w:sz w:val="24"/>
          <w:szCs w:val="24"/>
          <w:highlight w:val="none"/>
          <w:shd w:val="clear" w:fill="FFFFFF"/>
          <w:vertAlign w:val="baseline"/>
        </w:rPr>
        <w:br w:type="page"/>
      </w:r>
    </w:p>
    <w:p w14:paraId="4E4C9635">
      <w:pPr>
        <w:jc w:val="cente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pPr>
      <w:bookmarkStart w:id="162" w:name="_Toc31715"/>
      <w:bookmarkStart w:id="163" w:name="_Toc18703"/>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格式 8-</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6 关于符合本国产品标准的成本占比承诺函</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【如</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适用</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w:t>
      </w:r>
      <w:bookmarkEnd w:id="162"/>
      <w:bookmarkEnd w:id="163"/>
    </w:p>
    <w:p w14:paraId="49DD0911">
      <w:pPr>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rPr>
      </w:pPr>
    </w:p>
    <w:p w14:paraId="425C4660">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r>
        <w:rPr>
          <w:rFonts w:hint="eastAsia" w:ascii="宋体" w:hAnsi="宋体" w:eastAsia="宋体" w:cs="宋体"/>
          <w:b/>
          <w:bCs/>
          <w:color w:val="auto"/>
          <w:sz w:val="24"/>
          <w:szCs w:val="24"/>
          <w:highlight w:val="none"/>
          <w:lang w:val="en-US" w:eastAsia="zh-CN"/>
        </w:rPr>
        <w:t>关于符合本国产品标准的成本占比承诺函</w:t>
      </w:r>
    </w:p>
    <w:p w14:paraId="72C281A4">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auto"/>
          <w:sz w:val="32"/>
          <w:szCs w:val="32"/>
          <w:highlight w:val="none"/>
          <w:lang w:val="en-US" w:eastAsia="zh-CN"/>
        </w:rPr>
      </w:pPr>
    </w:p>
    <w:tbl>
      <w:tblPr>
        <w:tblStyle w:val="19"/>
        <w:tblW w:w="8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08"/>
        <w:gridCol w:w="2092"/>
      </w:tblGrid>
      <w:tr w14:paraId="5AADC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jc w:val="center"/>
        </w:trPr>
        <w:tc>
          <w:tcPr>
            <w:tcW w:w="6208" w:type="dxa"/>
            <w:vAlign w:val="center"/>
          </w:tcPr>
          <w:p w14:paraId="394944CB">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项目</w:t>
            </w:r>
          </w:p>
        </w:tc>
        <w:tc>
          <w:tcPr>
            <w:tcW w:w="2092" w:type="dxa"/>
            <w:vAlign w:val="center"/>
          </w:tcPr>
          <w:p w14:paraId="1ADF20F8">
            <w:pPr>
              <w:widowControl w:val="0"/>
              <w:ind w:firstLine="0" w:firstLineChars="0"/>
              <w:jc w:val="cente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b/>
                <w:bCs/>
                <w:i w:val="0"/>
                <w:iCs w:val="0"/>
                <w:caps w:val="0"/>
                <w:color w:val="auto"/>
                <w:spacing w:val="0"/>
                <w:sz w:val="24"/>
                <w:szCs w:val="24"/>
                <w:highlight w:val="none"/>
                <w:u w:val="none"/>
                <w:shd w:val="clear" w:fill="FFFFFF"/>
                <w:vertAlign w:val="baseline"/>
                <w:lang w:val="en-US" w:eastAsia="zh-CN"/>
              </w:rPr>
              <w:t>填写内容</w:t>
            </w:r>
          </w:p>
        </w:tc>
      </w:tr>
      <w:tr w14:paraId="594F3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8" w:type="dxa"/>
            <w:vAlign w:val="center"/>
          </w:tcPr>
          <w:p w14:paraId="290EB7C2">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6726D66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rPr>
            </w:pPr>
            <m:oMathPara>
              <m:oMath>
                <m:r>
                  <m:rPr>
                    <m:sty m:val="p"/>
                  </m:rPr>
                  <w:rPr>
                    <w:rFonts w:hint="eastAsia" w:ascii="Cambria Math" w:hAnsi="Cambria Math" w:eastAsia="宋体" w:cs="宋体"/>
                    <w:color w:val="auto"/>
                    <w:sz w:val="24"/>
                    <w:szCs w:val="24"/>
                    <w:highlight w:val="none"/>
                  </w:rPr>
                  <m:t>比例</m:t>
                </m:r>
                <m:r>
                  <m:rPr/>
                  <w:rPr>
                    <w:rFonts w:hint="eastAsia" w:ascii="Cambria Math" w:hAnsi="Cambria Math" w:eastAsia="宋体" w:cs="宋体"/>
                    <w:color w:val="auto"/>
                    <w:sz w:val="24"/>
                    <w:szCs w:val="24"/>
                    <w:highlight w:val="none"/>
                  </w:rPr>
                  <m:t>=</m:t>
                </m:r>
                <m:f>
                  <m:fPr>
                    <m:ctrlPr>
                      <w:rPr>
                        <w:rFonts w:hint="eastAsia" w:ascii="Cambria Math" w:hAnsi="Cambria Math" w:eastAsia="宋体" w:cs="宋体"/>
                        <w:i/>
                        <w:color w:val="auto"/>
                        <w:sz w:val="24"/>
                        <w:szCs w:val="24"/>
                        <w:highlight w:val="none"/>
                      </w:rPr>
                    </m:ctrlPr>
                  </m:fPr>
                  <m:num>
                    <m:r>
                      <m:rPr>
                        <m:sty m:val="p"/>
                      </m:rPr>
                      <w:rPr>
                        <w:rFonts w:hint="eastAsia" w:ascii="Cambria Math" w:hAnsi="Cambria Math" w:eastAsia="宋体" w:cs="宋体"/>
                        <w:color w:val="auto"/>
                        <w:sz w:val="24"/>
                        <w:szCs w:val="24"/>
                        <w:highlight w:val="none"/>
                      </w:rPr>
                      <m:t>符合本国产品标准的投标产品成本之和</m:t>
                    </m:r>
                    <m:ctrlPr>
                      <w:rPr>
                        <w:rFonts w:hint="eastAsia" w:ascii="Cambria Math" w:hAnsi="Cambria Math" w:eastAsia="宋体" w:cs="宋体"/>
                        <w:color w:val="auto"/>
                        <w:sz w:val="24"/>
                        <w:szCs w:val="24"/>
                        <w:highlight w:val="none"/>
                      </w:rPr>
                    </m:ctrlPr>
                  </m:num>
                  <m:den>
                    <m:r>
                      <m:rPr>
                        <m:sty m:val="p"/>
                      </m:rPr>
                      <w:rPr>
                        <w:rFonts w:hint="eastAsia" w:ascii="Cambria Math" w:hAnsi="Cambria Math" w:eastAsia="宋体" w:cs="宋体"/>
                        <w:color w:val="auto"/>
                        <w:sz w:val="24"/>
                        <w:szCs w:val="24"/>
                        <w:highlight w:val="none"/>
                      </w:rPr>
                      <m:t>提供的全部产品成本之和</m:t>
                    </m:r>
                    <m:ctrlPr>
                      <w:rPr>
                        <w:rFonts w:hint="eastAsia" w:ascii="Cambria Math" w:hAnsi="Cambria Math" w:eastAsia="宋体" w:cs="宋体"/>
                        <w:color w:val="auto"/>
                        <w:sz w:val="24"/>
                        <w:szCs w:val="24"/>
                        <w:highlight w:val="none"/>
                      </w:rPr>
                    </m:ctrlPr>
                  </m:den>
                </m:f>
                <m:r>
                  <m:rPr>
                    <m:sty m:val="p"/>
                  </m:rPr>
                  <w:rPr>
                    <w:rFonts w:hint="eastAsia" w:ascii="Cambria Math" w:hAnsi="Cambria Math" w:eastAsia="宋体" w:cs="宋体"/>
                    <w:color w:val="auto"/>
                    <w:sz w:val="24"/>
                    <w:szCs w:val="24"/>
                    <w:highlight w:val="none"/>
                  </w:rPr>
                  <m:t>×</m:t>
                </m:r>
                <m:r>
                  <m:rPr/>
                  <w:rPr>
                    <w:rFonts w:hint="eastAsia" w:ascii="Cambria Math" w:hAnsi="Cambria Math" w:eastAsia="宋体" w:cs="宋体"/>
                    <w:color w:val="auto"/>
                    <w:sz w:val="24"/>
                    <w:szCs w:val="24"/>
                    <w:highlight w:val="none"/>
                  </w:rPr>
                  <m:t>100%</m:t>
                </m:r>
              </m:oMath>
            </m:oMathPara>
          </w:p>
          <w:p w14:paraId="59A9E7C6">
            <w:pPr>
              <w:widowControl w:val="0"/>
              <w:ind w:firstLine="0" w:firstLineChars="0"/>
              <w:jc w:val="center"/>
              <w:rPr>
                <w:rFonts w:hint="eastAsia" w:ascii="宋体" w:hAnsi="宋体" w:eastAsia="宋体" w:cs="宋体"/>
                <w:i w:val="0"/>
                <w:iCs w:val="0"/>
                <w:caps w:val="0"/>
                <w:color w:val="auto"/>
                <w:spacing w:val="4"/>
                <w:sz w:val="24"/>
                <w:szCs w:val="24"/>
                <w:highlight w:val="none"/>
                <w:bdr w:val="single" w:color="auto" w:sz="2" w:space="0"/>
                <w:shd w:val="clear" w:fill="FFFFFF"/>
                <w:lang w:val="en-US" w:eastAsia="zh-CN"/>
              </w:rPr>
            </w:pPr>
          </w:p>
          <w:p w14:paraId="13CD4D6D">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tc>
        <w:tc>
          <w:tcPr>
            <w:tcW w:w="2092" w:type="dxa"/>
            <w:vAlign w:val="center"/>
          </w:tcPr>
          <w:p w14:paraId="7E8B9A7C">
            <w:pPr>
              <w:widowControl w:val="0"/>
              <w:ind w:firstLine="0" w:firstLineChars="0"/>
              <w:jc w:val="cente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single"/>
                <w:shd w:val="clear" w:fill="FFFFFF"/>
                <w:vertAlign w:val="baseline"/>
                <w:lang w:val="en-US" w:eastAsia="zh-CN"/>
              </w:rPr>
              <w:t xml:space="preserve">       </w:t>
            </w: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w:t>
            </w:r>
          </w:p>
        </w:tc>
      </w:tr>
    </w:tbl>
    <w:p w14:paraId="6E61118B">
      <w:pPr>
        <w:keepNext w:val="0"/>
        <w:keepLines w:val="0"/>
        <w:pageBreakBefore w:val="0"/>
        <w:widowControl w:val="0"/>
        <w:kinsoku/>
        <w:wordWrap/>
        <w:overflowPunct/>
        <w:topLinePunct w:val="0"/>
        <w:autoSpaceDE/>
        <w:autoSpaceDN/>
        <w:bidi w:val="0"/>
        <w:adjustRightInd/>
        <w:snapToGrid/>
        <w:spacing w:line="500" w:lineRule="exact"/>
        <w:ind w:firstLine="480" w:firstLineChars="200"/>
        <w:jc w:val="left"/>
        <w:textAlignment w:val="auto"/>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本公司（单位）填写、盖章与签署，即视为对表格内容真实、准确、完整的正式承诺。如存在任何虚假、误导性陈述或重大遗漏，本公司（单位）愿承担由此产生的一切法律后果及责任。</w:t>
      </w:r>
    </w:p>
    <w:p w14:paraId="6329D5A0">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供应商名称：（公章）</w:t>
      </w:r>
    </w:p>
    <w:p w14:paraId="1ED16332">
      <w:pPr>
        <w:keepNext w:val="0"/>
        <w:keepLines w:val="0"/>
        <w:pageBreakBefore w:val="0"/>
        <w:widowControl w:val="0"/>
        <w:kinsoku/>
        <w:wordWrap w:val="0"/>
        <w:overflowPunct/>
        <w:topLinePunct w:val="0"/>
        <w:autoSpaceDE/>
        <w:autoSpaceDN/>
        <w:bidi w:val="0"/>
        <w:adjustRightInd/>
        <w:snapToGrid/>
        <w:spacing w:line="500" w:lineRule="exact"/>
        <w:ind w:left="0" w:leftChars="0" w:firstLine="4320" w:firstLineChars="1800"/>
        <w:jc w:val="both"/>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sz w:val="24"/>
          <w:szCs w:val="24"/>
          <w:highlight w:val="none"/>
          <w:lang w:val="en-US" w:eastAsia="zh-CN"/>
        </w:rPr>
        <w:t>日期：    年    月　  日</w:t>
      </w:r>
      <w:r>
        <w:rPr>
          <w:rFonts w:hint="eastAsia" w:ascii="宋体" w:hAnsi="宋体" w:eastAsia="宋体" w:cs="宋体"/>
          <w:i w:val="0"/>
          <w:iCs w:val="0"/>
          <w:caps w:val="0"/>
          <w:color w:val="auto"/>
          <w:spacing w:val="0"/>
          <w:kern w:val="0"/>
          <w:sz w:val="24"/>
          <w:szCs w:val="24"/>
          <w:highlight w:val="none"/>
          <w:u w:val="none"/>
          <w:shd w:val="clear" w:fill="FFFFFF"/>
          <w:vertAlign w:val="baseline"/>
          <w:lang w:val="en-US" w:eastAsia="zh-CN" w:bidi="ar"/>
        </w:rPr>
        <w:t>         </w:t>
      </w:r>
    </w:p>
    <w:p w14:paraId="0DFAD485">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p>
    <w:p w14:paraId="388AE2E6">
      <w:pPr>
        <w:ind w:firstLine="0" w:firstLineChars="0"/>
        <w:jc w:val="left"/>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注：</w:t>
      </w:r>
    </w:p>
    <w:p w14:paraId="2F860E35">
      <w:pPr>
        <w:keepNext w:val="0"/>
        <w:keepLines w:val="0"/>
        <w:pageBreakBefore w:val="0"/>
        <w:widowControl/>
        <w:kinsoku w:val="0"/>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1、单一产品采购不填写此函，多品目采购包如供应商所有产品均为本国产品且填写《关于符合本国产品标准的声明函》可不填写此函。</w:t>
      </w:r>
    </w:p>
    <w:p w14:paraId="7E1BD821">
      <w:pPr>
        <w:pStyle w:val="1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val="0"/>
        <w:wordWrap/>
        <w:overflowPunct/>
        <w:topLinePunct w:val="0"/>
        <w:autoSpaceDE w:val="0"/>
        <w:autoSpaceDN w:val="0"/>
        <w:bidi w:val="0"/>
        <w:adjustRightInd w:val="0"/>
        <w:snapToGrid w:val="0"/>
        <w:spacing w:before="24" w:beforeAutospacing="0" w:after="24" w:afterAutospacing="0" w:line="480" w:lineRule="exact"/>
        <w:ind w:left="0" w:right="0" w:firstLine="420"/>
        <w:textAlignment w:val="baseline"/>
        <w:rPr>
          <w:rFonts w:hint="eastAsia" w:ascii="宋体" w:hAnsi="宋体" w:eastAsia="宋体" w:cs="宋体"/>
          <w:i w:val="0"/>
          <w:iCs w:val="0"/>
          <w:caps w:val="0"/>
          <w:color w:val="383838"/>
          <w:spacing w:val="0"/>
          <w:sz w:val="24"/>
          <w:szCs w:val="24"/>
          <w:highlight w:val="none"/>
          <w:shd w:val="clear" w:fill="FFFFFF"/>
          <w:vertAlign w:val="baseline"/>
        </w:rPr>
      </w:pPr>
      <w:r>
        <w:rPr>
          <w:rFonts w:hint="eastAsia" w:ascii="宋体" w:hAnsi="宋体" w:eastAsia="宋体" w:cs="宋体"/>
          <w:i w:val="0"/>
          <w:iCs w:val="0"/>
          <w:caps w:val="0"/>
          <w:color w:val="auto"/>
          <w:spacing w:val="0"/>
          <w:sz w:val="24"/>
          <w:szCs w:val="24"/>
          <w:highlight w:val="none"/>
          <w:u w:val="none"/>
          <w:shd w:val="clear" w:fill="FFFFFF"/>
          <w:vertAlign w:val="baseline"/>
          <w:lang w:val="en-US" w:eastAsia="zh-CN"/>
        </w:rPr>
        <w:t>2、根据《国务院办公厅关于在政府采购中实施本国产品标准及相关政策的通知》（国办发〔2025〕34号）规定，当采购项目或采购包中含有多种产品，供应商对其提供的符合本国产品标准的产品成本之和占其提供的全部产品成本之和比例是否达到80%作出承诺，该比例达到80%以上，依法对其全部产品总报价给予20%的价格扣除，未达到80%,不享受价格评审优惠。</w:t>
      </w:r>
    </w:p>
    <w:p w14:paraId="26085A0C">
      <w:pPr>
        <w:pStyle w:val="1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4" w:beforeAutospacing="0" w:after="24" w:afterAutospacing="0"/>
        <w:ind w:left="0" w:right="0" w:firstLine="420"/>
        <w:textAlignment w:val="baseline"/>
        <w:rPr>
          <w:rFonts w:hint="eastAsia" w:ascii="宋体" w:hAnsi="宋体" w:eastAsia="宋体" w:cs="宋体"/>
          <w:i w:val="0"/>
          <w:iCs w:val="0"/>
          <w:caps w:val="0"/>
          <w:color w:val="383838"/>
          <w:spacing w:val="0"/>
          <w:sz w:val="16"/>
          <w:szCs w:val="16"/>
          <w:highlight w:val="none"/>
          <w:shd w:val="clear" w:fill="FFFFFF"/>
          <w:vertAlign w:val="baseline"/>
          <w:lang w:val="en-US" w:eastAsia="zh-CN"/>
        </w:rPr>
      </w:pPr>
    </w:p>
    <w:p w14:paraId="7DD6E75A">
      <w:pPr>
        <w:pageBreakBefore w:val="0"/>
        <w:widowControl/>
        <w:wordWrap/>
        <w:overflowPunct/>
        <w:topLinePunct w:val="0"/>
        <w:bidi w:val="0"/>
        <w:spacing w:before="0" w:line="240" w:lineRule="auto"/>
        <w:ind w:left="0"/>
        <w:outlineLvl w:val="9"/>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br w:type="page"/>
      </w:r>
    </w:p>
    <w:p w14:paraId="082C950E">
      <w:pPr>
        <w:pageBreakBefore w:val="0"/>
        <w:widowControl w:val="0"/>
        <w:wordWrap/>
        <w:overflowPunct/>
        <w:topLinePunct w:val="0"/>
        <w:bidi w:val="0"/>
        <w:spacing w:before="48" w:line="219" w:lineRule="auto"/>
        <w:ind w:left="3935"/>
        <w:outlineLvl w:val="0"/>
        <w:rPr>
          <w:rFonts w:hint="eastAsia" w:ascii="宋体" w:hAnsi="宋体" w:eastAsia="宋体" w:cs="宋体"/>
          <w:color w:val="auto"/>
          <w:spacing w:val="0"/>
          <w:w w:val="100"/>
          <w:position w:val="0"/>
          <w:sz w:val="24"/>
          <w:szCs w:val="24"/>
          <w:highlight w:val="none"/>
          <w:lang w:eastAsia="zh-CN"/>
        </w:rPr>
      </w:pPr>
      <w:bookmarkStart w:id="164" w:name="_Toc3018"/>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9.技术文件</w:t>
      </w:r>
      <w:bookmarkEnd w:id="164"/>
    </w:p>
    <w:p w14:paraId="636DB41E">
      <w:pPr>
        <w:pageBreakBefore w:val="0"/>
        <w:widowControl w:val="0"/>
        <w:wordWrap/>
        <w:overflowPunct/>
        <w:topLinePunct w:val="0"/>
        <w:bidi w:val="0"/>
        <w:spacing w:line="283" w:lineRule="auto"/>
        <w:rPr>
          <w:rFonts w:hint="eastAsia" w:ascii="宋体" w:hAnsi="宋体" w:eastAsia="宋体" w:cs="宋体"/>
          <w:color w:val="auto"/>
          <w:spacing w:val="0"/>
          <w:w w:val="100"/>
          <w:position w:val="0"/>
          <w:highlight w:val="none"/>
          <w:lang w:eastAsia="zh-CN"/>
        </w:rPr>
      </w:pPr>
    </w:p>
    <w:p w14:paraId="64578FDE">
      <w:pPr>
        <w:pageBreakBefore w:val="0"/>
        <w:widowControl w:val="0"/>
        <w:wordWrap/>
        <w:overflowPunct/>
        <w:topLinePunct w:val="0"/>
        <w:bidi w:val="0"/>
        <w:spacing w:line="284" w:lineRule="auto"/>
        <w:rPr>
          <w:rFonts w:hint="eastAsia" w:ascii="宋体" w:hAnsi="宋体" w:eastAsia="宋体" w:cs="宋体"/>
          <w:color w:val="auto"/>
          <w:spacing w:val="0"/>
          <w:w w:val="100"/>
          <w:position w:val="0"/>
          <w:highlight w:val="none"/>
          <w:lang w:eastAsia="zh-CN"/>
        </w:rPr>
      </w:pPr>
    </w:p>
    <w:p w14:paraId="209E1298">
      <w:pPr>
        <w:pageBreakBefore w:val="0"/>
        <w:widowControl w:val="0"/>
        <w:wordWrap/>
        <w:overflowPunct/>
        <w:topLinePunct w:val="0"/>
        <w:bidi w:val="0"/>
        <w:spacing w:before="78" w:line="219" w:lineRule="auto"/>
        <w:ind w:left="30"/>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内容包括：</w:t>
      </w:r>
    </w:p>
    <w:p w14:paraId="5E2FFDC2">
      <w:pPr>
        <w:pageBreakBefore w:val="0"/>
        <w:widowControl w:val="0"/>
        <w:wordWrap/>
        <w:overflowPunct/>
        <w:topLinePunct w:val="0"/>
        <w:bidi w:val="0"/>
        <w:spacing w:before="179" w:afterAutospacing="0" w:line="219" w:lineRule="auto"/>
        <w:ind w:left="18"/>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1、货物的技术规格与功能的详细说明</w:t>
      </w:r>
    </w:p>
    <w:p w14:paraId="23E3A6F3">
      <w:pPr>
        <w:pageBreakBefore w:val="0"/>
        <w:widowControl w:val="0"/>
        <w:wordWrap/>
        <w:overflowPunct/>
        <w:topLinePunct w:val="0"/>
        <w:bidi w:val="0"/>
        <w:spacing w:before="62" w:beforeAutospacing="0" w:afterAutospacing="0" w:line="466" w:lineRule="exact"/>
        <w:ind w:left="3"/>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2、主要外购件、配套件的型号规格和制造商明细表</w:t>
      </w:r>
    </w:p>
    <w:p w14:paraId="4CE912D2">
      <w:pPr>
        <w:pageBreakBefore w:val="0"/>
        <w:widowControl w:val="0"/>
        <w:wordWrap/>
        <w:overflowPunct/>
        <w:topLinePunct w:val="0"/>
        <w:bidi w:val="0"/>
        <w:spacing w:before="0" w:beforeLines="78" w:beforeAutospacing="0" w:line="218" w:lineRule="auto"/>
        <w:ind w:left="5"/>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3、标准附件、备品备件和专用工具等</w:t>
      </w:r>
    </w:p>
    <w:p w14:paraId="381AD690">
      <w:pPr>
        <w:pageBreakBefore w:val="0"/>
        <w:widowControl w:val="0"/>
        <w:wordWrap/>
        <w:overflowPunct/>
        <w:topLinePunct w:val="0"/>
        <w:bidi w:val="0"/>
        <w:spacing w:before="185" w:line="219" w:lineRule="auto"/>
        <w:rPr>
          <w:rFonts w:hint="eastAsia" w:ascii="宋体" w:hAnsi="宋体" w:eastAsia="宋体" w:cs="宋体"/>
          <w:color w:val="auto"/>
          <w:spacing w:val="0"/>
          <w:w w:val="100"/>
          <w:position w:val="0"/>
          <w:sz w:val="24"/>
          <w:szCs w:val="24"/>
          <w:highlight w:val="none"/>
          <w:lang w:eastAsia="zh-CN"/>
        </w:rPr>
      </w:pPr>
      <w:r>
        <w:rPr>
          <w:rFonts w:hint="eastAsia" w:ascii="宋体" w:hAnsi="宋体" w:eastAsia="宋体" w:cs="宋体"/>
          <w:color w:val="auto"/>
          <w:spacing w:val="0"/>
          <w:w w:val="100"/>
          <w:position w:val="0"/>
          <w:sz w:val="24"/>
          <w:szCs w:val="24"/>
          <w:highlight w:val="none"/>
          <w:lang w:eastAsia="zh-CN"/>
        </w:rPr>
        <w:t>4、投标人认为需要说明的其他内容（投标人视需要自行编写）</w:t>
      </w:r>
    </w:p>
    <w:p w14:paraId="561BC401">
      <w:pPr>
        <w:pageBreakBefore w:val="0"/>
        <w:widowControl w:val="0"/>
        <w:wordWrap/>
        <w:overflowPunct/>
        <w:topLinePunct w:val="0"/>
        <w:bidi w:val="0"/>
        <w:spacing w:line="219" w:lineRule="auto"/>
        <w:rPr>
          <w:rFonts w:hint="eastAsia" w:ascii="宋体" w:hAnsi="宋体" w:eastAsia="宋体" w:cs="宋体"/>
          <w:color w:val="auto"/>
          <w:spacing w:val="0"/>
          <w:w w:val="100"/>
          <w:position w:val="0"/>
          <w:sz w:val="24"/>
          <w:szCs w:val="24"/>
          <w:highlight w:val="none"/>
          <w:lang w:eastAsia="zh-CN"/>
        </w:rPr>
        <w:sectPr>
          <w:footerReference r:id="rId21" w:type="default"/>
          <w:pgSz w:w="11906" w:h="16839"/>
          <w:pgMar w:top="1429" w:right="1786" w:bottom="1429" w:left="1786" w:header="0" w:footer="994" w:gutter="0"/>
          <w:cols w:space="720" w:num="1"/>
        </w:sectPr>
      </w:pPr>
    </w:p>
    <w:p w14:paraId="59B17906">
      <w:pPr>
        <w:pageBreakBefore w:val="0"/>
        <w:widowControl w:val="0"/>
        <w:wordWrap/>
        <w:overflowPunct/>
        <w:topLinePunct w:val="0"/>
        <w:bidi w:val="0"/>
        <w:spacing w:before="48" w:line="219" w:lineRule="auto"/>
        <w:jc w:val="center"/>
        <w:outlineLvl w:val="1"/>
        <w:rPr>
          <w:rFonts w:hint="eastAsia" w:ascii="宋体" w:hAnsi="宋体" w:eastAsia="宋体" w:cs="宋体"/>
          <w:color w:val="auto"/>
          <w:spacing w:val="0"/>
          <w:w w:val="100"/>
          <w:position w:val="0"/>
          <w:highlight w:val="none"/>
        </w:rPr>
        <w:sectPr>
          <w:footerReference r:id="rId22" w:type="default"/>
          <w:pgSz w:w="11906" w:h="16839"/>
          <w:pgMar w:top="1429" w:right="1786" w:bottom="1429" w:left="1786" w:header="0" w:footer="994" w:gutter="0"/>
          <w:cols w:space="720" w:num="1"/>
        </w:sectPr>
      </w:pPr>
      <w:bookmarkStart w:id="165" w:name="_Toc9101"/>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10</w:t>
      </w:r>
      <w:r>
        <w:rPr>
          <w:rFonts w:hint="eastAsia" w:ascii="宋体" w:hAnsi="宋体" w:eastAsia="宋体" w:cs="宋体"/>
          <w:color w:val="auto"/>
          <w:spacing w:val="-1"/>
          <w:sz w:val="24"/>
          <w:szCs w:val="24"/>
          <w:highlight w:val="none"/>
          <w:lang w:eastAsia="zh-CN"/>
          <w14:textOutline w14:w="4356" w14:cap="sq" w14:cmpd="sng" w14:algn="ctr">
            <w14:solidFill>
              <w14:srgbClr w14:val="000000"/>
            </w14:solidFill>
            <w14:prstDash w14:val="solid"/>
            <w14:bevel/>
          </w14:textOutline>
        </w:rPr>
        <w:t>.</w:t>
      </w:r>
      <w:r>
        <w:rPr>
          <w:rFonts w:hint="eastAsia" w:ascii="宋体" w:hAnsi="宋体" w:eastAsia="宋体" w:cs="宋体"/>
          <w:color w:val="auto"/>
          <w:spacing w:val="0"/>
          <w:w w:val="100"/>
          <w:position w:val="0"/>
          <w:sz w:val="24"/>
          <w:szCs w:val="24"/>
          <w:highlight w:val="none"/>
          <w:lang w:eastAsia="zh-CN"/>
          <w14:textOutline w14:w="4356" w14:cap="sq" w14:cmpd="sng" w14:algn="ctr">
            <w14:solidFill>
              <w14:srgbClr w14:val="000000"/>
            </w14:solidFill>
            <w14:prstDash w14:val="solid"/>
            <w14:bevel/>
          </w14:textOutline>
        </w:rPr>
        <w:t>与技术、商务等评审计分有关的资料</w:t>
      </w:r>
      <w:bookmarkEnd w:id="165"/>
    </w:p>
    <w:p w14:paraId="2231364F">
      <w:pPr>
        <w:pageBreakBefore w:val="0"/>
        <w:widowControl w:val="0"/>
        <w:wordWrap/>
        <w:overflowPunct/>
        <w:topLinePunct w:val="0"/>
        <w:bidi w:val="0"/>
        <w:spacing w:before="63" w:line="224" w:lineRule="auto"/>
        <w:jc w:val="center"/>
        <w:outlineLvl w:val="0"/>
        <w:rPr>
          <w:rFonts w:hint="eastAsia" w:ascii="宋体" w:hAnsi="宋体" w:eastAsia="宋体" w:cs="宋体"/>
          <w:color w:val="auto"/>
          <w:spacing w:val="0"/>
          <w:w w:val="100"/>
          <w:position w:val="0"/>
          <w:highlight w:val="none"/>
          <w:lang w:eastAsia="zh-CN"/>
        </w:rPr>
      </w:pPr>
      <w:bookmarkStart w:id="166" w:name="bookmark79"/>
      <w:bookmarkEnd w:id="166"/>
      <w:bookmarkStart w:id="167" w:name="bookmark80"/>
      <w:bookmarkEnd w:id="167"/>
      <w:bookmarkStart w:id="168" w:name="_Toc11877"/>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第五章</w:t>
      </w:r>
      <w:r>
        <w:rPr>
          <w:rFonts w:hint="eastAsia" w:ascii="宋体" w:hAnsi="宋体" w:eastAsia="宋体" w:cs="宋体"/>
          <w:color w:val="auto"/>
          <w:spacing w:val="0"/>
          <w:w w:val="100"/>
          <w:position w:val="0"/>
          <w:sz w:val="31"/>
          <w:szCs w:val="31"/>
          <w:highlight w:val="none"/>
          <w:lang w:eastAsia="zh-CN"/>
        </w:rPr>
        <w:t xml:space="preserve">  </w:t>
      </w:r>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bookmarkEnd w:id="168"/>
    </w:p>
    <w:p w14:paraId="55EE8BFF">
      <w:pPr>
        <w:pageBreakBefore w:val="0"/>
        <w:widowControl w:val="0"/>
        <w:wordWrap/>
        <w:overflowPunct/>
        <w:topLinePunct w:val="0"/>
        <w:bidi w:val="0"/>
        <w:spacing w:before="78" w:line="220" w:lineRule="auto"/>
        <w:outlineLvl w:val="9"/>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p>
    <w:p w14:paraId="32C34EE3">
      <w:pPr>
        <w:pageBreakBefore w:val="0"/>
        <w:widowControl w:val="0"/>
        <w:wordWrap/>
        <w:overflowPunct/>
        <w:topLinePunct w:val="0"/>
        <w:bidi w:val="0"/>
        <w:spacing w:before="78" w:line="220" w:lineRule="auto"/>
        <w:outlineLvl w:val="1"/>
        <w:rPr>
          <w:rFonts w:hint="eastAsia" w:ascii="宋体" w:hAnsi="宋体" w:eastAsia="宋体" w:cs="宋体"/>
          <w:color w:val="auto"/>
          <w:spacing w:val="0"/>
          <w:w w:val="100"/>
          <w:position w:val="0"/>
          <w:highlight w:val="none"/>
        </w:rPr>
      </w:pPr>
      <w:bookmarkStart w:id="169" w:name="_Toc18085"/>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bookmarkEnd w:id="169"/>
    </w:p>
    <w:tbl>
      <w:tblPr>
        <w:tblStyle w:val="26"/>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27CBB6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40267216">
            <w:pPr>
              <w:pageBreakBefore w:val="0"/>
              <w:widowControl w:val="0"/>
              <w:wordWrap/>
              <w:overflowPunct/>
              <w:topLinePunct w:val="0"/>
              <w:bidi w:val="0"/>
              <w:spacing w:before="183" w:line="223" w:lineRule="auto"/>
              <w:ind w:left="109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highlight w:val="none"/>
              </w:rPr>
              <w:drawing>
                <wp:anchor distT="0" distB="0" distL="0" distR="0" simplePos="0" relativeHeight="251679744"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6"/>
                          <a:stretch>
                            <a:fillRect/>
                          </a:stretch>
                        </pic:blipFill>
                        <pic:spPr>
                          <a:xfrm>
                            <a:off x="0" y="0"/>
                            <a:ext cx="1767840" cy="1456690"/>
                          </a:xfrm>
                          <a:prstGeom prst="rect">
                            <a:avLst/>
                          </a:prstGeom>
                        </pic:spPr>
                      </pic:pic>
                    </a:graphicData>
                  </a:graphic>
                </wp:anchor>
              </w:drawing>
            </w:r>
            <w:r>
              <w:rPr>
                <w:rFonts w:hint="eastAsia" w:ascii="宋体" w:hAnsi="宋体" w:eastAsia="宋体" w:cs="宋体"/>
                <w:color w:val="auto"/>
                <w:spacing w:val="0"/>
                <w:w w:val="100"/>
                <w:position w:val="0"/>
                <w:sz w:val="24"/>
                <w:szCs w:val="24"/>
                <w:highlight w:val="none"/>
              </w:rPr>
              <w:t>名</w:t>
            </w:r>
          </w:p>
          <w:p w14:paraId="1DB9A859">
            <w:pPr>
              <w:pStyle w:val="27"/>
              <w:pageBreakBefore w:val="0"/>
              <w:widowControl w:val="0"/>
              <w:wordWrap/>
              <w:overflowPunct/>
              <w:topLinePunct w:val="0"/>
              <w:bidi w:val="0"/>
              <w:spacing w:line="245" w:lineRule="auto"/>
              <w:rPr>
                <w:rFonts w:hint="eastAsia" w:ascii="宋体" w:hAnsi="宋体" w:eastAsia="宋体" w:cs="宋体"/>
                <w:color w:val="auto"/>
                <w:spacing w:val="0"/>
                <w:w w:val="100"/>
                <w:position w:val="0"/>
                <w:highlight w:val="none"/>
              </w:rPr>
            </w:pPr>
          </w:p>
          <w:p w14:paraId="1A0ABBBA">
            <w:pPr>
              <w:pStyle w:val="27"/>
              <w:pageBreakBefore w:val="0"/>
              <w:widowControl w:val="0"/>
              <w:wordWrap/>
              <w:overflowPunct/>
              <w:topLinePunct w:val="0"/>
              <w:bidi w:val="0"/>
              <w:spacing w:line="246" w:lineRule="auto"/>
              <w:rPr>
                <w:rFonts w:hint="eastAsia" w:ascii="宋体" w:hAnsi="宋体" w:eastAsia="宋体" w:cs="宋体"/>
                <w:color w:val="auto"/>
                <w:spacing w:val="0"/>
                <w:w w:val="100"/>
                <w:position w:val="0"/>
                <w:highlight w:val="none"/>
              </w:rPr>
            </w:pPr>
          </w:p>
          <w:p w14:paraId="42FB7C05">
            <w:pPr>
              <w:pageBreakBefore w:val="0"/>
              <w:widowControl w:val="0"/>
              <w:wordWrap/>
              <w:overflowPunct/>
              <w:topLinePunct w:val="0"/>
              <w:bidi w:val="0"/>
              <w:spacing w:before="78" w:line="219" w:lineRule="auto"/>
              <w:ind w:left="48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内</w:t>
            </w:r>
          </w:p>
          <w:p w14:paraId="3CC81F50">
            <w:pPr>
              <w:pStyle w:val="27"/>
              <w:pageBreakBefore w:val="0"/>
              <w:widowControl w:val="0"/>
              <w:wordWrap/>
              <w:overflowPunct/>
              <w:topLinePunct w:val="0"/>
              <w:bidi w:val="0"/>
              <w:spacing w:line="338" w:lineRule="auto"/>
              <w:rPr>
                <w:rFonts w:hint="eastAsia" w:ascii="宋体" w:hAnsi="宋体" w:eastAsia="宋体" w:cs="宋体"/>
                <w:color w:val="auto"/>
                <w:spacing w:val="0"/>
                <w:w w:val="100"/>
                <w:position w:val="0"/>
                <w:highlight w:val="none"/>
              </w:rPr>
            </w:pPr>
          </w:p>
          <w:p w14:paraId="17FBCE88">
            <w:pPr>
              <w:pageBreakBefore w:val="0"/>
              <w:widowControl w:val="0"/>
              <w:wordWrap/>
              <w:overflowPunct/>
              <w:topLinePunct w:val="0"/>
              <w:bidi w:val="0"/>
              <w:spacing w:before="78" w:line="220" w:lineRule="auto"/>
              <w:ind w:left="131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容</w:t>
            </w:r>
          </w:p>
        </w:tc>
        <w:tc>
          <w:tcPr>
            <w:tcW w:w="1101" w:type="dxa"/>
            <w:tcBorders>
              <w:left w:val="nil"/>
            </w:tcBorders>
          </w:tcPr>
          <w:p w14:paraId="641D948D">
            <w:pPr>
              <w:pStyle w:val="27"/>
              <w:pageBreakBefore w:val="0"/>
              <w:widowControl w:val="0"/>
              <w:wordWrap/>
              <w:overflowPunct/>
              <w:topLinePunct w:val="0"/>
              <w:bidi w:val="0"/>
              <w:spacing w:line="263" w:lineRule="auto"/>
              <w:rPr>
                <w:rFonts w:hint="eastAsia" w:ascii="宋体" w:hAnsi="宋体" w:eastAsia="宋体" w:cs="宋体"/>
                <w:color w:val="auto"/>
                <w:spacing w:val="0"/>
                <w:w w:val="100"/>
                <w:position w:val="0"/>
                <w:highlight w:val="none"/>
              </w:rPr>
            </w:pPr>
          </w:p>
          <w:p w14:paraId="7AA9A68E">
            <w:pPr>
              <w:pStyle w:val="27"/>
              <w:pageBreakBefore w:val="0"/>
              <w:widowControl w:val="0"/>
              <w:wordWrap/>
              <w:overflowPunct/>
              <w:topLinePunct w:val="0"/>
              <w:bidi w:val="0"/>
              <w:spacing w:line="263" w:lineRule="auto"/>
              <w:rPr>
                <w:rFonts w:hint="eastAsia" w:ascii="宋体" w:hAnsi="宋体" w:eastAsia="宋体" w:cs="宋体"/>
                <w:color w:val="auto"/>
                <w:spacing w:val="0"/>
                <w:w w:val="100"/>
                <w:position w:val="0"/>
                <w:highlight w:val="none"/>
              </w:rPr>
            </w:pPr>
          </w:p>
          <w:p w14:paraId="7CB2990A">
            <w:pPr>
              <w:pStyle w:val="27"/>
              <w:pageBreakBefore w:val="0"/>
              <w:widowControl w:val="0"/>
              <w:wordWrap/>
              <w:overflowPunct/>
              <w:topLinePunct w:val="0"/>
              <w:bidi w:val="0"/>
              <w:spacing w:line="264" w:lineRule="auto"/>
              <w:rPr>
                <w:rFonts w:hint="eastAsia" w:ascii="宋体" w:hAnsi="宋体" w:eastAsia="宋体" w:cs="宋体"/>
                <w:color w:val="auto"/>
                <w:spacing w:val="0"/>
                <w:w w:val="100"/>
                <w:position w:val="0"/>
                <w:highlight w:val="none"/>
              </w:rPr>
            </w:pPr>
          </w:p>
          <w:p w14:paraId="4419B0BC">
            <w:pPr>
              <w:pageBreakBefore w:val="0"/>
              <w:widowControl w:val="0"/>
              <w:wordWrap/>
              <w:overflowPunct/>
              <w:topLinePunct w:val="0"/>
              <w:bidi w:val="0"/>
              <w:spacing w:before="78" w:line="221" w:lineRule="auto"/>
              <w:ind w:left="192"/>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称</w:t>
            </w:r>
          </w:p>
        </w:tc>
        <w:tc>
          <w:tcPr>
            <w:tcW w:w="6263" w:type="dxa"/>
            <w:vAlign w:val="center"/>
          </w:tcPr>
          <w:p w14:paraId="027E60BF">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详见“第一章 投标邀请”</w:t>
            </w:r>
          </w:p>
        </w:tc>
      </w:tr>
      <w:tr w14:paraId="5DB3F8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23F6119">
            <w:pPr>
              <w:pageBreakBefore w:val="0"/>
              <w:widowControl w:val="0"/>
              <w:wordWrap/>
              <w:overflowPunct/>
              <w:topLinePunct w:val="0"/>
              <w:bidi w:val="0"/>
              <w:spacing w:before="253" w:line="219" w:lineRule="auto"/>
              <w:ind w:left="1188"/>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数量</w:t>
            </w:r>
          </w:p>
        </w:tc>
        <w:tc>
          <w:tcPr>
            <w:tcW w:w="6263" w:type="dxa"/>
            <w:vAlign w:val="center"/>
          </w:tcPr>
          <w:p w14:paraId="50433C51">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详见第五章中的“采购需求”</w:t>
            </w:r>
          </w:p>
        </w:tc>
      </w:tr>
      <w:tr w14:paraId="4F9B56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6F15DEBD">
            <w:pPr>
              <w:pageBreakBefore w:val="0"/>
              <w:widowControl w:val="0"/>
              <w:wordWrap/>
              <w:overflowPunct/>
              <w:topLinePunct w:val="0"/>
              <w:bidi w:val="0"/>
              <w:spacing w:before="253" w:line="219" w:lineRule="auto"/>
              <w:ind w:left="107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交货期</w:t>
            </w:r>
          </w:p>
        </w:tc>
        <w:tc>
          <w:tcPr>
            <w:tcW w:w="6263" w:type="dxa"/>
            <w:vAlign w:val="center"/>
          </w:tcPr>
          <w:p w14:paraId="4C162A4E">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highlight w:val="none"/>
                <w:lang w:eastAsia="zh-CN"/>
              </w:rPr>
              <w:t xml:space="preserve"> 商务</w:t>
            </w:r>
            <w:r>
              <w:rPr>
                <w:rFonts w:hint="eastAsia" w:ascii="宋体" w:hAnsi="宋体" w:eastAsia="宋体" w:cs="宋体"/>
                <w:color w:val="auto"/>
                <w:spacing w:val="0"/>
                <w:position w:val="0"/>
                <w:sz w:val="24"/>
                <w:szCs w:val="24"/>
                <w:highlight w:val="none"/>
                <w:lang w:val="en-US" w:eastAsia="zh-CN"/>
              </w:rPr>
              <w:t>条件</w:t>
            </w:r>
            <w:r>
              <w:rPr>
                <w:rFonts w:hint="eastAsia" w:ascii="宋体" w:hAnsi="宋体" w:eastAsia="宋体" w:cs="宋体"/>
                <w:color w:val="auto"/>
                <w:sz w:val="24"/>
                <w:highlight w:val="none"/>
                <w:lang w:val="en-US" w:eastAsia="zh-CN"/>
              </w:rPr>
              <w:t>”</w:t>
            </w:r>
          </w:p>
        </w:tc>
      </w:tr>
      <w:tr w14:paraId="202335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5ED9F9A8">
            <w:pPr>
              <w:pageBreakBefore w:val="0"/>
              <w:widowControl w:val="0"/>
              <w:wordWrap/>
              <w:overflowPunct/>
              <w:topLinePunct w:val="0"/>
              <w:bidi w:val="0"/>
              <w:spacing w:before="256" w:line="219" w:lineRule="auto"/>
              <w:ind w:left="95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交货地点</w:t>
            </w:r>
          </w:p>
        </w:tc>
        <w:tc>
          <w:tcPr>
            <w:tcW w:w="6263" w:type="dxa"/>
            <w:vAlign w:val="center"/>
          </w:tcPr>
          <w:p w14:paraId="4AA19BD4">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highlight w:val="none"/>
                <w:lang w:eastAsia="zh-CN"/>
              </w:rPr>
              <w:t xml:space="preserve"> 商务</w:t>
            </w:r>
            <w:r>
              <w:rPr>
                <w:rFonts w:hint="eastAsia" w:ascii="宋体" w:hAnsi="宋体" w:eastAsia="宋体" w:cs="宋体"/>
                <w:color w:val="auto"/>
                <w:spacing w:val="0"/>
                <w:position w:val="0"/>
                <w:sz w:val="24"/>
                <w:szCs w:val="24"/>
                <w:highlight w:val="none"/>
                <w:lang w:val="en-US" w:eastAsia="zh-CN"/>
              </w:rPr>
              <w:t>条件</w:t>
            </w:r>
            <w:r>
              <w:rPr>
                <w:rFonts w:hint="eastAsia" w:ascii="宋体" w:hAnsi="宋体" w:eastAsia="宋体" w:cs="宋体"/>
                <w:color w:val="auto"/>
                <w:sz w:val="24"/>
                <w:highlight w:val="none"/>
                <w:lang w:val="en-US" w:eastAsia="zh-CN"/>
              </w:rPr>
              <w:t>”</w:t>
            </w:r>
          </w:p>
        </w:tc>
      </w:tr>
      <w:tr w14:paraId="26FD81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7C7F6BB4">
            <w:pPr>
              <w:pageBreakBefore w:val="0"/>
              <w:widowControl w:val="0"/>
              <w:wordWrap/>
              <w:overflowPunct/>
              <w:topLinePunct w:val="0"/>
              <w:bidi w:val="0"/>
              <w:spacing w:before="257" w:line="220" w:lineRule="auto"/>
              <w:ind w:left="951"/>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安装地点</w:t>
            </w:r>
          </w:p>
        </w:tc>
        <w:tc>
          <w:tcPr>
            <w:tcW w:w="6263" w:type="dxa"/>
            <w:vAlign w:val="center"/>
          </w:tcPr>
          <w:p w14:paraId="3C56C754">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详见第五章中的“</w:t>
            </w:r>
            <w:r>
              <w:rPr>
                <w:rFonts w:hint="eastAsia" w:ascii="宋体" w:hAnsi="宋体" w:eastAsia="宋体" w:cs="宋体"/>
                <w:color w:val="auto"/>
                <w:spacing w:val="0"/>
                <w:position w:val="0"/>
                <w:sz w:val="24"/>
                <w:szCs w:val="24"/>
                <w:highlight w:val="none"/>
                <w:lang w:eastAsia="zh-CN"/>
              </w:rPr>
              <w:t xml:space="preserve"> 商务</w:t>
            </w:r>
            <w:r>
              <w:rPr>
                <w:rFonts w:hint="eastAsia" w:ascii="宋体" w:hAnsi="宋体" w:eastAsia="宋体" w:cs="宋体"/>
                <w:color w:val="auto"/>
                <w:spacing w:val="0"/>
                <w:position w:val="0"/>
                <w:sz w:val="24"/>
                <w:szCs w:val="24"/>
                <w:highlight w:val="none"/>
                <w:lang w:val="en-US" w:eastAsia="zh-CN"/>
              </w:rPr>
              <w:t>条件</w:t>
            </w:r>
            <w:r>
              <w:rPr>
                <w:rFonts w:hint="eastAsia" w:ascii="宋体" w:hAnsi="宋体" w:eastAsia="宋体" w:cs="宋体"/>
                <w:color w:val="auto"/>
                <w:sz w:val="24"/>
                <w:highlight w:val="none"/>
                <w:lang w:val="en-US" w:eastAsia="zh-CN"/>
              </w:rPr>
              <w:t>”</w:t>
            </w:r>
          </w:p>
        </w:tc>
      </w:tr>
      <w:tr w14:paraId="7DBC01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6AA25FED">
            <w:pPr>
              <w:pageBreakBefore w:val="0"/>
              <w:widowControl w:val="0"/>
              <w:wordWrap/>
              <w:overflowPunct/>
              <w:topLinePunct w:val="0"/>
              <w:bidi w:val="0"/>
              <w:spacing w:before="256" w:line="221" w:lineRule="auto"/>
              <w:ind w:left="1189"/>
              <w:rPr>
                <w:rFonts w:hint="eastAsia" w:ascii="宋体" w:hAnsi="宋体" w:eastAsia="宋体" w:cs="宋体"/>
                <w:color w:val="auto"/>
                <w:spacing w:val="0"/>
                <w:w w:val="100"/>
                <w:position w:val="0"/>
                <w:sz w:val="24"/>
                <w:szCs w:val="24"/>
                <w:highlight w:val="none"/>
              </w:rPr>
            </w:pPr>
            <w:r>
              <w:rPr>
                <w:rFonts w:hint="eastAsia" w:ascii="宋体" w:hAnsi="宋体" w:eastAsia="宋体" w:cs="宋体"/>
                <w:color w:val="auto"/>
                <w:spacing w:val="0"/>
                <w:w w:val="100"/>
                <w:position w:val="0"/>
                <w:sz w:val="24"/>
                <w:szCs w:val="24"/>
                <w:highlight w:val="none"/>
              </w:rPr>
              <w:t>备注</w:t>
            </w:r>
          </w:p>
        </w:tc>
        <w:tc>
          <w:tcPr>
            <w:tcW w:w="6263" w:type="dxa"/>
            <w:vAlign w:val="center"/>
          </w:tcPr>
          <w:p w14:paraId="35768CA4">
            <w:pPr>
              <w:spacing w:line="360" w:lineRule="auto"/>
              <w:jc w:val="center"/>
              <w:rPr>
                <w:rFonts w:hint="eastAsia" w:ascii="宋体" w:hAnsi="宋体" w:eastAsia="宋体" w:cs="宋体"/>
                <w:color w:val="auto"/>
                <w:spacing w:val="0"/>
                <w:w w:val="100"/>
                <w:position w:val="0"/>
                <w:highlight w:val="none"/>
              </w:rPr>
            </w:pPr>
            <w:r>
              <w:rPr>
                <w:rFonts w:hint="eastAsia" w:ascii="宋体" w:hAnsi="宋体" w:eastAsia="宋体" w:cs="宋体"/>
                <w:color w:val="auto"/>
                <w:sz w:val="24"/>
                <w:highlight w:val="none"/>
                <w:lang w:val="en-US" w:eastAsia="zh-CN"/>
              </w:rPr>
              <w:t>本项目为交钥匙项目，报价内容完成本项目所需的一切相关费用。</w:t>
            </w:r>
          </w:p>
        </w:tc>
      </w:tr>
    </w:tbl>
    <w:p w14:paraId="3D988A12">
      <w:pPr>
        <w:pageBreakBefore w:val="0"/>
        <w:widowControl w:val="0"/>
        <w:wordWrap/>
        <w:overflowPunct/>
        <w:topLinePunct w:val="0"/>
        <w:bidi w:val="0"/>
        <w:rPr>
          <w:rFonts w:hint="eastAsia" w:ascii="宋体" w:hAnsi="宋体" w:eastAsia="宋体" w:cs="宋体"/>
          <w:color w:val="auto"/>
          <w:spacing w:val="0"/>
          <w:w w:val="100"/>
          <w:position w:val="0"/>
          <w:highlight w:val="none"/>
        </w:rPr>
        <w:sectPr>
          <w:footerReference r:id="rId23" w:type="default"/>
          <w:pgSz w:w="11906" w:h="16839"/>
          <w:pgMar w:top="1429" w:right="1587" w:bottom="1429" w:left="1587" w:header="0" w:footer="994" w:gutter="0"/>
          <w:cols w:space="720" w:num="1"/>
        </w:sectPr>
      </w:pPr>
    </w:p>
    <w:p w14:paraId="16670D83">
      <w:pPr>
        <w:pageBreakBefore w:val="0"/>
        <w:widowControl w:val="0"/>
        <w:wordWrap/>
        <w:overflowPunct/>
        <w:topLinePunct w:val="0"/>
        <w:bidi w:val="0"/>
        <w:spacing w:before="47" w:line="219" w:lineRule="auto"/>
        <w:jc w:val="center"/>
        <w:outlineLvl w:val="1"/>
        <w:rPr>
          <w:rFonts w:hint="eastAsia" w:ascii="宋体" w:hAnsi="宋体" w:eastAsia="宋体" w:cs="宋体"/>
          <w:color w:val="auto"/>
          <w:spacing w:val="0"/>
          <w:w w:val="100"/>
          <w:position w:val="0"/>
          <w:sz w:val="24"/>
          <w:szCs w:val="24"/>
          <w:highlight w:val="none"/>
        </w:rPr>
      </w:pPr>
      <w:bookmarkStart w:id="170" w:name="bookmark81"/>
      <w:bookmarkEnd w:id="170"/>
      <w:bookmarkStart w:id="171" w:name="_Toc1527"/>
      <w:r>
        <w:rPr>
          <w:rFonts w:hint="eastAsia"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171"/>
      <w:bookmarkStart w:id="179" w:name="_GoBack"/>
      <w:bookmarkEnd w:id="179"/>
    </w:p>
    <w:p w14:paraId="13FE7EDD">
      <w:pPr>
        <w:keepNext w:val="0"/>
        <w:keepLines w:val="0"/>
        <w:pageBreakBefore w:val="0"/>
        <w:widowControl w:val="0"/>
        <w:kinsoku w:val="0"/>
        <w:wordWrap/>
        <w:overflowPunct/>
        <w:topLinePunct w:val="0"/>
        <w:autoSpaceDE w:val="0"/>
        <w:autoSpaceDN w:val="0"/>
        <w:bidi w:val="0"/>
        <w:adjustRightInd w:val="0"/>
        <w:snapToGrid w:val="0"/>
        <w:spacing w:line="360" w:lineRule="auto"/>
        <w:outlineLvl w:val="2"/>
        <w:rPr>
          <w:rFonts w:hint="eastAsia" w:ascii="宋体" w:hAnsi="宋体" w:eastAsia="宋体" w:cs="宋体"/>
          <w:color w:val="auto"/>
          <w:spacing w:val="0"/>
          <w:w w:val="100"/>
          <w:position w:val="0"/>
          <w:sz w:val="24"/>
          <w:szCs w:val="24"/>
          <w:highlight w:val="none"/>
          <w:lang w:eastAsia="zh-CN"/>
        </w:rPr>
      </w:pPr>
      <w:bookmarkStart w:id="172" w:name="_Toc22650"/>
      <w:r>
        <w:rPr>
          <w:rFonts w:hint="eastAsia" w:ascii="宋体" w:hAnsi="宋体" w:eastAsia="宋体" w:cs="宋体"/>
          <w:color w:val="auto"/>
          <w:spacing w:val="0"/>
          <w:w w:val="100"/>
          <w:position w:val="0"/>
          <w:sz w:val="24"/>
          <w:szCs w:val="24"/>
          <w:highlight w:val="none"/>
        </w:rPr>
        <w:t>（一） 采购</w:t>
      </w:r>
      <w:bookmarkEnd w:id="172"/>
      <w:r>
        <w:rPr>
          <w:rFonts w:hint="eastAsia" w:ascii="宋体" w:hAnsi="宋体" w:eastAsia="宋体" w:cs="宋体"/>
          <w:color w:val="auto"/>
          <w:spacing w:val="0"/>
          <w:w w:val="100"/>
          <w:position w:val="0"/>
          <w:sz w:val="24"/>
          <w:szCs w:val="24"/>
          <w:highlight w:val="none"/>
          <w:lang w:val="en-US" w:eastAsia="zh-CN"/>
        </w:rPr>
        <w:t>需求</w:t>
      </w:r>
    </w:p>
    <w:p w14:paraId="1E8C9C09">
      <w:pPr>
        <w:keepNext w:val="0"/>
        <w:keepLines w:val="0"/>
        <w:pageBreakBefore w:val="0"/>
        <w:widowControl w:val="0"/>
        <w:kinsoku w:val="0"/>
        <w:wordWrap/>
        <w:overflowPunct/>
        <w:topLinePunct w:val="0"/>
        <w:autoSpaceDE w:val="0"/>
        <w:autoSpaceDN w:val="0"/>
        <w:bidi w:val="0"/>
        <w:adjustRightInd w:val="0"/>
        <w:snapToGrid/>
        <w:spacing w:line="360" w:lineRule="auto"/>
        <w:textAlignment w:val="baseline"/>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1、采购清单</w:t>
      </w:r>
    </w:p>
    <w:tbl>
      <w:tblPr>
        <w:tblStyle w:val="18"/>
        <w:tblW w:w="81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2149"/>
        <w:gridCol w:w="1100"/>
        <w:gridCol w:w="1550"/>
        <w:gridCol w:w="2519"/>
      </w:tblGrid>
      <w:tr w14:paraId="68BDA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325DC12F">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序号</w:t>
            </w:r>
          </w:p>
        </w:tc>
        <w:tc>
          <w:tcPr>
            <w:tcW w:w="2149" w:type="dxa"/>
            <w:noWrap/>
            <w:vAlign w:val="center"/>
          </w:tcPr>
          <w:p w14:paraId="1FA2DAAC">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名称</w:t>
            </w:r>
          </w:p>
        </w:tc>
        <w:tc>
          <w:tcPr>
            <w:tcW w:w="1100" w:type="dxa"/>
            <w:noWrap/>
            <w:vAlign w:val="center"/>
          </w:tcPr>
          <w:p w14:paraId="6D22AF3F">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数量</w:t>
            </w:r>
          </w:p>
        </w:tc>
        <w:tc>
          <w:tcPr>
            <w:tcW w:w="1550" w:type="dxa"/>
            <w:noWrap/>
            <w:vAlign w:val="center"/>
          </w:tcPr>
          <w:p w14:paraId="0F124DB6">
            <w:pPr>
              <w:keepNext w:val="0"/>
              <w:keepLines w:val="0"/>
              <w:pageBreakBefore w:val="0"/>
              <w:wordWrap/>
              <w:overflowPunct/>
              <w:topLinePunct w:val="0"/>
              <w:bidi w:val="0"/>
              <w:spacing w:line="360" w:lineRule="auto"/>
              <w:jc w:val="center"/>
              <w:rPr>
                <w:rFonts w:hint="default" w:ascii="宋体" w:hAnsi="宋体" w:eastAsia="宋体" w:cs="宋体"/>
                <w:b/>
                <w:w w:val="90"/>
                <w:sz w:val="24"/>
                <w:szCs w:val="24"/>
                <w:highlight w:val="none"/>
                <w:lang w:val="en-US" w:eastAsia="zh-CN"/>
              </w:rPr>
            </w:pPr>
            <w:r>
              <w:rPr>
                <w:rFonts w:hint="eastAsia" w:ascii="宋体" w:hAnsi="宋体" w:eastAsia="宋体" w:cs="宋体"/>
                <w:b/>
                <w:sz w:val="24"/>
                <w:szCs w:val="24"/>
                <w:highlight w:val="none"/>
              </w:rPr>
              <w:t>单价</w:t>
            </w:r>
            <w:r>
              <w:rPr>
                <w:rFonts w:hint="eastAsia" w:ascii="宋体" w:hAnsi="宋体" w:eastAsia="宋体" w:cs="宋体"/>
                <w:b/>
                <w:sz w:val="24"/>
                <w:szCs w:val="24"/>
                <w:highlight w:val="none"/>
                <w:lang w:val="en-US" w:eastAsia="zh-CN"/>
              </w:rPr>
              <w:t>最高限价（元）</w:t>
            </w:r>
          </w:p>
        </w:tc>
        <w:tc>
          <w:tcPr>
            <w:tcW w:w="2519" w:type="dxa"/>
            <w:noWrap/>
            <w:vAlign w:val="center"/>
          </w:tcPr>
          <w:p w14:paraId="361DDE85">
            <w:pPr>
              <w:keepNext w:val="0"/>
              <w:keepLines w:val="0"/>
              <w:pageBreakBefore w:val="0"/>
              <w:wordWrap/>
              <w:overflowPunct/>
              <w:topLinePunct w:val="0"/>
              <w:bidi w:val="0"/>
              <w:spacing w:line="360" w:lineRule="auto"/>
              <w:jc w:val="center"/>
              <w:rPr>
                <w:rFonts w:hint="eastAsia" w:ascii="宋体" w:hAnsi="宋体" w:eastAsia="宋体" w:cs="宋体"/>
                <w:b/>
                <w:sz w:val="24"/>
                <w:szCs w:val="24"/>
                <w:highlight w:val="none"/>
                <w:lang w:val="en-US" w:eastAsia="zh-CN"/>
              </w:rPr>
            </w:pPr>
            <w:r>
              <w:rPr>
                <w:rFonts w:hint="eastAsia" w:ascii="宋体" w:hAnsi="宋体" w:eastAsia="宋体" w:cs="宋体"/>
                <w:b/>
                <w:sz w:val="24"/>
                <w:szCs w:val="24"/>
                <w:highlight w:val="none"/>
                <w:lang w:val="en-US" w:eastAsia="zh-CN"/>
              </w:rPr>
              <w:t>采购条目编号</w:t>
            </w:r>
          </w:p>
        </w:tc>
      </w:tr>
      <w:tr w14:paraId="691D8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663A630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w:t>
            </w:r>
          </w:p>
        </w:tc>
        <w:tc>
          <w:tcPr>
            <w:tcW w:w="2149" w:type="dxa"/>
            <w:noWrap/>
            <w:vAlign w:val="center"/>
          </w:tcPr>
          <w:p w14:paraId="67133AB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便携式计算机</w:t>
            </w:r>
          </w:p>
        </w:tc>
        <w:tc>
          <w:tcPr>
            <w:tcW w:w="1100" w:type="dxa"/>
            <w:noWrap/>
            <w:vAlign w:val="center"/>
          </w:tcPr>
          <w:p w14:paraId="40A397D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11台</w:t>
            </w:r>
          </w:p>
        </w:tc>
        <w:tc>
          <w:tcPr>
            <w:tcW w:w="1550" w:type="dxa"/>
            <w:noWrap/>
            <w:vAlign w:val="center"/>
          </w:tcPr>
          <w:p w14:paraId="3096E19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5000 </w:t>
            </w:r>
          </w:p>
        </w:tc>
        <w:tc>
          <w:tcPr>
            <w:tcW w:w="2519" w:type="dxa"/>
            <w:noWrap/>
            <w:vAlign w:val="center"/>
          </w:tcPr>
          <w:p w14:paraId="21B253F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抚购2026J000212634</w:t>
            </w:r>
          </w:p>
        </w:tc>
      </w:tr>
      <w:tr w14:paraId="2882B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noWrap/>
            <w:vAlign w:val="center"/>
          </w:tcPr>
          <w:p w14:paraId="380992B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2</w:t>
            </w:r>
          </w:p>
        </w:tc>
        <w:tc>
          <w:tcPr>
            <w:tcW w:w="2149" w:type="dxa"/>
            <w:noWrap/>
            <w:vAlign w:val="center"/>
          </w:tcPr>
          <w:p w14:paraId="729EB49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台式计算机</w:t>
            </w:r>
          </w:p>
        </w:tc>
        <w:tc>
          <w:tcPr>
            <w:tcW w:w="1100" w:type="dxa"/>
            <w:noWrap/>
            <w:vAlign w:val="center"/>
          </w:tcPr>
          <w:p w14:paraId="1C7D936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3台</w:t>
            </w:r>
          </w:p>
        </w:tc>
        <w:tc>
          <w:tcPr>
            <w:tcW w:w="1550" w:type="dxa"/>
            <w:noWrap/>
            <w:vAlign w:val="center"/>
          </w:tcPr>
          <w:p w14:paraId="4556920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5000 </w:t>
            </w:r>
          </w:p>
        </w:tc>
        <w:tc>
          <w:tcPr>
            <w:tcW w:w="2519" w:type="dxa"/>
            <w:noWrap/>
            <w:vAlign w:val="center"/>
          </w:tcPr>
          <w:p w14:paraId="50EE7B1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抚购2026J000212635</w:t>
            </w:r>
          </w:p>
        </w:tc>
      </w:tr>
      <w:tr w14:paraId="68E88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261128F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3</w:t>
            </w:r>
          </w:p>
        </w:tc>
        <w:tc>
          <w:tcPr>
            <w:tcW w:w="2149" w:type="dxa"/>
            <w:noWrap/>
            <w:vAlign w:val="center"/>
          </w:tcPr>
          <w:p w14:paraId="700C75A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多功能一体机</w:t>
            </w:r>
          </w:p>
        </w:tc>
        <w:tc>
          <w:tcPr>
            <w:tcW w:w="1100" w:type="dxa"/>
            <w:noWrap/>
            <w:vAlign w:val="center"/>
          </w:tcPr>
          <w:p w14:paraId="0556A59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15台</w:t>
            </w:r>
          </w:p>
        </w:tc>
        <w:tc>
          <w:tcPr>
            <w:tcW w:w="1550" w:type="dxa"/>
            <w:noWrap/>
            <w:vAlign w:val="center"/>
          </w:tcPr>
          <w:p w14:paraId="62389F5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2600 </w:t>
            </w:r>
          </w:p>
        </w:tc>
        <w:tc>
          <w:tcPr>
            <w:tcW w:w="2519" w:type="dxa"/>
            <w:noWrap/>
            <w:vAlign w:val="center"/>
          </w:tcPr>
          <w:p w14:paraId="1E9C315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抚购2026J000212636</w:t>
            </w:r>
          </w:p>
        </w:tc>
      </w:tr>
      <w:tr w14:paraId="20C59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A67D6C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4</w:t>
            </w:r>
          </w:p>
        </w:tc>
        <w:tc>
          <w:tcPr>
            <w:tcW w:w="2149" w:type="dxa"/>
            <w:noWrap/>
            <w:vAlign w:val="center"/>
          </w:tcPr>
          <w:p w14:paraId="49113CE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1</w:t>
            </w:r>
          </w:p>
        </w:tc>
        <w:tc>
          <w:tcPr>
            <w:tcW w:w="1100" w:type="dxa"/>
            <w:noWrap/>
            <w:vAlign w:val="center"/>
          </w:tcPr>
          <w:p w14:paraId="5CBA8F3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15套</w:t>
            </w:r>
          </w:p>
        </w:tc>
        <w:tc>
          <w:tcPr>
            <w:tcW w:w="1550" w:type="dxa"/>
            <w:noWrap/>
            <w:vAlign w:val="center"/>
          </w:tcPr>
          <w:p w14:paraId="24BCB63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1200</w:t>
            </w:r>
          </w:p>
        </w:tc>
        <w:tc>
          <w:tcPr>
            <w:tcW w:w="2519" w:type="dxa"/>
            <w:noWrap/>
            <w:vAlign w:val="center"/>
          </w:tcPr>
          <w:p w14:paraId="09FE951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抚购2026J000212637</w:t>
            </w:r>
          </w:p>
        </w:tc>
      </w:tr>
      <w:tr w14:paraId="492AE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4D805FF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5</w:t>
            </w:r>
          </w:p>
        </w:tc>
        <w:tc>
          <w:tcPr>
            <w:tcW w:w="2149" w:type="dxa"/>
            <w:noWrap/>
            <w:vAlign w:val="center"/>
          </w:tcPr>
          <w:p w14:paraId="52ED414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1</w:t>
            </w:r>
          </w:p>
        </w:tc>
        <w:tc>
          <w:tcPr>
            <w:tcW w:w="1100" w:type="dxa"/>
            <w:noWrap/>
            <w:vAlign w:val="center"/>
          </w:tcPr>
          <w:p w14:paraId="3FAB47D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15把</w:t>
            </w:r>
          </w:p>
        </w:tc>
        <w:tc>
          <w:tcPr>
            <w:tcW w:w="1550" w:type="dxa"/>
            <w:noWrap/>
            <w:vAlign w:val="center"/>
          </w:tcPr>
          <w:p w14:paraId="49097FD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240</w:t>
            </w:r>
          </w:p>
        </w:tc>
        <w:tc>
          <w:tcPr>
            <w:tcW w:w="2519" w:type="dxa"/>
            <w:noWrap/>
            <w:vAlign w:val="center"/>
          </w:tcPr>
          <w:p w14:paraId="72EE8DF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抚购2026J000212638</w:t>
            </w:r>
          </w:p>
        </w:tc>
      </w:tr>
      <w:tr w14:paraId="4E707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E0BAC5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6</w:t>
            </w:r>
          </w:p>
        </w:tc>
        <w:tc>
          <w:tcPr>
            <w:tcW w:w="2149" w:type="dxa"/>
            <w:noWrap/>
            <w:vAlign w:val="center"/>
          </w:tcPr>
          <w:p w14:paraId="6F26B8C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会议桌</w:t>
            </w:r>
          </w:p>
        </w:tc>
        <w:tc>
          <w:tcPr>
            <w:tcW w:w="1100" w:type="dxa"/>
            <w:noWrap/>
            <w:vAlign w:val="center"/>
          </w:tcPr>
          <w:p w14:paraId="650E222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4张</w:t>
            </w:r>
          </w:p>
        </w:tc>
        <w:tc>
          <w:tcPr>
            <w:tcW w:w="1550" w:type="dxa"/>
            <w:noWrap/>
            <w:vAlign w:val="center"/>
          </w:tcPr>
          <w:p w14:paraId="6856EF7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5985</w:t>
            </w:r>
          </w:p>
        </w:tc>
        <w:tc>
          <w:tcPr>
            <w:tcW w:w="2519" w:type="dxa"/>
            <w:noWrap/>
            <w:vAlign w:val="center"/>
          </w:tcPr>
          <w:p w14:paraId="4D067A7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抚购2026J000212639</w:t>
            </w:r>
          </w:p>
        </w:tc>
      </w:tr>
      <w:tr w14:paraId="74556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ADE2AB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7</w:t>
            </w:r>
          </w:p>
        </w:tc>
        <w:tc>
          <w:tcPr>
            <w:tcW w:w="2149" w:type="dxa"/>
            <w:noWrap/>
            <w:vAlign w:val="center"/>
          </w:tcPr>
          <w:p w14:paraId="4B65399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会议椅</w:t>
            </w:r>
          </w:p>
        </w:tc>
        <w:tc>
          <w:tcPr>
            <w:tcW w:w="1100" w:type="dxa"/>
            <w:noWrap/>
            <w:vAlign w:val="center"/>
          </w:tcPr>
          <w:p w14:paraId="4D3CEB2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124把</w:t>
            </w:r>
          </w:p>
        </w:tc>
        <w:tc>
          <w:tcPr>
            <w:tcW w:w="1550" w:type="dxa"/>
            <w:noWrap/>
            <w:vAlign w:val="center"/>
          </w:tcPr>
          <w:p w14:paraId="7DD160A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240</w:t>
            </w:r>
          </w:p>
        </w:tc>
        <w:tc>
          <w:tcPr>
            <w:tcW w:w="2519" w:type="dxa"/>
            <w:noWrap/>
            <w:vAlign w:val="center"/>
          </w:tcPr>
          <w:p w14:paraId="5302EB0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抚购2026J000212640</w:t>
            </w:r>
          </w:p>
        </w:tc>
      </w:tr>
      <w:tr w14:paraId="10F22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173ABA6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8</w:t>
            </w:r>
          </w:p>
        </w:tc>
        <w:tc>
          <w:tcPr>
            <w:tcW w:w="2149" w:type="dxa"/>
            <w:noWrap/>
            <w:vAlign w:val="center"/>
          </w:tcPr>
          <w:p w14:paraId="507E69C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办公卡位</w:t>
            </w:r>
          </w:p>
        </w:tc>
        <w:tc>
          <w:tcPr>
            <w:tcW w:w="1100" w:type="dxa"/>
            <w:noWrap/>
            <w:vAlign w:val="center"/>
          </w:tcPr>
          <w:p w14:paraId="2A45178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82套</w:t>
            </w:r>
          </w:p>
        </w:tc>
        <w:tc>
          <w:tcPr>
            <w:tcW w:w="1550" w:type="dxa"/>
            <w:noWrap/>
            <w:vAlign w:val="center"/>
          </w:tcPr>
          <w:p w14:paraId="0D1690E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1300</w:t>
            </w:r>
          </w:p>
        </w:tc>
        <w:tc>
          <w:tcPr>
            <w:tcW w:w="2519" w:type="dxa"/>
            <w:noWrap/>
            <w:vAlign w:val="center"/>
          </w:tcPr>
          <w:p w14:paraId="4D253F6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抚购2026J000212641</w:t>
            </w:r>
          </w:p>
        </w:tc>
      </w:tr>
      <w:tr w14:paraId="4CADD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2E8D23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9</w:t>
            </w:r>
          </w:p>
        </w:tc>
        <w:tc>
          <w:tcPr>
            <w:tcW w:w="2149" w:type="dxa"/>
            <w:noWrap/>
            <w:vAlign w:val="center"/>
          </w:tcPr>
          <w:p w14:paraId="2000847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2</w:t>
            </w:r>
          </w:p>
        </w:tc>
        <w:tc>
          <w:tcPr>
            <w:tcW w:w="1100" w:type="dxa"/>
            <w:noWrap/>
            <w:vAlign w:val="center"/>
          </w:tcPr>
          <w:p w14:paraId="23A03EB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11套</w:t>
            </w:r>
          </w:p>
        </w:tc>
        <w:tc>
          <w:tcPr>
            <w:tcW w:w="1550" w:type="dxa"/>
            <w:noWrap/>
            <w:vAlign w:val="center"/>
          </w:tcPr>
          <w:p w14:paraId="4546796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1800</w:t>
            </w:r>
          </w:p>
        </w:tc>
        <w:tc>
          <w:tcPr>
            <w:tcW w:w="2519" w:type="dxa"/>
            <w:noWrap/>
            <w:vAlign w:val="center"/>
          </w:tcPr>
          <w:p w14:paraId="015EB5C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抚购2026J000212642</w:t>
            </w:r>
          </w:p>
        </w:tc>
      </w:tr>
      <w:tr w14:paraId="60F546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3236385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10</w:t>
            </w:r>
          </w:p>
        </w:tc>
        <w:tc>
          <w:tcPr>
            <w:tcW w:w="2149" w:type="dxa"/>
            <w:noWrap/>
            <w:vAlign w:val="center"/>
          </w:tcPr>
          <w:p w14:paraId="03F9044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茶几</w:t>
            </w:r>
          </w:p>
        </w:tc>
        <w:tc>
          <w:tcPr>
            <w:tcW w:w="1100" w:type="dxa"/>
            <w:noWrap/>
            <w:vAlign w:val="center"/>
          </w:tcPr>
          <w:p w14:paraId="265041F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11张</w:t>
            </w:r>
          </w:p>
        </w:tc>
        <w:tc>
          <w:tcPr>
            <w:tcW w:w="1550" w:type="dxa"/>
            <w:noWrap/>
            <w:vAlign w:val="center"/>
          </w:tcPr>
          <w:p w14:paraId="6452CFB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500</w:t>
            </w:r>
          </w:p>
        </w:tc>
        <w:tc>
          <w:tcPr>
            <w:tcW w:w="2519" w:type="dxa"/>
            <w:noWrap/>
            <w:vAlign w:val="center"/>
          </w:tcPr>
          <w:p w14:paraId="4498FAB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抚购2026J000212643</w:t>
            </w:r>
          </w:p>
        </w:tc>
      </w:tr>
      <w:tr w14:paraId="33A577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8A2C14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11</w:t>
            </w:r>
          </w:p>
        </w:tc>
        <w:tc>
          <w:tcPr>
            <w:tcW w:w="2149" w:type="dxa"/>
            <w:noWrap/>
            <w:vAlign w:val="center"/>
          </w:tcPr>
          <w:p w14:paraId="702B008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2</w:t>
            </w:r>
          </w:p>
        </w:tc>
        <w:tc>
          <w:tcPr>
            <w:tcW w:w="1100" w:type="dxa"/>
            <w:noWrap/>
            <w:vAlign w:val="center"/>
          </w:tcPr>
          <w:p w14:paraId="1493E42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11把</w:t>
            </w:r>
          </w:p>
        </w:tc>
        <w:tc>
          <w:tcPr>
            <w:tcW w:w="1550" w:type="dxa"/>
            <w:noWrap/>
            <w:vAlign w:val="center"/>
          </w:tcPr>
          <w:p w14:paraId="07413EC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400</w:t>
            </w:r>
          </w:p>
        </w:tc>
        <w:tc>
          <w:tcPr>
            <w:tcW w:w="2519" w:type="dxa"/>
            <w:noWrap/>
            <w:vAlign w:val="center"/>
          </w:tcPr>
          <w:p w14:paraId="688927F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抚购2026J000212644</w:t>
            </w:r>
          </w:p>
        </w:tc>
      </w:tr>
      <w:tr w14:paraId="0386D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77CF229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12</w:t>
            </w:r>
          </w:p>
        </w:tc>
        <w:tc>
          <w:tcPr>
            <w:tcW w:w="2149" w:type="dxa"/>
            <w:noWrap/>
            <w:vAlign w:val="center"/>
          </w:tcPr>
          <w:p w14:paraId="30827B1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书柜</w:t>
            </w:r>
          </w:p>
        </w:tc>
        <w:tc>
          <w:tcPr>
            <w:tcW w:w="1100" w:type="dxa"/>
            <w:noWrap/>
            <w:vAlign w:val="center"/>
          </w:tcPr>
          <w:p w14:paraId="2CA560F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11套</w:t>
            </w:r>
          </w:p>
        </w:tc>
        <w:tc>
          <w:tcPr>
            <w:tcW w:w="1550" w:type="dxa"/>
            <w:noWrap/>
            <w:vAlign w:val="center"/>
          </w:tcPr>
          <w:p w14:paraId="0FDC71E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1000</w:t>
            </w:r>
          </w:p>
        </w:tc>
        <w:tc>
          <w:tcPr>
            <w:tcW w:w="2519" w:type="dxa"/>
            <w:noWrap/>
            <w:vAlign w:val="center"/>
          </w:tcPr>
          <w:p w14:paraId="4BF2AE6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抚购2026J000212645</w:t>
            </w:r>
          </w:p>
        </w:tc>
      </w:tr>
      <w:tr w14:paraId="4182B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CFD8D1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13</w:t>
            </w:r>
          </w:p>
        </w:tc>
        <w:tc>
          <w:tcPr>
            <w:tcW w:w="2149" w:type="dxa"/>
            <w:noWrap/>
            <w:vAlign w:val="center"/>
          </w:tcPr>
          <w:p w14:paraId="7644346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三人沙发</w:t>
            </w:r>
          </w:p>
        </w:tc>
        <w:tc>
          <w:tcPr>
            <w:tcW w:w="1100" w:type="dxa"/>
            <w:noWrap/>
            <w:vAlign w:val="center"/>
          </w:tcPr>
          <w:p w14:paraId="302AA91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11张</w:t>
            </w:r>
          </w:p>
        </w:tc>
        <w:tc>
          <w:tcPr>
            <w:tcW w:w="1550" w:type="dxa"/>
            <w:noWrap/>
            <w:vAlign w:val="center"/>
          </w:tcPr>
          <w:p w14:paraId="08EB161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1300</w:t>
            </w:r>
          </w:p>
        </w:tc>
        <w:tc>
          <w:tcPr>
            <w:tcW w:w="2519" w:type="dxa"/>
            <w:noWrap/>
            <w:vAlign w:val="center"/>
          </w:tcPr>
          <w:p w14:paraId="32CE1CF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rPr>
              <w:t>抚购2026J000212646</w:t>
            </w:r>
          </w:p>
        </w:tc>
      </w:tr>
      <w:tr w14:paraId="6A273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5B31C7C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14</w:t>
            </w:r>
          </w:p>
        </w:tc>
        <w:tc>
          <w:tcPr>
            <w:tcW w:w="2149" w:type="dxa"/>
            <w:noWrap/>
            <w:vAlign w:val="center"/>
          </w:tcPr>
          <w:p w14:paraId="756A5BE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3</w:t>
            </w:r>
          </w:p>
        </w:tc>
        <w:tc>
          <w:tcPr>
            <w:tcW w:w="1100" w:type="dxa"/>
            <w:noWrap/>
            <w:vAlign w:val="center"/>
          </w:tcPr>
          <w:p w14:paraId="304B6AD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11把</w:t>
            </w:r>
          </w:p>
        </w:tc>
        <w:tc>
          <w:tcPr>
            <w:tcW w:w="1550" w:type="dxa"/>
            <w:noWrap/>
            <w:vAlign w:val="center"/>
          </w:tcPr>
          <w:p w14:paraId="4BBABC2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800</w:t>
            </w:r>
          </w:p>
        </w:tc>
        <w:tc>
          <w:tcPr>
            <w:tcW w:w="2519" w:type="dxa"/>
            <w:noWrap/>
            <w:vAlign w:val="center"/>
          </w:tcPr>
          <w:p w14:paraId="18E54C9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抚购2026J000212647</w:t>
            </w:r>
          </w:p>
        </w:tc>
      </w:tr>
      <w:tr w14:paraId="2110B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01C2E4C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15</w:t>
            </w:r>
          </w:p>
        </w:tc>
        <w:tc>
          <w:tcPr>
            <w:tcW w:w="2149" w:type="dxa"/>
            <w:noWrap/>
            <w:vAlign w:val="center"/>
          </w:tcPr>
          <w:p w14:paraId="3EFEB1C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其他椅凳类（旋转升降圆凳）</w:t>
            </w:r>
          </w:p>
        </w:tc>
        <w:tc>
          <w:tcPr>
            <w:tcW w:w="1100" w:type="dxa"/>
            <w:noWrap/>
            <w:vAlign w:val="center"/>
          </w:tcPr>
          <w:p w14:paraId="276B556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12张</w:t>
            </w:r>
          </w:p>
        </w:tc>
        <w:tc>
          <w:tcPr>
            <w:tcW w:w="1550" w:type="dxa"/>
            <w:noWrap/>
            <w:vAlign w:val="center"/>
          </w:tcPr>
          <w:p w14:paraId="2B6039E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100 </w:t>
            </w:r>
          </w:p>
        </w:tc>
        <w:tc>
          <w:tcPr>
            <w:tcW w:w="2519" w:type="dxa"/>
            <w:noWrap/>
            <w:vAlign w:val="center"/>
          </w:tcPr>
          <w:p w14:paraId="165B2E8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抚购2026J000212648</w:t>
            </w:r>
          </w:p>
        </w:tc>
      </w:tr>
      <w:tr w14:paraId="4ED17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noWrap/>
            <w:vAlign w:val="center"/>
          </w:tcPr>
          <w:p w14:paraId="6E8E38E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16</w:t>
            </w:r>
          </w:p>
        </w:tc>
        <w:tc>
          <w:tcPr>
            <w:tcW w:w="2149" w:type="dxa"/>
            <w:noWrap/>
            <w:vAlign w:val="center"/>
          </w:tcPr>
          <w:p w14:paraId="618CB85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其他椅凳类（四人连排椅）</w:t>
            </w:r>
          </w:p>
        </w:tc>
        <w:tc>
          <w:tcPr>
            <w:tcW w:w="1100" w:type="dxa"/>
            <w:noWrap/>
            <w:vAlign w:val="center"/>
          </w:tcPr>
          <w:p w14:paraId="7F74591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4张</w:t>
            </w:r>
          </w:p>
        </w:tc>
        <w:tc>
          <w:tcPr>
            <w:tcW w:w="1550" w:type="dxa"/>
            <w:noWrap/>
            <w:vAlign w:val="center"/>
          </w:tcPr>
          <w:p w14:paraId="621F0B8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500 </w:t>
            </w:r>
          </w:p>
        </w:tc>
        <w:tc>
          <w:tcPr>
            <w:tcW w:w="2519" w:type="dxa"/>
            <w:noWrap/>
            <w:vAlign w:val="center"/>
          </w:tcPr>
          <w:p w14:paraId="252DCDB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抚购2026J000212649</w:t>
            </w:r>
          </w:p>
        </w:tc>
      </w:tr>
      <w:tr w14:paraId="07956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850" w:type="dxa"/>
            <w:shd w:val="clear" w:color="auto" w:fill="auto"/>
            <w:noWrap/>
            <w:vAlign w:val="center"/>
          </w:tcPr>
          <w:p w14:paraId="253D6B6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napToGrid w:val="0"/>
                <w:color w:val="00000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17</w:t>
            </w:r>
          </w:p>
        </w:tc>
        <w:tc>
          <w:tcPr>
            <w:tcW w:w="2149" w:type="dxa"/>
            <w:shd w:val="clear" w:color="auto" w:fill="auto"/>
            <w:noWrap/>
            <w:vAlign w:val="center"/>
          </w:tcPr>
          <w:p w14:paraId="2D70383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snapToGrid w:val="0"/>
                <w:color w:val="000000"/>
                <w:sz w:val="24"/>
                <w:szCs w:val="24"/>
                <w:highlight w:val="none"/>
                <w:lang w:val="en-US" w:eastAsia="en-US" w:bidi="ar-SA"/>
              </w:rPr>
            </w:pPr>
            <w:r>
              <w:rPr>
                <w:rFonts w:hint="eastAsia" w:ascii="宋体" w:hAnsi="宋体" w:eastAsia="宋体" w:cs="宋体"/>
                <w:color w:val="000000"/>
                <w:kern w:val="0"/>
                <w:sz w:val="24"/>
                <w:szCs w:val="24"/>
                <w:highlight w:val="none"/>
              </w:rPr>
              <w:t>文件柜</w:t>
            </w:r>
          </w:p>
        </w:tc>
        <w:tc>
          <w:tcPr>
            <w:tcW w:w="1100" w:type="dxa"/>
            <w:shd w:val="clear" w:color="auto" w:fill="auto"/>
            <w:noWrap/>
            <w:vAlign w:val="center"/>
          </w:tcPr>
          <w:p w14:paraId="23BE02A4">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en-US"/>
              </w:rPr>
            </w:pPr>
            <w:r>
              <w:rPr>
                <w:rFonts w:hint="eastAsia" w:ascii="宋体" w:hAnsi="宋体" w:eastAsia="宋体" w:cs="宋体"/>
                <w:color w:val="000000"/>
                <w:kern w:val="0"/>
                <w:sz w:val="24"/>
                <w:szCs w:val="24"/>
                <w:highlight w:val="none"/>
              </w:rPr>
              <w:t>50套</w:t>
            </w:r>
          </w:p>
        </w:tc>
        <w:tc>
          <w:tcPr>
            <w:tcW w:w="1550" w:type="dxa"/>
            <w:shd w:val="clear" w:color="auto" w:fill="auto"/>
            <w:noWrap/>
            <w:vAlign w:val="center"/>
          </w:tcPr>
          <w:p w14:paraId="43BC2A6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en-US"/>
              </w:rPr>
            </w:pPr>
            <w:r>
              <w:rPr>
                <w:rFonts w:hint="eastAsia" w:ascii="宋体" w:hAnsi="宋体" w:eastAsia="宋体" w:cs="宋体"/>
                <w:color w:val="000000"/>
                <w:kern w:val="0"/>
                <w:sz w:val="24"/>
                <w:szCs w:val="24"/>
                <w:highlight w:val="none"/>
              </w:rPr>
              <w:t xml:space="preserve">800 </w:t>
            </w:r>
          </w:p>
        </w:tc>
        <w:tc>
          <w:tcPr>
            <w:tcW w:w="2519" w:type="dxa"/>
            <w:shd w:val="clear" w:color="auto" w:fill="auto"/>
            <w:noWrap/>
            <w:vAlign w:val="center"/>
          </w:tcPr>
          <w:p w14:paraId="122409D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抚购2026J000212653</w:t>
            </w:r>
          </w:p>
        </w:tc>
      </w:tr>
    </w:tbl>
    <w:p w14:paraId="6A212F9F">
      <w:pPr>
        <w:keepNext w:val="0"/>
        <w:keepLines w:val="0"/>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rPr>
      </w:pPr>
    </w:p>
    <w:p w14:paraId="1443A97A">
      <w:pPr>
        <w:keepNext w:val="0"/>
        <w:keepLines w:val="0"/>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2、技术要求</w:t>
      </w:r>
    </w:p>
    <w:tbl>
      <w:tblPr>
        <w:tblStyle w:val="18"/>
        <w:tblW w:w="96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6"/>
        <w:gridCol w:w="1170"/>
        <w:gridCol w:w="6627"/>
        <w:gridCol w:w="1008"/>
      </w:tblGrid>
      <w:tr w14:paraId="59C93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826" w:type="dxa"/>
            <w:noWrap/>
            <w:vAlign w:val="center"/>
          </w:tcPr>
          <w:p w14:paraId="43A9443D">
            <w:pPr>
              <w:keepNext w:val="0"/>
              <w:keepLines w:val="0"/>
              <w:pageBreakBefore w:val="0"/>
              <w:wordWrap/>
              <w:overflowPunct/>
              <w:topLinePunct w:val="0"/>
              <w:bidi w:val="0"/>
              <w:spacing w:line="360" w:lineRule="auto"/>
              <w:jc w:val="center"/>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pPr>
            <w:bookmarkStart w:id="173" w:name="_Toc28436"/>
            <w:bookmarkStart w:id="174" w:name="_Toc224504099"/>
            <w:r>
              <w:rPr>
                <w:rFonts w:hint="eastAsia" w:ascii="宋体" w:hAnsi="宋体" w:eastAsia="宋体" w:cs="宋体"/>
                <w:b/>
                <w:bCs/>
                <w:color w:val="000000" w:themeColor="text1"/>
                <w:kern w:val="0"/>
                <w:sz w:val="24"/>
                <w:szCs w:val="24"/>
                <w:highlight w:val="none"/>
                <w:lang w:val="en-US" w:eastAsia="zh-CN"/>
                <w14:textFill>
                  <w14:solidFill>
                    <w14:schemeClr w14:val="tx1"/>
                  </w14:solidFill>
                </w14:textFill>
              </w:rPr>
              <w:t>序号</w:t>
            </w:r>
          </w:p>
        </w:tc>
        <w:tc>
          <w:tcPr>
            <w:tcW w:w="1170" w:type="dxa"/>
            <w:noWrap/>
            <w:vAlign w:val="center"/>
          </w:tcPr>
          <w:p w14:paraId="5B2E37C9">
            <w:pPr>
              <w:keepNext w:val="0"/>
              <w:keepLines w:val="0"/>
              <w:pageBreakBefore w:val="0"/>
              <w:wordWrap/>
              <w:overflowPunct/>
              <w:topLinePunct w:val="0"/>
              <w:bidi w:val="0"/>
              <w:spacing w:line="360" w:lineRule="auto"/>
              <w:jc w:val="center"/>
              <w:rPr>
                <w:rFonts w:hint="eastAsia" w:ascii="宋体" w:hAnsi="宋体" w:eastAsia="宋体" w:cs="宋体"/>
                <w:b/>
                <w:bCs/>
                <w:color w:val="000000" w:themeColor="text1"/>
                <w:kern w:val="0"/>
                <w:sz w:val="24"/>
                <w:szCs w:val="24"/>
                <w:highlight w:val="none"/>
                <w14:textFill>
                  <w14:solidFill>
                    <w14:schemeClr w14:val="tx1"/>
                  </w14:solidFill>
                </w14:textFill>
              </w:rPr>
            </w:pPr>
            <w:r>
              <w:rPr>
                <w:rFonts w:hint="eastAsia" w:ascii="宋体" w:hAnsi="宋体" w:eastAsia="宋体" w:cs="宋体"/>
                <w:b/>
                <w:bCs/>
                <w:color w:val="000000" w:themeColor="text1"/>
                <w:kern w:val="0"/>
                <w:sz w:val="24"/>
                <w:szCs w:val="24"/>
                <w:highlight w:val="none"/>
                <w14:textFill>
                  <w14:solidFill>
                    <w14:schemeClr w14:val="tx1"/>
                  </w14:solidFill>
                </w14:textFill>
              </w:rPr>
              <w:t>货物名称</w:t>
            </w:r>
          </w:p>
        </w:tc>
        <w:tc>
          <w:tcPr>
            <w:tcW w:w="6627" w:type="dxa"/>
            <w:noWrap/>
            <w:vAlign w:val="center"/>
          </w:tcPr>
          <w:p w14:paraId="40F646AA">
            <w:pPr>
              <w:keepNext w:val="0"/>
              <w:keepLines w:val="0"/>
              <w:pageBreakBefore w:val="0"/>
              <w:wordWrap/>
              <w:overflowPunct/>
              <w:topLinePunct w:val="0"/>
              <w:bidi w:val="0"/>
              <w:spacing w:line="360" w:lineRule="auto"/>
              <w:jc w:val="center"/>
              <w:rPr>
                <w:rFonts w:hint="eastAsia" w:ascii="宋体" w:hAnsi="宋体" w:eastAsia="宋体" w:cs="宋体"/>
                <w:b/>
                <w:bCs/>
                <w:color w:val="000000" w:themeColor="text1"/>
                <w:kern w:val="0"/>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技术要求</w:t>
            </w:r>
          </w:p>
        </w:tc>
        <w:tc>
          <w:tcPr>
            <w:tcW w:w="1008" w:type="dxa"/>
            <w:noWrap/>
            <w:vAlign w:val="center"/>
          </w:tcPr>
          <w:p w14:paraId="574A146D">
            <w:pPr>
              <w:keepNext w:val="0"/>
              <w:keepLines w:val="0"/>
              <w:pageBreakBefore w:val="0"/>
              <w:wordWrap/>
              <w:overflowPunct/>
              <w:topLinePunct w:val="0"/>
              <w:bidi w:val="0"/>
              <w:spacing w:line="360" w:lineRule="auto"/>
              <w:jc w:val="center"/>
              <w:rPr>
                <w:rFonts w:hint="eastAsia" w:ascii="宋体" w:hAnsi="宋体" w:eastAsia="宋体" w:cs="宋体"/>
                <w:b/>
                <w:bCs/>
                <w:color w:val="000000" w:themeColor="text1"/>
                <w:kern w:val="0"/>
                <w:sz w:val="24"/>
                <w:szCs w:val="24"/>
                <w:highlight w:val="none"/>
                <w14:textFill>
                  <w14:solidFill>
                    <w14:schemeClr w14:val="tx1"/>
                  </w14:solidFill>
                </w14:textFill>
              </w:rPr>
            </w:pPr>
            <w:r>
              <w:rPr>
                <w:rFonts w:hint="eastAsia" w:ascii="宋体" w:hAnsi="宋体" w:eastAsia="宋体" w:cs="宋体"/>
                <w:b/>
                <w:bCs/>
                <w:color w:val="000000" w:themeColor="text1"/>
                <w:kern w:val="0"/>
                <w:sz w:val="24"/>
                <w:szCs w:val="24"/>
                <w:highlight w:val="none"/>
                <w14:textFill>
                  <w14:solidFill>
                    <w14:schemeClr w14:val="tx1"/>
                  </w14:solidFill>
                </w14:textFill>
              </w:rPr>
              <w:t>数量</w:t>
            </w:r>
          </w:p>
        </w:tc>
      </w:tr>
      <w:tr w14:paraId="1C211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 w:hRule="atLeast"/>
          <w:jc w:val="center"/>
        </w:trPr>
        <w:tc>
          <w:tcPr>
            <w:tcW w:w="826" w:type="dxa"/>
            <w:noWrap/>
            <w:vAlign w:val="center"/>
          </w:tcPr>
          <w:p w14:paraId="1B00FAB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w:t>
            </w:r>
          </w:p>
        </w:tc>
        <w:tc>
          <w:tcPr>
            <w:tcW w:w="1170" w:type="dxa"/>
            <w:noWrap/>
            <w:vAlign w:val="center"/>
          </w:tcPr>
          <w:p w14:paraId="57D7312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便携式计算机</w:t>
            </w:r>
          </w:p>
        </w:tc>
        <w:tc>
          <w:tcPr>
            <w:tcW w:w="6627" w:type="dxa"/>
            <w:noWrap/>
            <w:vAlign w:val="center"/>
          </w:tcPr>
          <w:p w14:paraId="1ACCD2A7">
            <w:pPr>
              <w:keepNext w:val="0"/>
              <w:keepLines w:val="0"/>
              <w:pageBreakBefore w:val="0"/>
              <w:widowControl/>
              <w:numPr>
                <w:ilvl w:val="0"/>
                <w:numId w:val="7"/>
              </w:numPr>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color w:val="000000"/>
                <w:kern w:val="0"/>
                <w:sz w:val="24"/>
                <w:szCs w:val="24"/>
                <w:highlight w:val="none"/>
              </w:rPr>
              <w:t>CPU：</w:t>
            </w:r>
            <w:r>
              <w:rPr>
                <w:rFonts w:hint="eastAsia" w:ascii="宋体" w:hAnsi="宋体" w:eastAsia="宋体" w:cs="宋体"/>
                <w:sz w:val="24"/>
                <w:szCs w:val="24"/>
                <w:highlight w:val="none"/>
              </w:rPr>
              <w:t>核心/线程：8核12线程（4个P性能核 + 4个E能效核），P核支持超线程。</w:t>
            </w:r>
          </w:p>
          <w:p w14:paraId="2F6EE26D">
            <w:pPr>
              <w:keepNext w:val="0"/>
              <w:keepLines w:val="0"/>
              <w:pageBreakBefore w:val="0"/>
              <w:widowControl/>
              <w:numPr>
                <w:ilvl w:val="0"/>
                <w:numId w:val="0"/>
              </w:numPr>
              <w:wordWrap/>
              <w:overflowPunct/>
              <w:topLinePunct w:val="0"/>
              <w:bidi w:val="0"/>
              <w:spacing w:line="360" w:lineRule="auto"/>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频率：P核基础频率 2.1GHz，最大睿频 4.6GHz；E核基础频率 1.5GHz，最大睿频 3.4GHz。</w:t>
            </w:r>
          </w:p>
          <w:p w14:paraId="2F418DE1">
            <w:pPr>
              <w:keepNext w:val="0"/>
              <w:keepLines w:val="0"/>
              <w:pageBreakBefore w:val="0"/>
              <w:widowControl/>
              <w:numPr>
                <w:ilvl w:val="0"/>
                <w:numId w:val="0"/>
              </w:numPr>
              <w:wordWrap/>
              <w:overflowPunct/>
              <w:topLinePunct w:val="0"/>
              <w:bidi w:val="0"/>
              <w:spacing w:line="360" w:lineRule="auto"/>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缓存：12MB Intel Smart Cache（三级缓存）。</w:t>
            </w:r>
          </w:p>
          <w:p w14:paraId="5F9BF7CC">
            <w:pPr>
              <w:keepNext w:val="0"/>
              <w:keepLines w:val="0"/>
              <w:pageBreakBefore w:val="0"/>
              <w:widowControl/>
              <w:numPr>
                <w:ilvl w:val="0"/>
                <w:numId w:val="0"/>
              </w:numPr>
              <w:wordWrap/>
              <w:overflowPunct/>
              <w:topLinePunct w:val="0"/>
              <w:bidi w:val="0"/>
              <w:spacing w:line="360" w:lineRule="auto"/>
              <w:ind w:firstLine="480" w:firstLineChars="200"/>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功耗：基础功耗 45W，最大睿频功耗（PL2）可至 95W（部分机型可达115W）</w:t>
            </w:r>
          </w:p>
          <w:p w14:paraId="72E1D762">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2、内存：≥16G </w:t>
            </w:r>
          </w:p>
          <w:p w14:paraId="65472A4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3、硬盘：≥512G M.2 PCIe NVME SSD硬盘  </w:t>
            </w:r>
          </w:p>
          <w:p w14:paraId="5357E32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4、显示屏：≥13.3” LED雾面防眩光液晶显示屏（1920x1200），16：10，屏占比90% </w:t>
            </w:r>
          </w:p>
          <w:p w14:paraId="7BD2065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5、显卡：集显</w:t>
            </w:r>
          </w:p>
          <w:p w14:paraId="2A774684">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6、网卡：802.11 AX无线网卡（支持WIFI6协议，蓝牙5.2协议）</w:t>
            </w:r>
          </w:p>
          <w:p w14:paraId="277FA97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7、键盘：防泼溅键盘</w:t>
            </w:r>
          </w:p>
          <w:p w14:paraId="20CDFB6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8、定位设备：多点触控触摸板</w:t>
            </w:r>
          </w:p>
          <w:p w14:paraId="01DB772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9、摄像头：</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720P高清摄像头 ，支持物理防窥功能，保护个人隐私</w:t>
            </w:r>
          </w:p>
          <w:p w14:paraId="2F23647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10、接口：2个USB-C全功能接口、2个USB-A接口（其中1个支持PowerUSB）、HDMI2.0接口、耳麦二合一接口、RJ45接口</w:t>
            </w:r>
          </w:p>
          <w:p w14:paraId="096FF322">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 xml:space="preserve">11、电池：内置≥55WHr及以上锂电池 </w:t>
            </w:r>
          </w:p>
          <w:p w14:paraId="5A1C8A4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val="en-US" w:eastAsia="zh-CN"/>
              </w:rPr>
              <w:t>2</w:t>
            </w:r>
            <w:r>
              <w:rPr>
                <w:rFonts w:hint="eastAsia" w:ascii="宋体" w:hAnsi="宋体" w:eastAsia="宋体" w:cs="宋体"/>
                <w:color w:val="000000"/>
                <w:kern w:val="0"/>
                <w:sz w:val="24"/>
                <w:szCs w:val="24"/>
                <w:highlight w:val="none"/>
              </w:rPr>
              <w:t xml:space="preserve">、操作系统：配置操作系统 </w:t>
            </w:r>
          </w:p>
          <w:p w14:paraId="5A683D74">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trike w:val="0"/>
                <w:color w:val="000000"/>
                <w:kern w:val="0"/>
                <w:sz w:val="24"/>
                <w:szCs w:val="24"/>
                <w:highlight w:val="none"/>
              </w:rPr>
            </w:pPr>
            <w:r>
              <w:rPr>
                <w:rFonts w:hint="eastAsia" w:ascii="宋体" w:hAnsi="宋体" w:eastAsia="宋体" w:cs="宋体"/>
                <w:strike w:val="0"/>
                <w:color w:val="000000"/>
                <w:kern w:val="0"/>
                <w:sz w:val="24"/>
                <w:szCs w:val="24"/>
                <w:highlight w:val="none"/>
              </w:rPr>
              <w:t>1</w:t>
            </w:r>
            <w:r>
              <w:rPr>
                <w:rFonts w:hint="eastAsia" w:ascii="宋体" w:hAnsi="宋体" w:eastAsia="宋体" w:cs="宋体"/>
                <w:strike w:val="0"/>
                <w:color w:val="000000"/>
                <w:kern w:val="0"/>
                <w:sz w:val="24"/>
                <w:szCs w:val="24"/>
                <w:highlight w:val="none"/>
                <w:lang w:eastAsia="zh-CN"/>
              </w:rPr>
              <w:t>3</w:t>
            </w:r>
            <w:r>
              <w:rPr>
                <w:rFonts w:hint="eastAsia" w:ascii="宋体" w:hAnsi="宋体" w:eastAsia="宋体" w:cs="宋体"/>
                <w:strike w:val="0"/>
                <w:color w:val="000000"/>
                <w:kern w:val="0"/>
                <w:sz w:val="24"/>
                <w:szCs w:val="24"/>
                <w:highlight w:val="none"/>
              </w:rPr>
              <w:t>、机壳：A/D双面合金</w:t>
            </w:r>
          </w:p>
          <w:p w14:paraId="7D1B5B04">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val="en-US" w:eastAsia="zh-CN"/>
              </w:rPr>
              <w:t>4</w:t>
            </w:r>
            <w:r>
              <w:rPr>
                <w:rFonts w:hint="eastAsia" w:ascii="宋体" w:hAnsi="宋体" w:eastAsia="宋体" w:cs="宋体"/>
                <w:color w:val="000000"/>
                <w:kern w:val="0"/>
                <w:sz w:val="24"/>
                <w:szCs w:val="24"/>
                <w:highlight w:val="none"/>
              </w:rPr>
              <w:t>、服务：原厂1年上门标准保修</w:t>
            </w:r>
          </w:p>
          <w:p w14:paraId="72F18B4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val="en-US" w:eastAsia="zh-CN"/>
              </w:rPr>
              <w:t>5</w:t>
            </w:r>
            <w:r>
              <w:rPr>
                <w:rFonts w:hint="eastAsia" w:ascii="宋体" w:hAnsi="宋体" w:eastAsia="宋体" w:cs="宋体"/>
                <w:color w:val="000000"/>
                <w:kern w:val="0"/>
                <w:sz w:val="24"/>
                <w:szCs w:val="24"/>
                <w:highlight w:val="none"/>
              </w:rPr>
              <w:t>、随机带有原厂电脑管家软件：①具有正版安全防御系统，支持手动查杀；②能实现在线原厂认证专家远程服务报修、空间清理等服务；③能实时在线查询设备的保修时间、硬件配置、主机序列号等相关资料，用于及时高效管理设备及保修；</w:t>
            </w:r>
          </w:p>
          <w:p w14:paraId="1CC0A91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b/>
                <w:bCs/>
                <w:strike w:val="0"/>
                <w:dstrike w:val="0"/>
                <w:color w:val="auto"/>
                <w:sz w:val="24"/>
                <w:szCs w:val="24"/>
                <w:highlight w:val="none"/>
                <w:lang w:val="en-US" w:eastAsia="zh-CN"/>
              </w:rPr>
              <w:t>其他未列明参数须满足《便携式计算机政府采购需求标准（2023 年版）》财库〔2023〕30号文中带“*”号的参数。</w:t>
            </w:r>
          </w:p>
        </w:tc>
        <w:tc>
          <w:tcPr>
            <w:tcW w:w="1008" w:type="dxa"/>
            <w:noWrap/>
            <w:vAlign w:val="center"/>
          </w:tcPr>
          <w:p w14:paraId="2EF82C4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11台</w:t>
            </w:r>
          </w:p>
        </w:tc>
      </w:tr>
      <w:tr w14:paraId="43105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826" w:type="dxa"/>
            <w:noWrap/>
            <w:vAlign w:val="center"/>
          </w:tcPr>
          <w:p w14:paraId="2BA3C37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2</w:t>
            </w:r>
          </w:p>
        </w:tc>
        <w:tc>
          <w:tcPr>
            <w:tcW w:w="1170" w:type="dxa"/>
            <w:noWrap/>
            <w:vAlign w:val="center"/>
          </w:tcPr>
          <w:p w14:paraId="5012CB4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台式计算机</w:t>
            </w:r>
          </w:p>
        </w:tc>
        <w:tc>
          <w:tcPr>
            <w:tcW w:w="6627" w:type="dxa"/>
            <w:noWrap/>
            <w:vAlign w:val="center"/>
          </w:tcPr>
          <w:p w14:paraId="24B7C236">
            <w:pPr>
              <w:keepNext w:val="0"/>
              <w:keepLines w:val="0"/>
              <w:pageBreakBefore w:val="0"/>
              <w:widowControl/>
              <w:numPr>
                <w:ilvl w:val="0"/>
                <w:numId w:val="0"/>
              </w:numPr>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napToGrid w:val="0"/>
                <w:color w:val="000000"/>
                <w:sz w:val="24"/>
                <w:szCs w:val="24"/>
                <w:highlight w:val="none"/>
                <w:lang w:val="en-US" w:eastAsia="en-US" w:bidi="ar-SA"/>
              </w:rPr>
              <w:t>1</w:t>
            </w:r>
            <w:r>
              <w:rPr>
                <w:rFonts w:hint="eastAsia" w:ascii="宋体" w:hAnsi="宋体" w:eastAsia="宋体" w:cs="宋体"/>
                <w:snapToGrid w:val="0"/>
                <w:color w:val="000000"/>
                <w:sz w:val="24"/>
                <w:szCs w:val="24"/>
                <w:highlight w:val="none"/>
                <w:lang w:val="en-US" w:eastAsia="zh-CN" w:bidi="ar-SA"/>
              </w:rPr>
              <w:t>、</w:t>
            </w:r>
            <w:r>
              <w:rPr>
                <w:rFonts w:hint="eastAsia" w:ascii="宋体" w:hAnsi="宋体" w:eastAsia="宋体" w:cs="宋体"/>
                <w:sz w:val="24"/>
                <w:szCs w:val="24"/>
                <w:highlight w:val="none"/>
                <w:u w:val="none"/>
              </w:rPr>
              <w:t>CPU：10核16线程处理器，基础频率 2.5GHz，最大睿频‌4.60GHz‌，三级缓存20MB，基础功耗65W</w:t>
            </w:r>
          </w:p>
          <w:p w14:paraId="32C720B6">
            <w:pPr>
              <w:keepNext w:val="0"/>
              <w:keepLines w:val="0"/>
              <w:pageBreakBefore w:val="0"/>
              <w:widowControl/>
              <w:numPr>
                <w:ilvl w:val="0"/>
                <w:numId w:val="0"/>
              </w:numPr>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napToGrid w:val="0"/>
                <w:color w:val="000000"/>
                <w:sz w:val="24"/>
                <w:szCs w:val="24"/>
                <w:highlight w:val="none"/>
                <w:lang w:val="en-US" w:eastAsia="en-US" w:bidi="ar-SA"/>
              </w:rPr>
              <w:t>2</w:t>
            </w:r>
            <w:r>
              <w:rPr>
                <w:rFonts w:hint="eastAsia" w:ascii="宋体" w:hAnsi="宋体" w:eastAsia="宋体" w:cs="宋体"/>
                <w:snapToGrid w:val="0"/>
                <w:color w:val="000000"/>
                <w:sz w:val="24"/>
                <w:szCs w:val="24"/>
                <w:highlight w:val="none"/>
                <w:lang w:val="en-US" w:eastAsia="zh-CN" w:bidi="ar-SA"/>
              </w:rPr>
              <w:t>、</w:t>
            </w:r>
            <w:r>
              <w:rPr>
                <w:rFonts w:hint="eastAsia" w:ascii="宋体" w:hAnsi="宋体" w:eastAsia="宋体" w:cs="宋体"/>
                <w:sz w:val="24"/>
                <w:szCs w:val="24"/>
                <w:highlight w:val="none"/>
                <w:u w:val="none"/>
              </w:rPr>
              <w:t>主板：LGA 1700 插槽，兼容第 12/13/14 代 Intel Core、奔腾金牌、赛扬处理器。基础功耗：6W，封装尺寸 28mm × 25mm。 DMI 总线：DMI 4.0 ×4，带宽 16GB/s。</w:t>
            </w:r>
          </w:p>
          <w:p w14:paraId="1CD66F75">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3</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内存：≥8GB DDR4 内存，双内存槽位,最大支持64GB</w:t>
            </w:r>
          </w:p>
          <w:p w14:paraId="0243D15A">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4</w:t>
            </w:r>
            <w:r>
              <w:rPr>
                <w:rFonts w:hint="eastAsia" w:ascii="宋体" w:hAnsi="宋体" w:eastAsia="宋体" w:cs="宋体"/>
                <w:sz w:val="24"/>
                <w:szCs w:val="24"/>
                <w:highlight w:val="none"/>
                <w:u w:val="none"/>
                <w:lang w:eastAsia="zh-CN"/>
              </w:rPr>
              <w:t>、</w:t>
            </w:r>
            <w:r>
              <w:rPr>
                <w:rFonts w:hint="eastAsia" w:ascii="宋体" w:hAnsi="宋体" w:eastAsia="宋体" w:cs="宋体"/>
                <w:sz w:val="24"/>
                <w:szCs w:val="24"/>
                <w:highlight w:val="none"/>
                <w:u w:val="none"/>
              </w:rPr>
              <w:t>硬盘：≥512G NVME M.2 SSD固态硬盘</w:t>
            </w:r>
          </w:p>
          <w:p w14:paraId="4878EE0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显卡：集成显卡</w:t>
            </w:r>
          </w:p>
          <w:p w14:paraId="46676D6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6</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声卡网卡：集成声卡，集成千兆网卡</w:t>
            </w:r>
          </w:p>
          <w:p w14:paraId="052D875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7</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电源：有效PFC电源≥200W，效能≥80%</w:t>
            </w:r>
          </w:p>
          <w:p w14:paraId="000E9D1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8</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键盘和鼠标：同品牌USB键盘、USB鼠标</w:t>
            </w:r>
          </w:p>
          <w:p w14:paraId="5C504EC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9</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扩展插槽：2 个 M.2；1 个 PCIe x1；1 个 PCIe  x16</w:t>
            </w:r>
          </w:p>
          <w:p w14:paraId="5C8A936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10</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接口：≥8个USB接口（至少前置4个USB 接口）、前置1个3.5mm麦克风/1个耳机插孔插孔，后置1个RJ45,1个串口，2个USB,1个DP，1个HDMI，接口全部为主板原生接口</w:t>
            </w:r>
          </w:p>
          <w:p w14:paraId="1103FD0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操作系统：原厂预装正版操作系统，正版可查</w:t>
            </w:r>
          </w:p>
          <w:p w14:paraId="66038EB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机箱：机箱体积≥15L。</w:t>
            </w:r>
          </w:p>
          <w:p w14:paraId="262E555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安全管理：BIOS级别USB端口单独开关，智能USB数据保护(可设置仅识别鼠标键盘，不识别USB存储设备)。</w:t>
            </w:r>
          </w:p>
          <w:p w14:paraId="330C508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显示器：与主机同品牌，≥21</w:t>
            </w:r>
            <w:r>
              <w:rPr>
                <w:rFonts w:hint="eastAsia" w:ascii="宋体" w:hAnsi="宋体" w:eastAsia="宋体" w:cs="宋体"/>
                <w:sz w:val="24"/>
                <w:szCs w:val="24"/>
                <w:highlight w:val="none"/>
                <w:lang w:val="en-US" w:eastAsia="zh-CN"/>
              </w:rPr>
              <w:t>英</w:t>
            </w:r>
            <w:r>
              <w:rPr>
                <w:rFonts w:hint="eastAsia" w:ascii="宋体" w:hAnsi="宋体" w:eastAsia="宋体" w:cs="宋体"/>
                <w:sz w:val="24"/>
                <w:szCs w:val="24"/>
                <w:highlight w:val="none"/>
              </w:rPr>
              <w:t>寸高清显示器，分辨率1920*1080。</w:t>
            </w:r>
          </w:p>
          <w:p w14:paraId="256D40FA">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售后服务：提供3年保修服务</w:t>
            </w:r>
          </w:p>
          <w:p w14:paraId="239AC1E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16</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所投产品需具</w:t>
            </w:r>
            <w:r>
              <w:rPr>
                <w:rFonts w:hint="eastAsia" w:ascii="宋体" w:hAnsi="宋体" w:eastAsia="宋体" w:cs="宋体"/>
                <w:sz w:val="24"/>
                <w:szCs w:val="24"/>
                <w:highlight w:val="none"/>
                <w:lang w:val="en-US" w:eastAsia="zh-CN"/>
              </w:rPr>
              <w:t>有</w:t>
            </w:r>
            <w:r>
              <w:rPr>
                <w:rFonts w:hint="eastAsia" w:ascii="宋体" w:hAnsi="宋体" w:eastAsia="宋体" w:cs="宋体"/>
                <w:sz w:val="24"/>
                <w:szCs w:val="24"/>
                <w:highlight w:val="none"/>
              </w:rPr>
              <w:t>：主板自带“看门狗”安全机制，能在系统死机状态下自动重启系统确保机器正常运行。可在BIOS中开关。</w:t>
            </w:r>
          </w:p>
          <w:p w14:paraId="3ABB3DE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预装不良信息过滤系统软件</w:t>
            </w:r>
            <w:r>
              <w:rPr>
                <w:rFonts w:hint="eastAsia" w:ascii="宋体" w:hAnsi="宋体" w:eastAsia="宋体" w:cs="宋体"/>
                <w:b w:val="0"/>
                <w:bCs w:val="0"/>
                <w:strike w:val="0"/>
                <w:dstrike w:val="0"/>
                <w:color w:val="auto"/>
                <w:sz w:val="24"/>
                <w:szCs w:val="24"/>
                <w:highlight w:val="none"/>
                <w:lang w:eastAsia="zh-CN"/>
              </w:rPr>
              <w:t>，</w:t>
            </w:r>
            <w:r>
              <w:rPr>
                <w:rFonts w:hint="eastAsia" w:ascii="宋体" w:hAnsi="宋体" w:eastAsia="宋体" w:cs="宋体"/>
                <w:b w:val="0"/>
                <w:bCs w:val="0"/>
                <w:strike w:val="0"/>
                <w:dstrike w:val="0"/>
                <w:color w:val="auto"/>
                <w:sz w:val="24"/>
                <w:szCs w:val="24"/>
                <w:highlight w:val="none"/>
                <w:lang w:val="en-US" w:eastAsia="zh-CN"/>
              </w:rPr>
              <w:t>具有以下功能</w:t>
            </w:r>
            <w:r>
              <w:rPr>
                <w:rFonts w:hint="eastAsia" w:ascii="宋体" w:hAnsi="宋体" w:eastAsia="宋体" w:cs="宋体"/>
                <w:b w:val="0"/>
                <w:bCs w:val="0"/>
                <w:strike w:val="0"/>
                <w:dstrike w:val="0"/>
                <w:color w:val="auto"/>
                <w:sz w:val="24"/>
                <w:szCs w:val="24"/>
                <w:highlight w:val="none"/>
              </w:rPr>
              <w:t>：</w:t>
            </w:r>
          </w:p>
          <w:p w14:paraId="368DF426">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1）产品过滤技术：具备网址过滤、图像过滤、网址库升级、网页内容信息过滤、网页内容信息过滤扩展、预定义网址库自动添加、传输文件过滤、邮件编码过滤、邮件内容信息过滤、服务命令过滤、在线游戏过滤、定时抓屏等功能；</w:t>
            </w:r>
            <w:r>
              <w:rPr>
                <w:rFonts w:hint="eastAsia" w:ascii="宋体" w:hAnsi="宋体" w:eastAsia="宋体" w:cs="宋体"/>
                <w:b/>
                <w:bCs/>
                <w:strike w:val="0"/>
                <w:dstrike w:val="0"/>
                <w:color w:val="0000FF"/>
                <w:sz w:val="24"/>
                <w:szCs w:val="24"/>
                <w:highlight w:val="none"/>
              </w:rPr>
              <w:t>（</w:t>
            </w:r>
            <w:r>
              <w:rPr>
                <w:rFonts w:hint="eastAsia" w:ascii="宋体" w:hAnsi="宋体" w:eastAsia="宋体" w:cs="宋体"/>
                <w:b/>
                <w:bCs/>
                <w:strike w:val="0"/>
                <w:dstrike w:val="0"/>
                <w:color w:val="0000FF"/>
                <w:sz w:val="24"/>
                <w:szCs w:val="24"/>
                <w:highlight w:val="none"/>
                <w:lang w:eastAsia="zh-CN"/>
              </w:rPr>
              <w:t>投标文件中</w:t>
            </w:r>
            <w:r>
              <w:rPr>
                <w:rFonts w:hint="eastAsia" w:ascii="宋体" w:hAnsi="宋体" w:eastAsia="宋体" w:cs="宋体"/>
                <w:b/>
                <w:bCs/>
                <w:strike w:val="0"/>
                <w:dstrike w:val="0"/>
                <w:color w:val="0000FF"/>
                <w:sz w:val="24"/>
                <w:szCs w:val="24"/>
                <w:highlight w:val="none"/>
              </w:rPr>
              <w:t>须提供第三方检测机构出具的包含上述内容的检测报告</w:t>
            </w:r>
            <w:r>
              <w:rPr>
                <w:rFonts w:hint="eastAsia" w:ascii="宋体" w:hAnsi="宋体" w:eastAsia="宋体" w:cs="宋体"/>
                <w:b/>
                <w:bCs/>
                <w:strike w:val="0"/>
                <w:dstrike w:val="0"/>
                <w:color w:val="0000FF"/>
                <w:sz w:val="24"/>
                <w:szCs w:val="24"/>
                <w:highlight w:val="none"/>
                <w:lang w:val="en-US" w:eastAsia="zh-CN"/>
              </w:rPr>
              <w:t>扫描件佐证</w:t>
            </w:r>
            <w:r>
              <w:rPr>
                <w:rFonts w:hint="eastAsia" w:ascii="宋体" w:hAnsi="宋体" w:eastAsia="宋体" w:cs="宋体"/>
                <w:b/>
                <w:bCs/>
                <w:strike w:val="0"/>
                <w:dstrike w:val="0"/>
                <w:color w:val="0000FF"/>
                <w:sz w:val="24"/>
                <w:szCs w:val="24"/>
                <w:highlight w:val="none"/>
              </w:rPr>
              <w:t>）</w:t>
            </w:r>
          </w:p>
          <w:p w14:paraId="62A3DE6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（2）设备使用管理：具备对设备使用时间进行管理的功能，管理员可以根据需要设定使用设备的时间表，在设定的允许使用设备的时间区间使用设备；</w:t>
            </w:r>
          </w:p>
          <w:p w14:paraId="3001BE4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（3）日志全程记录：提供日志管理功能，详细记录操作者每次浏览的网上内容和上网时间，以及拦截黄色图像的次数和时间，可随时记录用户上网浏览内容和时间；</w:t>
            </w:r>
          </w:p>
          <w:p w14:paraId="3C7DF516">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（4）实时屏幕监控：实时屏幕拍照，详细上网记录一览无遗，便于事后监督；安全密钥掌控完全隐形过滤，方便热键激活，有效防止非授权卸载；</w:t>
            </w:r>
          </w:p>
          <w:p w14:paraId="169BC48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（5）产品资源：自身包含黑、白名单及关键字资源，不低于10万条策略，并支持自定义过滤策略；</w:t>
            </w:r>
          </w:p>
          <w:p w14:paraId="7749DDF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（6）自定义资源：支持用户手动设置黑白名单及关键字，用户自定义的资源过滤时优先级最高；</w:t>
            </w:r>
          </w:p>
          <w:p w14:paraId="08666EC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auto"/>
                <w:sz w:val="24"/>
                <w:szCs w:val="24"/>
                <w:highlight w:val="none"/>
              </w:rPr>
            </w:pPr>
            <w:r>
              <w:rPr>
                <w:rFonts w:hint="eastAsia" w:ascii="宋体" w:hAnsi="宋体" w:eastAsia="宋体" w:cs="宋体"/>
                <w:b w:val="0"/>
                <w:bCs w:val="0"/>
                <w:strike w:val="0"/>
                <w:dstrike w:val="0"/>
                <w:color w:val="auto"/>
                <w:sz w:val="24"/>
                <w:szCs w:val="24"/>
                <w:highlight w:val="none"/>
              </w:rPr>
              <w:t>（7）资源/软件自动升级：软件自身模块及识别模块、黑/白名单IP地址库、关键字库、图像检测算法库能够在线自动/手动升级。</w:t>
            </w:r>
          </w:p>
          <w:p w14:paraId="47BC07F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val="0"/>
                <w:bCs w:val="0"/>
                <w:strike w:val="0"/>
                <w:dstrike w:val="0"/>
                <w:color w:val="FF0000"/>
                <w:sz w:val="24"/>
                <w:szCs w:val="24"/>
                <w:highlight w:val="none"/>
                <w:lang w:eastAsia="zh-CN"/>
              </w:rPr>
            </w:pPr>
            <w:r>
              <w:rPr>
                <w:rFonts w:hint="eastAsia" w:ascii="宋体" w:hAnsi="宋体" w:eastAsia="宋体" w:cs="宋体"/>
                <w:b w:val="0"/>
                <w:bCs w:val="0"/>
                <w:strike w:val="0"/>
                <w:dstrike w:val="0"/>
                <w:color w:val="auto"/>
                <w:sz w:val="24"/>
                <w:szCs w:val="24"/>
                <w:highlight w:val="none"/>
              </w:rPr>
              <w:t>（8）不良信息过滤系统系统的技术完全符合国家工业和信息化部制定的基于PC终端的互联网内容过滤软件技术要求YDN138-2006。</w:t>
            </w:r>
            <w:r>
              <w:rPr>
                <w:rFonts w:hint="eastAsia" w:ascii="宋体" w:hAnsi="宋体" w:eastAsia="宋体" w:cs="宋体"/>
                <w:b/>
                <w:bCs/>
                <w:strike w:val="0"/>
                <w:dstrike w:val="0"/>
                <w:color w:val="0000FF"/>
                <w:sz w:val="24"/>
                <w:szCs w:val="24"/>
                <w:highlight w:val="none"/>
              </w:rPr>
              <w:t>（</w:t>
            </w:r>
            <w:r>
              <w:rPr>
                <w:rFonts w:hint="eastAsia" w:ascii="宋体" w:hAnsi="宋体" w:eastAsia="宋体" w:cs="宋体"/>
                <w:b/>
                <w:bCs/>
                <w:strike w:val="0"/>
                <w:dstrike w:val="0"/>
                <w:color w:val="0000FF"/>
                <w:sz w:val="24"/>
                <w:szCs w:val="24"/>
                <w:highlight w:val="none"/>
                <w:lang w:eastAsia="zh-CN"/>
              </w:rPr>
              <w:t>投标文件中</w:t>
            </w:r>
            <w:r>
              <w:rPr>
                <w:rFonts w:hint="eastAsia" w:ascii="宋体" w:hAnsi="宋体" w:eastAsia="宋体" w:cs="宋体"/>
                <w:b/>
                <w:bCs/>
                <w:strike w:val="0"/>
                <w:dstrike w:val="0"/>
                <w:color w:val="0000FF"/>
                <w:sz w:val="24"/>
                <w:szCs w:val="24"/>
                <w:highlight w:val="none"/>
              </w:rPr>
              <w:t>须提供第三方检测机构出具的包含上述内容的检测报告</w:t>
            </w:r>
            <w:r>
              <w:rPr>
                <w:rFonts w:hint="eastAsia" w:ascii="宋体" w:hAnsi="宋体" w:eastAsia="宋体" w:cs="宋体"/>
                <w:b/>
                <w:bCs/>
                <w:strike w:val="0"/>
                <w:dstrike w:val="0"/>
                <w:color w:val="0000FF"/>
                <w:sz w:val="24"/>
                <w:szCs w:val="24"/>
                <w:highlight w:val="none"/>
                <w:lang w:val="en-US" w:eastAsia="zh-CN"/>
              </w:rPr>
              <w:t>扫描件佐证</w:t>
            </w:r>
            <w:r>
              <w:rPr>
                <w:rFonts w:hint="eastAsia" w:ascii="宋体" w:hAnsi="宋体" w:eastAsia="宋体" w:cs="宋体"/>
                <w:b/>
                <w:bCs/>
                <w:strike w:val="0"/>
                <w:dstrike w:val="0"/>
                <w:color w:val="0000FF"/>
                <w:sz w:val="24"/>
                <w:szCs w:val="24"/>
                <w:highlight w:val="none"/>
              </w:rPr>
              <w:t>）</w:t>
            </w:r>
            <w:r>
              <w:rPr>
                <w:rFonts w:hint="eastAsia" w:ascii="宋体" w:hAnsi="宋体" w:eastAsia="宋体" w:cs="宋体"/>
                <w:b/>
                <w:bCs/>
                <w:strike w:val="0"/>
                <w:dstrike w:val="0"/>
                <w:color w:val="0000FF"/>
                <w:sz w:val="24"/>
                <w:szCs w:val="24"/>
                <w:highlight w:val="none"/>
                <w:lang w:eastAsia="zh-CN"/>
              </w:rPr>
              <w:t>。</w:t>
            </w:r>
          </w:p>
          <w:p w14:paraId="309C89A4">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bCs/>
                <w:strike w:val="0"/>
                <w:dstrike w:val="0"/>
                <w:color w:val="0000FF"/>
                <w:sz w:val="24"/>
                <w:szCs w:val="24"/>
                <w:highlight w:val="none"/>
                <w:lang w:val="en-US" w:eastAsia="zh-CN"/>
              </w:rPr>
            </w:pPr>
          </w:p>
          <w:p w14:paraId="111F789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bCs/>
                <w:strike w:val="0"/>
                <w:dstrike w:val="0"/>
                <w:color w:val="auto"/>
                <w:sz w:val="24"/>
                <w:szCs w:val="24"/>
                <w:highlight w:val="none"/>
                <w:lang w:val="en-US" w:eastAsia="zh-CN"/>
              </w:rPr>
            </w:pPr>
            <w:r>
              <w:rPr>
                <w:rFonts w:hint="eastAsia" w:ascii="宋体" w:hAnsi="宋体" w:eastAsia="宋体" w:cs="宋体"/>
                <w:b/>
                <w:bCs/>
                <w:strike w:val="0"/>
                <w:dstrike w:val="0"/>
                <w:color w:val="0000FF"/>
                <w:sz w:val="24"/>
                <w:szCs w:val="24"/>
                <w:highlight w:val="none"/>
                <w:lang w:val="en-US" w:eastAsia="zh-CN"/>
              </w:rPr>
              <w:t>其他未列明参数须满足《台式计算机政府采购需求标准（2023 年版）》财库〔2023〕29号文中带“*”号的参数。</w:t>
            </w:r>
          </w:p>
        </w:tc>
        <w:tc>
          <w:tcPr>
            <w:tcW w:w="1008" w:type="dxa"/>
            <w:noWrap/>
            <w:vAlign w:val="center"/>
          </w:tcPr>
          <w:p w14:paraId="76D1670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3台</w:t>
            </w:r>
          </w:p>
        </w:tc>
      </w:tr>
      <w:tr w14:paraId="5DD58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1" w:hRule="atLeast"/>
          <w:jc w:val="center"/>
        </w:trPr>
        <w:tc>
          <w:tcPr>
            <w:tcW w:w="826" w:type="dxa"/>
            <w:noWrap/>
            <w:vAlign w:val="center"/>
          </w:tcPr>
          <w:p w14:paraId="1D69261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3</w:t>
            </w:r>
          </w:p>
        </w:tc>
        <w:tc>
          <w:tcPr>
            <w:tcW w:w="1170" w:type="dxa"/>
            <w:noWrap/>
            <w:vAlign w:val="center"/>
          </w:tcPr>
          <w:p w14:paraId="7C0079F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多功能一体机</w:t>
            </w:r>
          </w:p>
        </w:tc>
        <w:tc>
          <w:tcPr>
            <w:tcW w:w="6627" w:type="dxa"/>
            <w:noWrap/>
            <w:vAlign w:val="center"/>
          </w:tcPr>
          <w:p w14:paraId="171A80C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产品类型：黑白激光一体机</w:t>
            </w:r>
          </w:p>
          <w:p w14:paraId="24CB573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涵盖功能：打印/复印/扫描</w:t>
            </w:r>
          </w:p>
          <w:p w14:paraId="66CE77D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耗材类型：鼓粉分离</w:t>
            </w:r>
          </w:p>
          <w:p w14:paraId="325A396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内存：</w:t>
            </w:r>
            <w:r>
              <w:rPr>
                <w:rFonts w:hint="eastAsia" w:ascii="宋体" w:hAnsi="宋体" w:eastAsia="宋体" w:cs="宋体"/>
                <w:sz w:val="24"/>
                <w:szCs w:val="24"/>
                <w:highlight w:val="none"/>
                <w:u w:val="none"/>
                <w:lang w:val="en-US" w:eastAsia="zh-CN"/>
              </w:rPr>
              <w:t>≥</w:t>
            </w:r>
            <w:r>
              <w:rPr>
                <w:rFonts w:hint="eastAsia" w:ascii="宋体" w:hAnsi="宋体" w:eastAsia="宋体" w:cs="宋体"/>
                <w:sz w:val="24"/>
                <w:szCs w:val="24"/>
                <w:highlight w:val="none"/>
                <w:u w:val="none"/>
              </w:rPr>
              <w:t>64MB</w:t>
            </w:r>
          </w:p>
          <w:p w14:paraId="3D00104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双面功能：自动</w:t>
            </w:r>
          </w:p>
          <w:p w14:paraId="32619FE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接口类型：USB2.0高速，10BASE-T/100BASE-TX</w:t>
            </w:r>
          </w:p>
          <w:p w14:paraId="61A87CD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打印分辨率：600×600dpi，Fast 1200</w:t>
            </w:r>
          </w:p>
          <w:p w14:paraId="1F74A206">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打印语言：GDI</w:t>
            </w:r>
          </w:p>
          <w:p w14:paraId="6FFFCF7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pPr>
            <w: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t>复印性能</w:t>
            </w:r>
          </w:p>
          <w:p w14:paraId="4992EF2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pPr>
            <w: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t>复印速度：25页/分钟，复印分辨率：600×600dpi</w:t>
            </w:r>
          </w:p>
          <w:p w14:paraId="7BF16B2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pPr>
            <w:r>
              <w:rPr>
                <w:rFonts w:hint="eastAsia" w:ascii="宋体" w:hAnsi="宋体" w:eastAsia="宋体" w:cs="宋体"/>
                <w:strike w:val="0"/>
                <w:dstrike w:val="0"/>
                <w:color w:val="000000" w:themeColor="text1"/>
                <w:sz w:val="24"/>
                <w:szCs w:val="24"/>
                <w:highlight w:val="none"/>
                <w:u w:val="none"/>
                <w14:textFill>
                  <w14:solidFill>
                    <w14:schemeClr w14:val="tx1"/>
                  </w14:solidFill>
                </w14:textFill>
              </w:rPr>
              <w:t>证卡复印：一键身份证复印，缩放倍率：25-400%（以1%为单位调节），预定义：4级缩小4级放大</w:t>
            </w:r>
          </w:p>
          <w:p w14:paraId="6AEA461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硒鼓寿命：</w:t>
            </w:r>
            <w:r>
              <w:rPr>
                <w:rFonts w:hint="eastAsia" w:ascii="宋体" w:hAnsi="宋体" w:eastAsia="宋体" w:cs="宋体"/>
                <w:sz w:val="24"/>
                <w:szCs w:val="24"/>
                <w:highlight w:val="none"/>
                <w:u w:val="none"/>
                <w:lang w:val="en-US" w:eastAsia="zh-CN"/>
              </w:rPr>
              <w:t>≥</w:t>
            </w:r>
            <w:r>
              <w:rPr>
                <w:rFonts w:hint="eastAsia" w:ascii="宋体" w:hAnsi="宋体" w:eastAsia="宋体" w:cs="宋体"/>
                <w:sz w:val="24"/>
                <w:szCs w:val="24"/>
                <w:highlight w:val="none"/>
                <w:u w:val="none"/>
              </w:rPr>
              <w:t>100000页</w:t>
            </w:r>
          </w:p>
          <w:p w14:paraId="127B092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扫描分辨率：600dpi，400dpi，300dpi，200dpi</w:t>
            </w:r>
          </w:p>
          <w:p w14:paraId="00F5B14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u w:val="none"/>
              </w:rPr>
            </w:pPr>
            <w:r>
              <w:rPr>
                <w:rFonts w:hint="eastAsia" w:ascii="宋体" w:hAnsi="宋体" w:eastAsia="宋体" w:cs="宋体"/>
                <w:sz w:val="24"/>
                <w:szCs w:val="24"/>
                <w:highlight w:val="none"/>
                <w:u w:val="none"/>
              </w:rPr>
              <w:t>扫描文件格式：BMP，TIFF，JPG，PDF（MMR 压缩），PNG，PDF（高压缩）</w:t>
            </w:r>
          </w:p>
          <w:p w14:paraId="6FE27E7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u w:val="single"/>
                <w14:textFill>
                  <w14:solidFill>
                    <w14:schemeClr w14:val="tx1"/>
                  </w14:solidFill>
                </w14:textFill>
              </w:rPr>
            </w:pPr>
            <w:r>
              <w:rPr>
                <w:rFonts w:hint="eastAsia" w:ascii="宋体" w:hAnsi="宋体" w:eastAsia="宋体" w:cs="宋体"/>
                <w:sz w:val="24"/>
                <w:szCs w:val="24"/>
                <w:highlight w:val="none"/>
                <w:u w:val="none"/>
              </w:rPr>
              <w:t>介质尺寸：A4,B5,A5,A6,16K,</w:t>
            </w:r>
          </w:p>
        </w:tc>
        <w:tc>
          <w:tcPr>
            <w:tcW w:w="1008" w:type="dxa"/>
            <w:noWrap/>
            <w:vAlign w:val="center"/>
          </w:tcPr>
          <w:p w14:paraId="12697F8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15台</w:t>
            </w:r>
          </w:p>
        </w:tc>
      </w:tr>
      <w:tr w14:paraId="017C3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826" w:type="dxa"/>
            <w:noWrap/>
            <w:vAlign w:val="center"/>
          </w:tcPr>
          <w:p w14:paraId="44FF392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4</w:t>
            </w:r>
          </w:p>
        </w:tc>
        <w:tc>
          <w:tcPr>
            <w:tcW w:w="1170" w:type="dxa"/>
            <w:noWrap/>
            <w:vAlign w:val="center"/>
          </w:tcPr>
          <w:p w14:paraId="5EC0D36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1</w:t>
            </w:r>
          </w:p>
        </w:tc>
        <w:tc>
          <w:tcPr>
            <w:tcW w:w="6627" w:type="dxa"/>
            <w:noWrap/>
            <w:vAlign w:val="center"/>
          </w:tcPr>
          <w:p w14:paraId="64C5D29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FF0000"/>
                <w:kern w:val="0"/>
                <w:sz w:val="24"/>
                <w:szCs w:val="24"/>
                <w:highlight w:val="none"/>
              </w:rPr>
            </w:pPr>
            <w:r>
              <w:rPr>
                <w:rFonts w:hint="eastAsia" w:ascii="宋体" w:hAnsi="宋体" w:eastAsia="宋体" w:cs="宋体"/>
                <w:kern w:val="0"/>
                <w:sz w:val="24"/>
                <w:szCs w:val="24"/>
                <w:highlight w:val="none"/>
              </w:rPr>
              <w:t>尺寸：1600*800*760mm</w:t>
            </w:r>
            <w:r>
              <w:rPr>
                <w:rFonts w:hint="eastAsia" w:ascii="宋体" w:hAnsi="宋体" w:eastAsia="宋体" w:cs="宋体"/>
                <w:color w:val="FF0000"/>
                <w:kern w:val="0"/>
                <w:sz w:val="24"/>
                <w:szCs w:val="24"/>
                <w:highlight w:val="none"/>
              </w:rPr>
              <w:t>（±5mm）</w:t>
            </w:r>
          </w:p>
          <w:p w14:paraId="2206A94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1、基材：采用E0级环保中纤板，经防潮、防虫、防腐处理、抗弯力强，不易变形；</w:t>
            </w:r>
          </w:p>
          <w:p w14:paraId="1A4BEDF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2、五金配件：采用优质品牌五金配件，无锈蚀，具有足够的承载能力、耐腐蚀能力。</w:t>
            </w:r>
          </w:p>
          <w:p w14:paraId="10C93EE3">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kern w:val="0"/>
                <w:sz w:val="24"/>
                <w:szCs w:val="24"/>
                <w:highlight w:val="none"/>
              </w:rPr>
              <w:t>3、为保证产品质量“环保中纤板”须符合国家标准：</w:t>
            </w:r>
            <w:r>
              <w:rPr>
                <w:rFonts w:hint="eastAsia" w:ascii="宋体" w:hAnsi="宋体" w:eastAsia="宋体" w:cs="宋体"/>
                <w:kern w:val="0"/>
                <w:sz w:val="24"/>
                <w:szCs w:val="24"/>
                <w:highlight w:val="none"/>
                <w:lang w:eastAsia="zh-CN"/>
              </w:rPr>
              <w:t>GB/T 11718-2021、GB</w:t>
            </w:r>
            <w:r>
              <w:rPr>
                <w:rFonts w:hint="eastAsia" w:ascii="宋体" w:hAnsi="宋体" w:eastAsia="宋体" w:cs="宋体"/>
                <w:kern w:val="0"/>
                <w:sz w:val="24"/>
                <w:szCs w:val="24"/>
                <w:highlight w:val="none"/>
                <w:lang w:val="en-US" w:eastAsia="zh-CN"/>
              </w:rPr>
              <w:t xml:space="preserve"> </w:t>
            </w:r>
            <w:r>
              <w:rPr>
                <w:rFonts w:hint="eastAsia" w:ascii="宋体" w:hAnsi="宋体" w:eastAsia="宋体" w:cs="宋体"/>
                <w:kern w:val="0"/>
                <w:sz w:val="24"/>
                <w:szCs w:val="24"/>
                <w:highlight w:val="none"/>
                <w:lang w:eastAsia="zh-CN"/>
              </w:rPr>
              <w:t>18580-2025、LY/T 3413-2024。检验检测项目包含而不限于：①外观质量：无分层、鼓泡或</w:t>
            </w:r>
            <w:r>
              <w:rPr>
                <w:rFonts w:hint="eastAsia" w:ascii="宋体" w:hAnsi="宋体" w:eastAsia="宋体" w:cs="宋体"/>
                <w:kern w:val="0"/>
                <w:sz w:val="24"/>
                <w:szCs w:val="24"/>
                <w:highlight w:val="none"/>
                <w:lang w:val="en-US" w:eastAsia="zh-CN"/>
              </w:rPr>
              <w:t>炭</w:t>
            </w:r>
            <w:r>
              <w:rPr>
                <w:rFonts w:hint="eastAsia" w:ascii="宋体" w:hAnsi="宋体" w:eastAsia="宋体" w:cs="宋体"/>
                <w:kern w:val="0"/>
                <w:sz w:val="24"/>
                <w:szCs w:val="24"/>
                <w:highlight w:val="none"/>
                <w:lang w:eastAsia="zh-CN"/>
              </w:rPr>
              <w:t>化、局部松软、板边缺损、油污斑点或异物、压痕；②吸水厚度膨胀率：≤9.0；③含水率：3˜13%；④甲醛释放量：≤0.050mg/m</w:t>
            </w:r>
            <w:r>
              <w:rPr>
                <w:rFonts w:hint="eastAsia" w:ascii="宋体" w:hAnsi="宋体" w:eastAsia="宋体" w:cs="宋体"/>
                <w:kern w:val="0"/>
                <w:sz w:val="24"/>
                <w:szCs w:val="24"/>
                <w:highlight w:val="none"/>
                <w:lang w:val="en-US" w:eastAsia="zh-CN"/>
              </w:rPr>
              <w:t>³；</w:t>
            </w:r>
            <w:r>
              <w:rPr>
                <w:rFonts w:hint="eastAsia" w:ascii="宋体" w:hAnsi="宋体" w:eastAsia="宋体" w:cs="宋体"/>
                <w:kern w:val="0"/>
                <w:sz w:val="24"/>
                <w:szCs w:val="24"/>
                <w:highlight w:val="none"/>
                <w:lang w:eastAsia="zh-CN"/>
              </w:rPr>
              <w:t>⑤气味物质（乙酸、丙酸）（气味类型、气味活度值、气味风险值）：气味活度值≤0.50气味风险值≤0.050。</w:t>
            </w:r>
            <w:r>
              <w:rPr>
                <w:rFonts w:hint="eastAsia" w:ascii="宋体" w:hAnsi="宋体" w:eastAsia="宋体" w:cs="宋体"/>
                <w:b/>
                <w:bCs/>
                <w:strike w:val="0"/>
                <w:dstrike w:val="0"/>
                <w:color w:val="0000FF"/>
                <w:sz w:val="24"/>
                <w:szCs w:val="24"/>
                <w:highlight w:val="none"/>
              </w:rPr>
              <w:t>（</w:t>
            </w:r>
            <w:r>
              <w:rPr>
                <w:rFonts w:hint="eastAsia" w:ascii="宋体" w:hAnsi="宋体" w:eastAsia="宋体" w:cs="宋体"/>
                <w:b/>
                <w:bCs/>
                <w:strike w:val="0"/>
                <w:dstrike w:val="0"/>
                <w:color w:val="0000FF"/>
                <w:sz w:val="24"/>
                <w:szCs w:val="24"/>
                <w:highlight w:val="none"/>
                <w:lang w:eastAsia="zh-CN"/>
              </w:rPr>
              <w:t>投标文件中</w:t>
            </w:r>
            <w:r>
              <w:rPr>
                <w:rFonts w:hint="eastAsia" w:ascii="宋体" w:hAnsi="宋体" w:eastAsia="宋体" w:cs="宋体"/>
                <w:b/>
                <w:bCs/>
                <w:strike w:val="0"/>
                <w:dstrike w:val="0"/>
                <w:color w:val="0000FF"/>
                <w:sz w:val="24"/>
                <w:szCs w:val="24"/>
                <w:highlight w:val="none"/>
              </w:rPr>
              <w:t>须提供</w:t>
            </w:r>
            <w:r>
              <w:rPr>
                <w:rFonts w:hint="eastAsia" w:ascii="宋体" w:hAnsi="宋体" w:eastAsia="宋体" w:cs="宋体"/>
                <w:b/>
                <w:bCs/>
                <w:strike w:val="0"/>
                <w:dstrike w:val="0"/>
                <w:color w:val="0000FF"/>
                <w:sz w:val="24"/>
                <w:szCs w:val="24"/>
                <w:highlight w:val="none"/>
                <w:lang w:val="en-US" w:eastAsia="zh-CN"/>
              </w:rPr>
              <w:t>具有CMA标识的</w:t>
            </w:r>
            <w:r>
              <w:rPr>
                <w:rFonts w:hint="eastAsia" w:ascii="宋体" w:hAnsi="宋体" w:eastAsia="宋体" w:cs="宋体"/>
                <w:b/>
                <w:bCs/>
                <w:strike w:val="0"/>
                <w:dstrike w:val="0"/>
                <w:color w:val="0000FF"/>
                <w:sz w:val="24"/>
                <w:szCs w:val="24"/>
                <w:highlight w:val="none"/>
              </w:rPr>
              <w:t>第三方检测机构出具的包含上述内容的检测报告</w:t>
            </w:r>
            <w:r>
              <w:rPr>
                <w:rFonts w:hint="eastAsia" w:ascii="宋体" w:hAnsi="宋体" w:eastAsia="宋体" w:cs="宋体"/>
                <w:b/>
                <w:bCs/>
                <w:strike w:val="0"/>
                <w:dstrike w:val="0"/>
                <w:color w:val="0000FF"/>
                <w:sz w:val="24"/>
                <w:szCs w:val="24"/>
                <w:highlight w:val="none"/>
                <w:lang w:val="en-US" w:eastAsia="zh-CN"/>
              </w:rPr>
              <w:t>扫描</w:t>
            </w:r>
            <w:r>
              <w:rPr>
                <w:rFonts w:hint="eastAsia" w:ascii="宋体" w:hAnsi="宋体" w:eastAsia="宋体" w:cs="宋体"/>
                <w:b/>
                <w:bCs/>
                <w:strike w:val="0"/>
                <w:dstrike w:val="0"/>
                <w:color w:val="0000FF"/>
                <w:sz w:val="24"/>
                <w:szCs w:val="24"/>
                <w:highlight w:val="none"/>
              </w:rPr>
              <w:t>件</w:t>
            </w:r>
            <w:r>
              <w:rPr>
                <w:rFonts w:hint="eastAsia" w:ascii="宋体" w:hAnsi="宋体" w:eastAsia="宋体" w:cs="宋体"/>
                <w:b/>
                <w:bCs/>
                <w:strike w:val="0"/>
                <w:dstrike w:val="0"/>
                <w:color w:val="0000FF"/>
                <w:sz w:val="24"/>
                <w:szCs w:val="24"/>
                <w:highlight w:val="none"/>
                <w:lang w:val="en-US" w:eastAsia="zh-CN"/>
              </w:rPr>
              <w:t>佐证</w:t>
            </w:r>
            <w:r>
              <w:rPr>
                <w:rFonts w:hint="eastAsia" w:ascii="宋体" w:hAnsi="宋体" w:eastAsia="宋体" w:cs="宋体"/>
                <w:b/>
                <w:bCs/>
                <w:strike w:val="0"/>
                <w:dstrike w:val="0"/>
                <w:color w:val="0000FF"/>
                <w:sz w:val="24"/>
                <w:szCs w:val="24"/>
                <w:highlight w:val="none"/>
              </w:rPr>
              <w:t>）</w:t>
            </w:r>
          </w:p>
        </w:tc>
        <w:tc>
          <w:tcPr>
            <w:tcW w:w="1008" w:type="dxa"/>
            <w:noWrap/>
            <w:vAlign w:val="center"/>
          </w:tcPr>
          <w:p w14:paraId="24AEA6D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15套</w:t>
            </w:r>
          </w:p>
        </w:tc>
      </w:tr>
      <w:tr w14:paraId="3B897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26" w:type="dxa"/>
            <w:noWrap/>
            <w:vAlign w:val="center"/>
          </w:tcPr>
          <w:p w14:paraId="6258197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5</w:t>
            </w:r>
          </w:p>
        </w:tc>
        <w:tc>
          <w:tcPr>
            <w:tcW w:w="1170" w:type="dxa"/>
            <w:noWrap/>
            <w:vAlign w:val="center"/>
          </w:tcPr>
          <w:p w14:paraId="0FD78CD5">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1</w:t>
            </w:r>
          </w:p>
        </w:tc>
        <w:tc>
          <w:tcPr>
            <w:tcW w:w="6627" w:type="dxa"/>
            <w:noWrap/>
            <w:vAlign w:val="center"/>
          </w:tcPr>
          <w:p w14:paraId="1D7160D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规格:490*580*910mm（±5mm）</w:t>
            </w:r>
          </w:p>
          <w:p w14:paraId="46F72F5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kern w:val="0"/>
                <w:sz w:val="24"/>
                <w:szCs w:val="24"/>
                <w:highlight w:val="none"/>
              </w:rPr>
              <w:t>1、坐垫靠背网面，透气好，能减少久坐闷热，且弹性支撑性佳，贴合身形缓解压迫，同时耐磨耐脏易清洁，实用舒适；</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2、下座采用优质高密度海棉，能稳定承托身体重量，久坐不易塌陷变形耐用性佳，抗老化、不易松软，使用寿命更长；</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3、骨架钢管电镀，防锈抗腐蚀能力强，硬度高、耐磨抗刮。</w:t>
            </w:r>
          </w:p>
        </w:tc>
        <w:tc>
          <w:tcPr>
            <w:tcW w:w="1008" w:type="dxa"/>
            <w:noWrap/>
            <w:vAlign w:val="center"/>
          </w:tcPr>
          <w:p w14:paraId="3137118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15把</w:t>
            </w:r>
          </w:p>
        </w:tc>
      </w:tr>
      <w:tr w14:paraId="1C844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3F3296D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6</w:t>
            </w:r>
          </w:p>
        </w:tc>
        <w:tc>
          <w:tcPr>
            <w:tcW w:w="1170" w:type="dxa"/>
            <w:noWrap/>
            <w:vAlign w:val="center"/>
          </w:tcPr>
          <w:p w14:paraId="07C4E29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会议桌</w:t>
            </w:r>
          </w:p>
        </w:tc>
        <w:tc>
          <w:tcPr>
            <w:tcW w:w="6627" w:type="dxa"/>
            <w:noWrap/>
            <w:vAlign w:val="center"/>
          </w:tcPr>
          <w:p w14:paraId="74815BD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FF0000"/>
                <w:sz w:val="24"/>
                <w:szCs w:val="24"/>
                <w:highlight w:val="none"/>
              </w:rPr>
            </w:pPr>
            <w:r>
              <w:rPr>
                <w:rFonts w:hint="eastAsia" w:ascii="宋体" w:hAnsi="宋体" w:eastAsia="宋体" w:cs="宋体"/>
                <w:sz w:val="24"/>
                <w:szCs w:val="24"/>
                <w:highlight w:val="none"/>
              </w:rPr>
              <w:t>规格:4800*1800*760</w:t>
            </w:r>
            <w:r>
              <w:rPr>
                <w:rFonts w:hint="eastAsia" w:ascii="宋体" w:hAnsi="宋体" w:eastAsia="宋体" w:cs="宋体"/>
                <w:color w:val="FF0000"/>
                <w:kern w:val="0"/>
                <w:sz w:val="24"/>
                <w:szCs w:val="24"/>
                <w:highlight w:val="none"/>
              </w:rPr>
              <w:t>（±5mm）</w:t>
            </w:r>
          </w:p>
          <w:p w14:paraId="41EB064A">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基材：采用环保 E0 级三聚氰胺板,所有板材均经过防虫、防腐等化学处理，性能稳定</w:t>
            </w:r>
          </w:p>
          <w:p w14:paraId="097B096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封边：选用优质防潮 PVC 封边条，自动封边机进行封边处理，不开裂缝、不变形，坚固耐用。为保证产品质量“防潮PVC封边条”须符合国家标准：</w:t>
            </w:r>
            <w:r>
              <w:rPr>
                <w:rFonts w:hint="eastAsia" w:ascii="宋体" w:hAnsi="宋体" w:eastAsia="宋体" w:cs="宋体"/>
                <w:sz w:val="24"/>
                <w:szCs w:val="24"/>
                <w:highlight w:val="none"/>
                <w:lang w:eastAsia="zh-CN"/>
              </w:rPr>
              <w:t>QB/T4463-2025、QB/T2029-1994。检验检测项目包含而不限于：①外观-塑料封边条：符合标准要求；②耐磨性：2500目砂纸，磨40r后，应无露底现象；漆膜附着力：≥四级；③氯乙烯单体：≤3.0mg/kg；甲醛释放量：≤0.3mg/L；④尺寸变化率：符合标准要求；耐光性：颜色无明显变化、无裂痕；耐寒性：无裂痕；热老化后断裂伸长率：≥80%；花纹稳定性：花纹清晰，无明显变化</w:t>
            </w:r>
            <w:r>
              <w:rPr>
                <w:rFonts w:hint="eastAsia" w:ascii="宋体" w:hAnsi="宋体" w:eastAsia="宋体" w:cs="宋体"/>
                <w:b/>
                <w:bCs/>
                <w:strike w:val="0"/>
                <w:dstrike w:val="0"/>
                <w:color w:val="0000FF"/>
                <w:sz w:val="24"/>
                <w:szCs w:val="24"/>
                <w:highlight w:val="none"/>
              </w:rPr>
              <w:t>（</w:t>
            </w:r>
            <w:r>
              <w:rPr>
                <w:rFonts w:hint="eastAsia" w:ascii="宋体" w:hAnsi="宋体" w:eastAsia="宋体" w:cs="宋体"/>
                <w:b/>
                <w:bCs/>
                <w:strike w:val="0"/>
                <w:dstrike w:val="0"/>
                <w:color w:val="0000FF"/>
                <w:sz w:val="24"/>
                <w:szCs w:val="24"/>
                <w:highlight w:val="none"/>
                <w:lang w:eastAsia="zh-CN"/>
              </w:rPr>
              <w:t>投标文件中</w:t>
            </w:r>
            <w:r>
              <w:rPr>
                <w:rFonts w:hint="eastAsia" w:ascii="宋体" w:hAnsi="宋体" w:eastAsia="宋体" w:cs="宋体"/>
                <w:b/>
                <w:bCs/>
                <w:strike w:val="0"/>
                <w:dstrike w:val="0"/>
                <w:color w:val="0000FF"/>
                <w:sz w:val="24"/>
                <w:szCs w:val="24"/>
                <w:highlight w:val="none"/>
              </w:rPr>
              <w:t>须提供</w:t>
            </w:r>
            <w:r>
              <w:rPr>
                <w:rFonts w:hint="eastAsia" w:ascii="宋体" w:hAnsi="宋体" w:eastAsia="宋体" w:cs="宋体"/>
                <w:b/>
                <w:bCs/>
                <w:strike w:val="0"/>
                <w:dstrike w:val="0"/>
                <w:color w:val="0000FF"/>
                <w:sz w:val="24"/>
                <w:szCs w:val="24"/>
                <w:highlight w:val="none"/>
                <w:lang w:val="en-US" w:eastAsia="zh-CN"/>
              </w:rPr>
              <w:t>具有CMA标识的</w:t>
            </w:r>
            <w:r>
              <w:rPr>
                <w:rFonts w:hint="eastAsia" w:ascii="宋体" w:hAnsi="宋体" w:eastAsia="宋体" w:cs="宋体"/>
                <w:b/>
                <w:bCs/>
                <w:strike w:val="0"/>
                <w:dstrike w:val="0"/>
                <w:color w:val="0000FF"/>
                <w:sz w:val="24"/>
                <w:szCs w:val="24"/>
                <w:highlight w:val="none"/>
              </w:rPr>
              <w:t>第三方检测机构出具的包含上述内容的检测报告</w:t>
            </w:r>
            <w:r>
              <w:rPr>
                <w:rFonts w:hint="eastAsia" w:ascii="宋体" w:hAnsi="宋体" w:eastAsia="宋体" w:cs="宋体"/>
                <w:b/>
                <w:bCs/>
                <w:strike w:val="0"/>
                <w:dstrike w:val="0"/>
                <w:color w:val="0000FF"/>
                <w:sz w:val="24"/>
                <w:szCs w:val="24"/>
                <w:highlight w:val="none"/>
                <w:lang w:val="en-US" w:eastAsia="zh-CN"/>
              </w:rPr>
              <w:t>扫描</w:t>
            </w:r>
            <w:r>
              <w:rPr>
                <w:rFonts w:hint="eastAsia" w:ascii="宋体" w:hAnsi="宋体" w:eastAsia="宋体" w:cs="宋体"/>
                <w:b/>
                <w:bCs/>
                <w:strike w:val="0"/>
                <w:dstrike w:val="0"/>
                <w:color w:val="0000FF"/>
                <w:sz w:val="24"/>
                <w:szCs w:val="24"/>
                <w:highlight w:val="none"/>
              </w:rPr>
              <w:t>件</w:t>
            </w:r>
            <w:r>
              <w:rPr>
                <w:rFonts w:hint="eastAsia" w:ascii="宋体" w:hAnsi="宋体" w:eastAsia="宋体" w:cs="宋体"/>
                <w:b/>
                <w:bCs/>
                <w:strike w:val="0"/>
                <w:dstrike w:val="0"/>
                <w:color w:val="0000FF"/>
                <w:sz w:val="24"/>
                <w:szCs w:val="24"/>
                <w:highlight w:val="none"/>
                <w:lang w:val="en-US" w:eastAsia="zh-CN"/>
              </w:rPr>
              <w:t>佐证</w:t>
            </w:r>
            <w:r>
              <w:rPr>
                <w:rFonts w:hint="eastAsia" w:ascii="宋体" w:hAnsi="宋体" w:eastAsia="宋体" w:cs="宋体"/>
                <w:b/>
                <w:bCs/>
                <w:strike w:val="0"/>
                <w:dstrike w:val="0"/>
                <w:color w:val="0000FF"/>
                <w:sz w:val="24"/>
                <w:szCs w:val="24"/>
                <w:highlight w:val="none"/>
              </w:rPr>
              <w:t>）</w:t>
            </w:r>
          </w:p>
          <w:p w14:paraId="7075965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粘合剂：采用优质胶粘剂，粘性强、耐热、耐寒、防水、绿色无污染。</w:t>
            </w:r>
          </w:p>
          <w:p w14:paraId="43E1523A">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坚固螺丝：采用静电喷涂圆柱头内六角螺杆，坚固、耐用、不易生锈。</w:t>
            </w:r>
          </w:p>
          <w:p w14:paraId="0360F85B">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5</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五金件：采用优质五金件，外观金属合金件应无锈蚀、氧化膜脱落、刃口、锐棱、表面细密，应无裂纹、毛刺、黑斑等缺陷。</w:t>
            </w:r>
          </w:p>
        </w:tc>
        <w:tc>
          <w:tcPr>
            <w:tcW w:w="1008" w:type="dxa"/>
            <w:noWrap/>
            <w:vAlign w:val="center"/>
          </w:tcPr>
          <w:p w14:paraId="260C231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4张</w:t>
            </w:r>
          </w:p>
        </w:tc>
      </w:tr>
      <w:tr w14:paraId="7D8B4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0024AF0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7</w:t>
            </w:r>
          </w:p>
        </w:tc>
        <w:tc>
          <w:tcPr>
            <w:tcW w:w="1170" w:type="dxa"/>
            <w:noWrap/>
            <w:vAlign w:val="center"/>
          </w:tcPr>
          <w:p w14:paraId="4E3617B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会议椅</w:t>
            </w:r>
          </w:p>
        </w:tc>
        <w:tc>
          <w:tcPr>
            <w:tcW w:w="6627" w:type="dxa"/>
            <w:noWrap/>
            <w:vAlign w:val="center"/>
          </w:tcPr>
          <w:p w14:paraId="357B47D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规格:490*580*910mm（±5mm）</w:t>
            </w:r>
          </w:p>
          <w:p w14:paraId="0DD9868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kern w:val="0"/>
                <w:sz w:val="24"/>
                <w:szCs w:val="24"/>
                <w:highlight w:val="none"/>
              </w:rPr>
              <w:t>1、坐垫靠背网面，透气好，能减少久坐闷热，且弹性支撑性佳，贴合身形缓解压迫，同时耐磨耐脏易清洁，实用舒适；</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2、下座采用优质高密度海棉，能稳定承托身体重量，久坐不易塌陷变形耐用性佳，抗老化、不易松软，使用寿命更长；</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3、骨架钢管电镀，防锈抗腐蚀能力强，硬度高、耐磨抗刮。</w:t>
            </w:r>
          </w:p>
        </w:tc>
        <w:tc>
          <w:tcPr>
            <w:tcW w:w="1008" w:type="dxa"/>
            <w:noWrap/>
            <w:vAlign w:val="center"/>
          </w:tcPr>
          <w:p w14:paraId="55576ED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124把</w:t>
            </w:r>
          </w:p>
        </w:tc>
      </w:tr>
      <w:tr w14:paraId="2953D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5A17E38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8</w:t>
            </w:r>
          </w:p>
        </w:tc>
        <w:tc>
          <w:tcPr>
            <w:tcW w:w="1170" w:type="dxa"/>
            <w:noWrap/>
            <w:vAlign w:val="center"/>
          </w:tcPr>
          <w:p w14:paraId="026428F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办公卡位</w:t>
            </w:r>
          </w:p>
        </w:tc>
        <w:tc>
          <w:tcPr>
            <w:tcW w:w="6627" w:type="dxa"/>
            <w:noWrap/>
            <w:vAlign w:val="center"/>
          </w:tcPr>
          <w:p w14:paraId="496E24B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规格:1400*1400*1100mm（±5mm）</w:t>
            </w:r>
          </w:p>
          <w:p w14:paraId="5A99656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1、基材：采用E0级环保三聚氰胺板，经防潮、防虫、防腐处理、抗弯力强，不易变形；</w:t>
            </w:r>
          </w:p>
          <w:p w14:paraId="0EFFFF6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rPr>
              <w:t>2</w:t>
            </w:r>
            <w:r>
              <w:rPr>
                <w:rFonts w:hint="eastAsia" w:ascii="宋体" w:hAnsi="宋体" w:eastAsia="宋体" w:cs="宋体"/>
                <w:kern w:val="0"/>
                <w:sz w:val="24"/>
                <w:szCs w:val="24"/>
                <w:highlight w:val="none"/>
              </w:rPr>
              <w:t>、油漆：采用优质品牌环保油漆，经过五底三面油漆工序，木纹纹理清晰，色泽均匀、光滑耐用，封边严密、平整、无脱胶、鼓泡、无裂纹、压痕和划伤；</w:t>
            </w:r>
          </w:p>
          <w:p w14:paraId="1865DDD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lang w:val="en-US" w:eastAsia="zh-CN"/>
              </w:rPr>
              <w:t>3</w:t>
            </w:r>
            <w:r>
              <w:rPr>
                <w:rFonts w:hint="eastAsia" w:ascii="宋体" w:hAnsi="宋体" w:eastAsia="宋体" w:cs="宋体"/>
                <w:kern w:val="0"/>
                <w:sz w:val="24"/>
                <w:szCs w:val="24"/>
                <w:highlight w:val="none"/>
              </w:rPr>
              <w:t>、五金配件：采用优质品牌五金配件，无锈蚀，具有足够的承载能力、耐腐蚀能力。</w:t>
            </w:r>
          </w:p>
          <w:p w14:paraId="58161C07">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bCs/>
                <w:color w:val="0000FF"/>
                <w:kern w:val="0"/>
                <w:sz w:val="24"/>
                <w:szCs w:val="24"/>
                <w:highlight w:val="none"/>
              </w:rPr>
            </w:pPr>
            <w:r>
              <w:rPr>
                <w:rFonts w:hint="eastAsia" w:ascii="宋体" w:hAnsi="宋体" w:eastAsia="宋体" w:cs="宋体"/>
                <w:b/>
                <w:bCs/>
                <w:color w:val="0000FF"/>
                <w:kern w:val="0"/>
                <w:sz w:val="24"/>
                <w:szCs w:val="24"/>
                <w:highlight w:val="none"/>
              </w:rPr>
              <w:t>含转椅1把</w:t>
            </w:r>
          </w:p>
          <w:p w14:paraId="03E35AC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规格：490*580*910mm（±10mm）</w:t>
            </w:r>
          </w:p>
          <w:p w14:paraId="713187E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1、面料：采用优质高级透气网布，防潮、防污、易清洁，布面柔软舒适，透气强而富于韧性。</w:t>
            </w:r>
          </w:p>
          <w:p w14:paraId="605FCC2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2、海绵：采用优质高密度阻燃海绵，用抽纱或丝绒覆面，表面有防腐化和防变型保护膜，回弹性高，耐用度高,防碎，防氧化，抗疲劳力强，坐感舒适，质量符合国家标准。</w:t>
            </w:r>
          </w:p>
          <w:p w14:paraId="20C8CF7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3、五金配件：下面配置爪轮，采用优质品牌五金配件，无锈蚀，具有足够的承载能力、耐腐蚀能力。</w:t>
            </w:r>
          </w:p>
        </w:tc>
        <w:tc>
          <w:tcPr>
            <w:tcW w:w="1008" w:type="dxa"/>
            <w:noWrap/>
            <w:vAlign w:val="center"/>
          </w:tcPr>
          <w:p w14:paraId="74D5B1F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82套</w:t>
            </w:r>
          </w:p>
        </w:tc>
      </w:tr>
      <w:tr w14:paraId="6377F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826" w:type="dxa"/>
            <w:noWrap/>
            <w:vAlign w:val="center"/>
          </w:tcPr>
          <w:p w14:paraId="566408A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9</w:t>
            </w:r>
          </w:p>
        </w:tc>
        <w:tc>
          <w:tcPr>
            <w:tcW w:w="1170" w:type="dxa"/>
            <w:noWrap/>
            <w:vAlign w:val="center"/>
          </w:tcPr>
          <w:p w14:paraId="53759A1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kern w:val="0"/>
                <w:sz w:val="24"/>
                <w:szCs w:val="24"/>
                <w:highlight w:val="none"/>
              </w:rPr>
              <w:t>办公桌</w:t>
            </w:r>
            <w:r>
              <w:rPr>
                <w:rFonts w:hint="eastAsia" w:ascii="宋体" w:hAnsi="宋体" w:eastAsia="宋体" w:cs="宋体"/>
                <w:color w:val="FF0000"/>
                <w:kern w:val="0"/>
                <w:sz w:val="24"/>
                <w:szCs w:val="24"/>
                <w:highlight w:val="none"/>
                <w:lang w:val="en-US" w:eastAsia="zh-CN"/>
              </w:rPr>
              <w:t>2</w:t>
            </w:r>
          </w:p>
        </w:tc>
        <w:tc>
          <w:tcPr>
            <w:tcW w:w="6627" w:type="dxa"/>
            <w:noWrap/>
            <w:vAlign w:val="center"/>
          </w:tcPr>
          <w:p w14:paraId="5B04286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规格：1800*900*760mm（±5mm）</w:t>
            </w:r>
          </w:p>
          <w:p w14:paraId="35B819BA">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1、基材：采用E0级环保高密度纤维板，经防潮、防虫、防腐处理、抗弯力强，不易变形；</w:t>
            </w:r>
          </w:p>
          <w:p w14:paraId="1B9F47A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2、饰面：采用天然实木皮；</w:t>
            </w:r>
          </w:p>
          <w:p w14:paraId="13A07306">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3、油漆：采用优质品牌环保油漆，经过五底三面油漆工序，木纹纹理清晰，色泽均匀、光滑耐用，封边严密、平整、无脱胶、鼓泡、无裂纹、压痕和划伤；</w:t>
            </w:r>
          </w:p>
          <w:p w14:paraId="07C294D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4、五金配件：采用优质品牌五金配件，无锈蚀，具有足够的承载能力、耐腐蚀能力。</w:t>
            </w:r>
          </w:p>
          <w:p w14:paraId="3ADEDA7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5、配置固定式LED灯具一台，防眩方式：透镜+扩散板+微晶;频闪：无显著影响；蓝光：RG0(无危险类);色温：5000±200K；显色指数：Ra≥90(R9≥80)功率因素:≥0.90；使用寿命：≥50000H；消耗功率：36W；光效：≥95·lm/W。</w:t>
            </w:r>
          </w:p>
          <w:p w14:paraId="2AF77A9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lang w:eastAsia="zh-CN"/>
                <w14:textFill>
                  <w14:solidFill>
                    <w14:schemeClr w14:val="tx1"/>
                  </w14:solidFill>
                </w14:textFill>
              </w:rPr>
            </w:pPr>
            <w:r>
              <w:rPr>
                <w:rFonts w:hint="eastAsia" w:ascii="宋体" w:hAnsi="宋体" w:eastAsia="宋体" w:cs="宋体"/>
                <w:kern w:val="0"/>
                <w:sz w:val="24"/>
                <w:szCs w:val="24"/>
                <w:highlight w:val="none"/>
              </w:rPr>
              <w:t>6、固定式LED灯具至少依据《GB7793》标准满足维持平均照度满足3001x-7501x，照度均匀度≥0.8，统一眩光值≤16，且通过优选照明设备认证，认证等级为一级</w:t>
            </w:r>
            <w:r>
              <w:rPr>
                <w:rFonts w:hint="eastAsia" w:ascii="宋体" w:hAnsi="宋体" w:eastAsia="宋体" w:cs="宋体"/>
                <w:kern w:val="0"/>
                <w:sz w:val="24"/>
                <w:szCs w:val="24"/>
                <w:highlight w:val="none"/>
                <w:lang w:eastAsia="zh-CN"/>
              </w:rPr>
              <w:t>。</w:t>
            </w:r>
            <w:r>
              <w:rPr>
                <w:rFonts w:hint="eastAsia" w:ascii="宋体" w:hAnsi="宋体" w:eastAsia="宋体" w:cs="宋体"/>
                <w:b/>
                <w:bCs/>
                <w:color w:val="auto"/>
                <w:kern w:val="0"/>
                <w:sz w:val="24"/>
                <w:szCs w:val="24"/>
                <w:highlight w:val="none"/>
              </w:rPr>
              <w:t>(响应文件需提供</w:t>
            </w:r>
            <w:r>
              <w:rPr>
                <w:rFonts w:hint="eastAsia" w:ascii="宋体" w:hAnsi="宋体" w:eastAsia="宋体" w:cs="宋体"/>
                <w:b/>
                <w:bCs/>
                <w:color w:val="auto"/>
                <w:kern w:val="0"/>
                <w:sz w:val="24"/>
                <w:szCs w:val="24"/>
                <w:highlight w:val="none"/>
                <w:lang w:val="en-US" w:eastAsia="zh-CN"/>
              </w:rPr>
              <w:t>认证证书及</w:t>
            </w:r>
            <w:r>
              <w:rPr>
                <w:rFonts w:hint="eastAsia" w:ascii="宋体" w:hAnsi="宋体" w:eastAsia="宋体" w:cs="宋体"/>
                <w:b/>
                <w:bCs/>
                <w:color w:val="auto"/>
                <w:kern w:val="0"/>
                <w:sz w:val="24"/>
                <w:szCs w:val="24"/>
                <w:highlight w:val="none"/>
              </w:rPr>
              <w:t>第三方检测机构出具</w:t>
            </w:r>
            <w:r>
              <w:rPr>
                <w:rFonts w:hint="eastAsia" w:ascii="宋体" w:hAnsi="宋体" w:eastAsia="宋体" w:cs="宋体"/>
                <w:b/>
                <w:bCs/>
                <w:color w:val="auto"/>
                <w:kern w:val="0"/>
                <w:sz w:val="24"/>
                <w:szCs w:val="24"/>
                <w:highlight w:val="none"/>
                <w:lang w:eastAsia="zh-CN"/>
              </w:rPr>
              <w:t>的</w:t>
            </w:r>
            <w:r>
              <w:rPr>
                <w:rFonts w:hint="eastAsia" w:ascii="宋体" w:hAnsi="宋体" w:eastAsia="宋体" w:cs="宋体"/>
                <w:b/>
                <w:bCs/>
                <w:color w:val="auto"/>
                <w:kern w:val="0"/>
                <w:sz w:val="24"/>
                <w:szCs w:val="24"/>
                <w:highlight w:val="none"/>
              </w:rPr>
              <w:t>检测报告扫描件佐证)</w:t>
            </w:r>
          </w:p>
        </w:tc>
        <w:tc>
          <w:tcPr>
            <w:tcW w:w="1008" w:type="dxa"/>
            <w:noWrap/>
            <w:vAlign w:val="center"/>
          </w:tcPr>
          <w:p w14:paraId="4D4CAB3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11套</w:t>
            </w:r>
          </w:p>
        </w:tc>
      </w:tr>
      <w:tr w14:paraId="36F37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211F6B5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10</w:t>
            </w:r>
          </w:p>
        </w:tc>
        <w:tc>
          <w:tcPr>
            <w:tcW w:w="1170" w:type="dxa"/>
            <w:noWrap/>
            <w:vAlign w:val="center"/>
          </w:tcPr>
          <w:p w14:paraId="4EE0AB0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茶几</w:t>
            </w:r>
          </w:p>
        </w:tc>
        <w:tc>
          <w:tcPr>
            <w:tcW w:w="6627" w:type="dxa"/>
            <w:noWrap/>
            <w:vAlign w:val="center"/>
          </w:tcPr>
          <w:p w14:paraId="34413E99">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kern w:val="0"/>
                <w:sz w:val="24"/>
                <w:szCs w:val="24"/>
                <w:highlight w:val="none"/>
              </w:rPr>
              <w:t>规格：1200*600*450mm（±5mm）</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1、基材：采用E0级环保高密度纤维板，经防潮、防虫、防腐处理、抗弯力强，不易变形；</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2、饰面：采用天然实木皮；</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3、油漆：采用优质品牌环保油漆，经过五底三面油漆工序，木纹纹理清晰，色泽均匀、光滑耐用，封边严密、平整、无脱胶、鼓泡、无裂纹、压痕和划伤；</w:t>
            </w:r>
            <w:r>
              <w:rPr>
                <w:rFonts w:hint="eastAsia" w:ascii="宋体" w:hAnsi="宋体" w:eastAsia="宋体" w:cs="宋体"/>
                <w:kern w:val="0"/>
                <w:sz w:val="24"/>
                <w:szCs w:val="24"/>
                <w:highlight w:val="none"/>
              </w:rPr>
              <w:br w:type="textWrapping"/>
            </w:r>
            <w:r>
              <w:rPr>
                <w:rFonts w:hint="eastAsia" w:ascii="宋体" w:hAnsi="宋体" w:eastAsia="宋体" w:cs="宋体"/>
                <w:kern w:val="0"/>
                <w:sz w:val="24"/>
                <w:szCs w:val="24"/>
                <w:highlight w:val="none"/>
              </w:rPr>
              <w:t>4、五金配件：采用优质品牌五金配件，无锈蚀，具有足够的承载能力、耐腐蚀能力。</w:t>
            </w:r>
          </w:p>
        </w:tc>
        <w:tc>
          <w:tcPr>
            <w:tcW w:w="1008" w:type="dxa"/>
            <w:noWrap/>
            <w:vAlign w:val="center"/>
          </w:tcPr>
          <w:p w14:paraId="1A81BA8B">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11张</w:t>
            </w:r>
          </w:p>
        </w:tc>
      </w:tr>
      <w:tr w14:paraId="3CDAE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76F4601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11</w:t>
            </w:r>
          </w:p>
        </w:tc>
        <w:tc>
          <w:tcPr>
            <w:tcW w:w="1170" w:type="dxa"/>
            <w:noWrap/>
            <w:vAlign w:val="center"/>
          </w:tcPr>
          <w:p w14:paraId="5C49F59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2</w:t>
            </w:r>
          </w:p>
        </w:tc>
        <w:tc>
          <w:tcPr>
            <w:tcW w:w="6627" w:type="dxa"/>
            <w:noWrap/>
            <w:vAlign w:val="center"/>
          </w:tcPr>
          <w:p w14:paraId="735967D0">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规格:820*630*1110mm（±5mm）</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1、椅架:采用全实木(橡木)制作，经过防虫、防腐特殊处理，确保坚固可靠，长期使用不松动、不腐朽;</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2、面料:采用优质环保西皮，防潮、防污易清洁等，皮面更加柔软舒适，光泽持久，透气性好，手感柔软，纹理细腻，富有弹性，具有冬暖夏凉的效果;</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3、环保油漆涂料</w:t>
            </w:r>
          </w:p>
        </w:tc>
        <w:tc>
          <w:tcPr>
            <w:tcW w:w="1008" w:type="dxa"/>
            <w:noWrap/>
            <w:vAlign w:val="center"/>
          </w:tcPr>
          <w:p w14:paraId="434889B9">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11把</w:t>
            </w:r>
          </w:p>
        </w:tc>
      </w:tr>
      <w:tr w14:paraId="23CCB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58F3329A">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12</w:t>
            </w:r>
          </w:p>
        </w:tc>
        <w:tc>
          <w:tcPr>
            <w:tcW w:w="1170" w:type="dxa"/>
            <w:noWrap/>
            <w:vAlign w:val="center"/>
          </w:tcPr>
          <w:p w14:paraId="3E8960C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书柜</w:t>
            </w:r>
          </w:p>
        </w:tc>
        <w:tc>
          <w:tcPr>
            <w:tcW w:w="6627" w:type="dxa"/>
            <w:noWrap/>
            <w:vAlign w:val="center"/>
          </w:tcPr>
          <w:p w14:paraId="3477EAB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规格：1200*420*2000mm（±5mm）</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 xml:space="preserve">1、基材：采用E0级中密度纤维板，经防潮、防虫、防腐处理、抗弯力强，不易变形；                                                                                                                   </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、封边：采用优质天然实木封边条；</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、油漆：采用优质品牌环保油漆，经过五底三面油漆工序，木纹纹理清晰，色泽均匀、光滑耐用，封边严密、平整、无脱胶、鼓泡、无裂纹、压痕和划伤；</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lang w:val="en-US" w:eastAsia="zh-CN"/>
              </w:rPr>
              <w:t>4</w:t>
            </w:r>
            <w:r>
              <w:rPr>
                <w:rFonts w:hint="eastAsia" w:ascii="宋体" w:hAnsi="宋体" w:eastAsia="宋体" w:cs="宋体"/>
                <w:color w:val="auto"/>
                <w:kern w:val="0"/>
                <w:sz w:val="24"/>
                <w:szCs w:val="24"/>
                <w:highlight w:val="none"/>
              </w:rPr>
              <w:t>、五金配件：采用优质品牌五金配件，无锈蚀，具有足够的承载能力、耐腐蚀能力。</w:t>
            </w:r>
          </w:p>
        </w:tc>
        <w:tc>
          <w:tcPr>
            <w:tcW w:w="1008" w:type="dxa"/>
            <w:noWrap/>
            <w:vAlign w:val="center"/>
          </w:tcPr>
          <w:p w14:paraId="615AFA48">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11套</w:t>
            </w:r>
          </w:p>
        </w:tc>
      </w:tr>
      <w:tr w14:paraId="0FB91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jc w:val="center"/>
        </w:trPr>
        <w:tc>
          <w:tcPr>
            <w:tcW w:w="826" w:type="dxa"/>
            <w:noWrap/>
            <w:vAlign w:val="center"/>
          </w:tcPr>
          <w:p w14:paraId="1F4154F3">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13</w:t>
            </w:r>
          </w:p>
        </w:tc>
        <w:tc>
          <w:tcPr>
            <w:tcW w:w="1170" w:type="dxa"/>
            <w:noWrap/>
            <w:vAlign w:val="center"/>
          </w:tcPr>
          <w:p w14:paraId="6A04D38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三人沙发</w:t>
            </w:r>
          </w:p>
        </w:tc>
        <w:tc>
          <w:tcPr>
            <w:tcW w:w="6627" w:type="dxa"/>
            <w:noWrap/>
            <w:vAlign w:val="center"/>
          </w:tcPr>
          <w:p w14:paraId="4A2CC72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规格：2020*830*880mm（±5mm）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1.采用优质环保西皮，透气性好，皮面光泽度好，质感柔和，回弹力高，透气性强，具有防虫、防滑、不褪色等特点；</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2、内材：实木框架，选用上等木材，经高温烘干；</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3、海绵：采用优质高密度阻燃海绵，用抽纱或丝绒覆面，表面有防腐化和防变型保护膜，回弹性高，耐用度高,防碎，防氧化，抗疲劳力强，坐感舒适；</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4、五金配件：选用优质锰蛇簧垫底，弹力大、强度高、韧性好、不易变形。</w:t>
            </w:r>
          </w:p>
        </w:tc>
        <w:tc>
          <w:tcPr>
            <w:tcW w:w="1008" w:type="dxa"/>
            <w:noWrap/>
            <w:vAlign w:val="center"/>
          </w:tcPr>
          <w:p w14:paraId="6F15D5D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11张</w:t>
            </w:r>
          </w:p>
        </w:tc>
      </w:tr>
      <w:tr w14:paraId="5A4FA6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5786571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14</w:t>
            </w:r>
          </w:p>
        </w:tc>
        <w:tc>
          <w:tcPr>
            <w:tcW w:w="1170" w:type="dxa"/>
            <w:noWrap/>
            <w:vAlign w:val="center"/>
          </w:tcPr>
          <w:p w14:paraId="681B7E5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kern w:val="0"/>
                <w:sz w:val="24"/>
                <w:szCs w:val="24"/>
                <w:highlight w:val="none"/>
              </w:rPr>
              <w:t>办公椅</w:t>
            </w:r>
            <w:r>
              <w:rPr>
                <w:rFonts w:hint="eastAsia" w:ascii="宋体" w:hAnsi="宋体" w:eastAsia="宋体" w:cs="宋体"/>
                <w:color w:val="FF0000"/>
                <w:kern w:val="0"/>
                <w:sz w:val="24"/>
                <w:szCs w:val="24"/>
                <w:highlight w:val="none"/>
                <w:lang w:val="en-US" w:eastAsia="zh-CN"/>
              </w:rPr>
              <w:t>3</w:t>
            </w:r>
          </w:p>
        </w:tc>
        <w:tc>
          <w:tcPr>
            <w:tcW w:w="6627" w:type="dxa"/>
            <w:noWrap/>
            <w:vAlign w:val="center"/>
          </w:tcPr>
          <w:p w14:paraId="0FC0F80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规格：660*520*1020/1050mm（±5mm）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椅架：采用全实木制作, 经过防虫、防腐特殊处理，确保坚固可靠，长期使用不松动、不腐朽；</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面料：采用优质环保西皮，防潮、防污易清洁等，皮面更加柔软舒适，光泽持久，透气性好，手感柔软，纹理细腻，富有弹性，具有冬暖夏凉的效果；</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3</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海棉：采用高密度成型PU阻燃海棉，用抽纱或丝绒覆面，表面有防腐化和防变型保护膜，软硬适中,耐久不变形，回弹力强。</w:t>
            </w:r>
          </w:p>
        </w:tc>
        <w:tc>
          <w:tcPr>
            <w:tcW w:w="1008" w:type="dxa"/>
            <w:noWrap/>
            <w:vAlign w:val="center"/>
          </w:tcPr>
          <w:p w14:paraId="31FD9221">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11把</w:t>
            </w:r>
          </w:p>
        </w:tc>
      </w:tr>
      <w:tr w14:paraId="714DB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38786F0E">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15</w:t>
            </w:r>
          </w:p>
        </w:tc>
        <w:tc>
          <w:tcPr>
            <w:tcW w:w="1170" w:type="dxa"/>
            <w:noWrap/>
            <w:vAlign w:val="center"/>
          </w:tcPr>
          <w:p w14:paraId="18AB717D">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旋转升降圆凳</w:t>
            </w:r>
          </w:p>
        </w:tc>
        <w:tc>
          <w:tcPr>
            <w:tcW w:w="6627" w:type="dxa"/>
            <w:noWrap/>
            <w:vAlign w:val="center"/>
          </w:tcPr>
          <w:p w14:paraId="7A3DE2A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基本规格:320–350mm(±5mm)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旋转升降圆凳（无靠背/有靠背均可）</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升降高度：450–600 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座面直径：Φ320–350 mm(±10mm)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材质结构</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座面：高密度海绵+耐磨PU皮革</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气杆：防爆气压升降杆</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底盘：铝合金/钢制底盘</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脚轮：静音PU脚轮</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3</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性能参数</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升降方式：气压升降</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旋转：360°自由旋转</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单台承重：≥120 kg</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整体：无尖锐边角，结构牢固无松动</w:t>
            </w:r>
          </w:p>
        </w:tc>
        <w:tc>
          <w:tcPr>
            <w:tcW w:w="1008" w:type="dxa"/>
            <w:noWrap/>
            <w:vAlign w:val="center"/>
          </w:tcPr>
          <w:p w14:paraId="4A114092">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12张</w:t>
            </w:r>
          </w:p>
        </w:tc>
      </w:tr>
      <w:tr w14:paraId="75EE8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4BEADB50">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16</w:t>
            </w:r>
          </w:p>
        </w:tc>
        <w:tc>
          <w:tcPr>
            <w:tcW w:w="1170" w:type="dxa"/>
            <w:noWrap/>
            <w:vAlign w:val="center"/>
          </w:tcPr>
          <w:p w14:paraId="7EA00287">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四人连排椅</w:t>
            </w:r>
          </w:p>
        </w:tc>
        <w:tc>
          <w:tcPr>
            <w:tcW w:w="6627" w:type="dxa"/>
            <w:noWrap/>
            <w:vAlign w:val="center"/>
          </w:tcPr>
          <w:p w14:paraId="600350C8">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1</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基本规格22</w:t>
            </w:r>
            <w:r>
              <w:rPr>
                <w:rFonts w:hint="eastAsia" w:ascii="宋体" w:hAnsi="宋体" w:eastAsia="宋体" w:cs="宋体"/>
                <w:color w:val="auto"/>
                <w:kern w:val="0"/>
                <w:sz w:val="24"/>
                <w:szCs w:val="24"/>
                <w:highlight w:val="none"/>
              </w:rPr>
              <w:t>00*620*800mm（±5mm）</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 规格：四座联排</w:t>
            </w:r>
            <w:r>
              <w:rPr>
                <w:rFonts w:hint="eastAsia" w:ascii="宋体" w:hAnsi="宋体" w:eastAsia="宋体" w:cs="宋体"/>
                <w:color w:val="auto"/>
                <w:kern w:val="0"/>
                <w:sz w:val="24"/>
                <w:szCs w:val="24"/>
                <w:highlight w:val="none"/>
              </w:rPr>
              <w:br w:type="textWrapping"/>
            </w:r>
            <w:r>
              <w:rPr>
                <w:rFonts w:hint="eastAsia" w:ascii="宋体" w:hAnsi="宋体" w:eastAsia="宋体" w:cs="宋体"/>
                <w:color w:val="auto"/>
                <w:kern w:val="0"/>
                <w:sz w:val="24"/>
                <w:szCs w:val="24"/>
                <w:highlight w:val="none"/>
              </w:rPr>
              <w:t>- 外形尺寸：约 长 2200 × 宽</w:t>
            </w:r>
            <w:r>
              <w:rPr>
                <w:rFonts w:hint="eastAsia" w:ascii="宋体" w:hAnsi="宋体" w:eastAsia="宋体" w:cs="宋体"/>
                <w:color w:val="000000"/>
                <w:kern w:val="0"/>
                <w:sz w:val="24"/>
                <w:szCs w:val="24"/>
                <w:highlight w:val="none"/>
              </w:rPr>
              <w:t xml:space="preserve"> 620 × 高 800 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座高：420–450 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座深：400–450 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2</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 xml:space="preserve">材质结构 </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框架：优质冷轧钢管/方管，壁厚≥1.2 mm，焊接牢固</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表面处理：静电喷塑/烤漆，防锈、耐磨、易清洁</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座面/靠背：优质冷轧钢板冲孔，透气防滑</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扶手：钢制或ABS工程塑料，圆角无毛刺</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3</w:t>
            </w:r>
            <w:r>
              <w:rPr>
                <w:rFonts w:hint="eastAsia" w:ascii="宋体" w:hAnsi="宋体" w:eastAsia="宋体" w:cs="宋体"/>
                <w:color w:val="000000"/>
                <w:kern w:val="0"/>
                <w:sz w:val="24"/>
                <w:szCs w:val="24"/>
                <w:highlight w:val="none"/>
                <w:lang w:eastAsia="zh-CN"/>
              </w:rPr>
              <w:t>、</w:t>
            </w:r>
            <w:r>
              <w:rPr>
                <w:rFonts w:hint="eastAsia" w:ascii="宋体" w:hAnsi="宋体" w:eastAsia="宋体" w:cs="宋体"/>
                <w:color w:val="000000"/>
                <w:kern w:val="0"/>
                <w:sz w:val="24"/>
                <w:szCs w:val="24"/>
                <w:highlight w:val="none"/>
              </w:rPr>
              <w:t>承重与稳定性</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单座承重：≥150 kg</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整体稳固，无晃动、无异响</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xml:space="preserve">- 底部配防滑脚垫，防刮地面、静音 </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4.医用适用特点</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整体圆角设计，无尖锐边角</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表面易擦拭、耐消毒，符合院感要求</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 结构简洁，无卫生死角</w:t>
            </w:r>
          </w:p>
        </w:tc>
        <w:tc>
          <w:tcPr>
            <w:tcW w:w="1008" w:type="dxa"/>
            <w:noWrap/>
            <w:vAlign w:val="center"/>
          </w:tcPr>
          <w:p w14:paraId="790A42F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4张</w:t>
            </w:r>
          </w:p>
        </w:tc>
      </w:tr>
      <w:tr w14:paraId="05D91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826" w:type="dxa"/>
            <w:noWrap/>
            <w:vAlign w:val="center"/>
          </w:tcPr>
          <w:p w14:paraId="5381389C">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17</w:t>
            </w:r>
          </w:p>
        </w:tc>
        <w:tc>
          <w:tcPr>
            <w:tcW w:w="1170" w:type="dxa"/>
            <w:noWrap/>
            <w:vAlign w:val="center"/>
          </w:tcPr>
          <w:p w14:paraId="0B592636">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文件柜</w:t>
            </w:r>
          </w:p>
        </w:tc>
        <w:tc>
          <w:tcPr>
            <w:tcW w:w="6627" w:type="dxa"/>
            <w:noWrap/>
            <w:vAlign w:val="center"/>
          </w:tcPr>
          <w:p w14:paraId="08984A4C">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规格:860*390*1850mm(±5mm)</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1、采用加厚0.8㎜优质金属冷轧钢板制作，明挂锁、铝合金拉手，表面经酸洗、磷化、金属表面粉末涂料等十几道工序而成；</w:t>
            </w:r>
            <w:r>
              <w:rPr>
                <w:rFonts w:hint="eastAsia" w:ascii="宋体" w:hAnsi="宋体" w:eastAsia="宋体" w:cs="宋体"/>
                <w:color w:val="000000"/>
                <w:kern w:val="0"/>
                <w:sz w:val="24"/>
                <w:szCs w:val="24"/>
                <w:highlight w:val="none"/>
              </w:rPr>
              <w:br w:type="textWrapping"/>
            </w:r>
            <w:r>
              <w:rPr>
                <w:rFonts w:hint="eastAsia" w:ascii="宋体" w:hAnsi="宋体" w:eastAsia="宋体" w:cs="宋体"/>
                <w:color w:val="000000"/>
                <w:kern w:val="0"/>
                <w:sz w:val="24"/>
                <w:szCs w:val="24"/>
                <w:highlight w:val="none"/>
              </w:rPr>
              <w:t>2、工艺：机械化模压成型，经酸洗磷化，九工位前处理，采用优质环氧聚酯喷塑而成，经久耐用不褪色。</w:t>
            </w:r>
          </w:p>
          <w:p w14:paraId="768F3C41">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kern w:val="0"/>
                <w:sz w:val="24"/>
                <w:szCs w:val="24"/>
                <w:highlight w:val="none"/>
                <w:lang w:eastAsia="zh-CN"/>
              </w:rPr>
            </w:pPr>
            <w:r>
              <w:rPr>
                <w:rFonts w:hint="eastAsia" w:ascii="宋体" w:hAnsi="宋体" w:eastAsia="宋体" w:cs="宋体"/>
                <w:kern w:val="0"/>
                <w:sz w:val="24"/>
                <w:szCs w:val="24"/>
                <w:highlight w:val="none"/>
              </w:rPr>
              <w:t>3、为保证产品质量“金属冷轧钢板”须符合国家标准：GB/T3325-2024</w:t>
            </w:r>
            <w:r>
              <w:rPr>
                <w:rFonts w:hint="eastAsia" w:ascii="宋体" w:hAnsi="宋体" w:eastAsia="宋体" w:cs="宋体"/>
                <w:kern w:val="0"/>
                <w:sz w:val="24"/>
                <w:szCs w:val="24"/>
                <w:highlight w:val="none"/>
                <w:lang w:eastAsia="zh-CN"/>
              </w:rPr>
              <w:t>、QB/T 3832-1999、QB/T 3827-1999、QB/T 3828-1999、QB/T 3826-1999、GB/T228.1-2021、</w:t>
            </w:r>
            <w:r>
              <w:rPr>
                <w:rFonts w:hint="eastAsia" w:ascii="宋体" w:hAnsi="宋体" w:eastAsia="宋体" w:cs="宋体"/>
                <w:kern w:val="0"/>
                <w:sz w:val="24"/>
                <w:szCs w:val="24"/>
                <w:highlight w:val="none"/>
                <w:lang w:val="en-US" w:eastAsia="zh-CN"/>
              </w:rPr>
              <w:t>GB/T21143-2025</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检验检测项目包含而不限于：</w:t>
            </w:r>
            <w:r>
              <w:rPr>
                <w:rFonts w:hint="eastAsia" w:ascii="宋体" w:hAnsi="宋体" w:eastAsia="宋体" w:cs="宋体"/>
                <w:kern w:val="0"/>
                <w:sz w:val="24"/>
                <w:szCs w:val="24"/>
                <w:highlight w:val="none"/>
                <w:lang w:eastAsia="zh-CN"/>
              </w:rPr>
              <w:t>①</w:t>
            </w:r>
            <w:r>
              <w:rPr>
                <w:rFonts w:hint="eastAsia" w:ascii="宋体" w:hAnsi="宋体" w:eastAsia="宋体" w:cs="宋体"/>
                <w:kern w:val="0"/>
                <w:sz w:val="24"/>
                <w:szCs w:val="24"/>
                <w:highlight w:val="none"/>
              </w:rPr>
              <w:t>金属喷漆（塑）涂层：硬度</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铅笔硬度H,应无塑性变形和/或内聚破坏</w:t>
            </w:r>
            <w:r>
              <w:rPr>
                <w:rFonts w:hint="eastAsia" w:ascii="宋体" w:hAnsi="宋体" w:eastAsia="宋体" w:cs="宋体"/>
                <w:kern w:val="0"/>
                <w:sz w:val="24"/>
                <w:szCs w:val="24"/>
                <w:highlight w:val="none"/>
                <w:lang w:eastAsia="zh-CN"/>
              </w:rPr>
              <w:t>；</w:t>
            </w:r>
            <w:r>
              <w:rPr>
                <w:rFonts w:hint="eastAsia" w:ascii="宋体" w:hAnsi="宋体" w:eastAsia="宋体" w:cs="宋体"/>
                <w:kern w:val="0"/>
                <w:sz w:val="24"/>
                <w:szCs w:val="24"/>
                <w:highlight w:val="none"/>
              </w:rPr>
              <w:t>耐盐浴</w:t>
            </w:r>
            <w:r>
              <w:rPr>
                <w:rFonts w:hint="eastAsia" w:ascii="宋体" w:hAnsi="宋体" w:eastAsia="宋体" w:cs="宋体"/>
                <w:kern w:val="0"/>
                <w:sz w:val="24"/>
                <w:szCs w:val="24"/>
                <w:highlight w:val="none"/>
                <w:lang w:eastAsia="zh-CN"/>
              </w:rPr>
              <w:t>：划道两侧3mm外,应无鼓泡、锈蚀、剥落和起皱等现象；</w:t>
            </w:r>
            <w:r>
              <w:rPr>
                <w:rFonts w:hint="eastAsia" w:ascii="宋体" w:hAnsi="宋体" w:eastAsia="宋体" w:cs="宋体"/>
                <w:kern w:val="0"/>
                <w:sz w:val="24"/>
                <w:szCs w:val="24"/>
                <w:highlight w:val="none"/>
                <w:lang w:val="en-US" w:eastAsia="zh-CN"/>
              </w:rPr>
              <w:t>附着力</w:t>
            </w:r>
            <w:r>
              <w:rPr>
                <w:rFonts w:hint="eastAsia" w:ascii="宋体" w:hAnsi="宋体" w:eastAsia="宋体" w:cs="宋体"/>
                <w:kern w:val="0"/>
                <w:sz w:val="24"/>
                <w:szCs w:val="24"/>
                <w:highlight w:val="none"/>
                <w:lang w:eastAsia="zh-CN"/>
              </w:rPr>
              <w:t>：优于2级；</w:t>
            </w:r>
            <w:r>
              <w:rPr>
                <w:rFonts w:hint="eastAsia" w:ascii="宋体" w:hAnsi="宋体" w:eastAsia="宋体" w:cs="宋体"/>
                <w:kern w:val="0"/>
                <w:sz w:val="24"/>
                <w:szCs w:val="24"/>
                <w:highlight w:val="none"/>
              </w:rPr>
              <w:t>冲击强度</w:t>
            </w:r>
            <w:r>
              <w:rPr>
                <w:rFonts w:hint="eastAsia" w:ascii="宋体" w:hAnsi="宋体" w:eastAsia="宋体" w:cs="宋体"/>
                <w:kern w:val="0"/>
                <w:sz w:val="24"/>
                <w:szCs w:val="24"/>
                <w:highlight w:val="none"/>
                <w:lang w:eastAsia="zh-CN"/>
              </w:rPr>
              <w:t>：冲击高度400mm，应无剥落、裂纹、皱纹；</w:t>
            </w:r>
            <w:r>
              <w:rPr>
                <w:rFonts w:hint="eastAsia" w:ascii="宋体" w:hAnsi="宋体" w:eastAsia="宋体" w:cs="宋体"/>
                <w:kern w:val="0"/>
                <w:sz w:val="24"/>
                <w:szCs w:val="24"/>
                <w:highlight w:val="none"/>
                <w:lang w:val="en-US" w:eastAsia="zh-CN"/>
              </w:rPr>
              <w:t>②</w:t>
            </w:r>
            <w:r>
              <w:rPr>
                <w:rFonts w:hint="eastAsia" w:ascii="宋体" w:hAnsi="宋体" w:eastAsia="宋体" w:cs="宋体"/>
                <w:kern w:val="0"/>
                <w:sz w:val="24"/>
                <w:szCs w:val="24"/>
                <w:highlight w:val="none"/>
                <w:lang w:eastAsia="zh-CN"/>
              </w:rPr>
              <w:t>中性盐雾试验(NSS)24h：涂（镀）层对基体的保护等级10级，涂（镀）层本身耐腐蚀等级10级；</w:t>
            </w:r>
            <w:r>
              <w:rPr>
                <w:rFonts w:hint="eastAsia" w:ascii="宋体" w:hAnsi="宋体" w:eastAsia="宋体" w:cs="宋体"/>
                <w:kern w:val="0"/>
                <w:sz w:val="24"/>
                <w:szCs w:val="24"/>
                <w:highlight w:val="none"/>
                <w:lang w:val="en-US" w:eastAsia="zh-CN"/>
              </w:rPr>
              <w:t>③</w:t>
            </w:r>
            <w:r>
              <w:rPr>
                <w:rFonts w:hint="eastAsia" w:ascii="宋体" w:hAnsi="宋体" w:eastAsia="宋体" w:cs="宋体"/>
                <w:kern w:val="0"/>
                <w:sz w:val="24"/>
                <w:szCs w:val="24"/>
                <w:highlight w:val="none"/>
                <w:lang w:eastAsia="zh-CN"/>
              </w:rPr>
              <w:t>乙酸盐雾试验(ASS)24h：涂（镀）层对基体的保护等级10级，涂（镀）层本身耐腐蚀等级10级；</w:t>
            </w:r>
            <w:r>
              <w:rPr>
                <w:rFonts w:hint="eastAsia" w:ascii="宋体" w:hAnsi="宋体" w:eastAsia="宋体" w:cs="宋体"/>
                <w:kern w:val="0"/>
                <w:sz w:val="24"/>
                <w:szCs w:val="24"/>
                <w:highlight w:val="none"/>
                <w:lang w:val="en-US" w:eastAsia="zh-CN"/>
              </w:rPr>
              <w:t>④</w:t>
            </w:r>
            <w:r>
              <w:rPr>
                <w:rFonts w:hint="eastAsia" w:ascii="宋体" w:hAnsi="宋体" w:eastAsia="宋体" w:cs="宋体"/>
                <w:kern w:val="0"/>
                <w:sz w:val="24"/>
                <w:szCs w:val="24"/>
                <w:highlight w:val="none"/>
                <w:lang w:eastAsia="zh-CN"/>
              </w:rPr>
              <w:t>铜盐加速乙酸盐雾（CASS)24h：涂（镀）层对基体的保护等级10级，涂（镀）层本身耐腐蚀等级10级；</w:t>
            </w:r>
            <w:r>
              <w:rPr>
                <w:rFonts w:hint="eastAsia" w:ascii="宋体" w:hAnsi="宋体" w:eastAsia="宋体" w:cs="宋体"/>
                <w:kern w:val="0"/>
                <w:sz w:val="24"/>
                <w:szCs w:val="24"/>
                <w:highlight w:val="none"/>
                <w:lang w:val="en-US" w:eastAsia="zh-CN"/>
              </w:rPr>
              <w:t>⑤</w:t>
            </w:r>
            <w:r>
              <w:rPr>
                <w:rFonts w:hint="eastAsia" w:ascii="宋体" w:hAnsi="宋体" w:eastAsia="宋体" w:cs="宋体"/>
                <w:kern w:val="0"/>
                <w:sz w:val="24"/>
                <w:szCs w:val="24"/>
                <w:highlight w:val="none"/>
                <w:lang w:eastAsia="zh-CN"/>
              </w:rPr>
              <w:t>下屈服强度：≥235MPa抗拉强度：370-500MPa断后伸长率：≥25%；</w:t>
            </w:r>
            <w:r>
              <w:rPr>
                <w:rFonts w:hint="eastAsia" w:ascii="宋体" w:hAnsi="宋体" w:eastAsia="宋体" w:cs="宋体"/>
                <w:kern w:val="0"/>
                <w:sz w:val="24"/>
                <w:szCs w:val="24"/>
                <w:highlight w:val="none"/>
                <w:lang w:val="en-US" w:eastAsia="zh-CN"/>
              </w:rPr>
              <w:t>⑥</w:t>
            </w:r>
            <w:r>
              <w:rPr>
                <w:rFonts w:hint="eastAsia" w:ascii="宋体" w:hAnsi="宋体" w:eastAsia="宋体" w:cs="宋体"/>
                <w:kern w:val="0"/>
                <w:sz w:val="24"/>
                <w:szCs w:val="24"/>
                <w:highlight w:val="none"/>
                <w:lang w:eastAsia="zh-CN"/>
              </w:rPr>
              <w:t>裂纹尖端张开位移≥</w:t>
            </w:r>
            <w:r>
              <w:rPr>
                <w:rFonts w:hint="eastAsia" w:ascii="宋体" w:hAnsi="宋体" w:eastAsia="宋体" w:cs="宋体"/>
                <w:kern w:val="0"/>
                <w:sz w:val="24"/>
                <w:szCs w:val="24"/>
                <w:highlight w:val="none"/>
                <w:lang w:val="en-US" w:eastAsia="zh-CN"/>
              </w:rPr>
              <w:t>0.25mm</w:t>
            </w:r>
            <w:r>
              <w:rPr>
                <w:rFonts w:hint="eastAsia" w:ascii="宋体" w:hAnsi="宋体" w:eastAsia="宋体" w:cs="宋体"/>
                <w:kern w:val="0"/>
                <w:sz w:val="24"/>
                <w:szCs w:val="24"/>
                <w:highlight w:val="none"/>
                <w:lang w:eastAsia="zh-CN"/>
              </w:rPr>
              <w:t>。</w:t>
            </w:r>
          </w:p>
          <w:p w14:paraId="21A55A1E">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b/>
                <w:bCs/>
                <w:color w:val="000000"/>
                <w:kern w:val="0"/>
                <w:sz w:val="24"/>
                <w:szCs w:val="24"/>
                <w:highlight w:val="none"/>
                <w:lang w:eastAsia="zh-CN"/>
              </w:rPr>
            </w:pPr>
            <w:r>
              <w:rPr>
                <w:rFonts w:hint="eastAsia" w:ascii="宋体" w:hAnsi="宋体" w:eastAsia="宋体" w:cs="宋体"/>
                <w:b/>
                <w:bCs/>
                <w:color w:val="000000"/>
                <w:kern w:val="0"/>
                <w:sz w:val="24"/>
                <w:szCs w:val="24"/>
                <w:highlight w:val="none"/>
                <w:lang w:eastAsia="zh-CN"/>
              </w:rPr>
              <w:t>(响应文件需提供第三方检测机构出具的检测报告扫描件佐证)</w:t>
            </w:r>
          </w:p>
          <w:p w14:paraId="15D086C3">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rPr>
              <w:t>4、为保证产品质量“金属表面粉末涂料”须符合国家标准：</w:t>
            </w:r>
            <w:r>
              <w:rPr>
                <w:rFonts w:hint="eastAsia" w:ascii="宋体" w:hAnsi="宋体" w:eastAsia="宋体" w:cs="宋体"/>
                <w:color w:val="000000"/>
                <w:kern w:val="0"/>
                <w:sz w:val="24"/>
                <w:szCs w:val="24"/>
                <w:highlight w:val="none"/>
                <w:lang w:eastAsia="zh-CN"/>
              </w:rPr>
              <w:t>HG/T2006-2022、YS/T680-2023。检验检测项目包含而不限于：①外观：色泽均匀、无异物、呈松散粉末状；</w:t>
            </w:r>
          </w:p>
          <w:p w14:paraId="1A6FB71F">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②</w:t>
            </w:r>
            <w:r>
              <w:rPr>
                <w:rFonts w:hint="eastAsia" w:ascii="宋体" w:hAnsi="宋体" w:eastAsia="宋体" w:cs="宋体"/>
                <w:color w:val="000000"/>
                <w:kern w:val="0"/>
                <w:sz w:val="24"/>
                <w:szCs w:val="24"/>
                <w:highlight w:val="none"/>
                <w:lang w:eastAsia="zh-CN"/>
              </w:rPr>
              <w:t>附着力（干附着力）：≤1级；附着力（湿附着力）：≤1级；（沸水附着力）：≤1级；③粉末沉积效率：≥30%</w:t>
            </w:r>
          </w:p>
          <w:p w14:paraId="0ADFF02D">
            <w:pPr>
              <w:keepNext w:val="0"/>
              <w:keepLines w:val="0"/>
              <w:pageBreakBefore w:val="0"/>
              <w:widowControl/>
              <w:wordWrap/>
              <w:overflowPunct/>
              <w:topLinePunct w:val="0"/>
              <w:bidi w:val="0"/>
              <w:spacing w:line="360" w:lineRule="auto"/>
              <w:jc w:val="left"/>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lang w:eastAsia="zh-CN"/>
              </w:rPr>
              <w:t>④遮盖力：&gt;40µm</w:t>
            </w:r>
            <w:r>
              <w:rPr>
                <w:rFonts w:hint="eastAsia" w:ascii="宋体" w:hAnsi="宋体" w:eastAsia="宋体" w:cs="宋体"/>
                <w:b/>
                <w:bCs/>
                <w:color w:val="000000"/>
                <w:kern w:val="0"/>
                <w:sz w:val="24"/>
                <w:szCs w:val="24"/>
                <w:highlight w:val="none"/>
                <w:lang w:eastAsia="zh-CN"/>
              </w:rPr>
              <w:t>(</w:t>
            </w:r>
            <w:r>
              <w:rPr>
                <w:rFonts w:hint="eastAsia" w:ascii="宋体" w:hAnsi="宋体" w:eastAsia="宋体" w:cs="宋体"/>
                <w:b/>
                <w:bCs/>
                <w:kern w:val="0"/>
                <w:sz w:val="24"/>
                <w:szCs w:val="24"/>
                <w:highlight w:val="none"/>
              </w:rPr>
              <w:t>响应文件需提供第三方检测机构出具的检测报告扫描件佐证)</w:t>
            </w:r>
          </w:p>
        </w:tc>
        <w:tc>
          <w:tcPr>
            <w:tcW w:w="1008" w:type="dxa"/>
            <w:noWrap/>
            <w:vAlign w:val="center"/>
          </w:tcPr>
          <w:p w14:paraId="673AD8CF">
            <w:pPr>
              <w:keepNext w:val="0"/>
              <w:keepLines w:val="0"/>
              <w:pageBreakBefore w:val="0"/>
              <w:widowControl/>
              <w:wordWrap/>
              <w:overflowPunct/>
              <w:topLinePunct w:val="0"/>
              <w:bidi w:val="0"/>
              <w:spacing w:line="360" w:lineRule="auto"/>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kern w:val="0"/>
                <w:sz w:val="24"/>
                <w:szCs w:val="24"/>
                <w:highlight w:val="none"/>
              </w:rPr>
              <w:t>50套</w:t>
            </w:r>
          </w:p>
        </w:tc>
      </w:tr>
    </w:tbl>
    <w:p w14:paraId="096BE706">
      <w:pPr>
        <w:keepNext w:val="0"/>
        <w:keepLines w:val="0"/>
        <w:pageBreakBefore w:val="0"/>
        <w:widowControl w:val="0"/>
        <w:wordWrap/>
        <w:overflowPunct/>
        <w:topLinePunct w:val="0"/>
        <w:bidi w:val="0"/>
        <w:snapToGrid/>
        <w:spacing w:line="360" w:lineRule="auto"/>
        <w:outlineLvl w:val="2"/>
        <w:rPr>
          <w:rFonts w:hint="default" w:ascii="宋体" w:hAnsi="宋体" w:eastAsia="宋体" w:cs="宋体"/>
          <w:b/>
          <w:bCs/>
          <w:color w:val="0000FF"/>
          <w:sz w:val="24"/>
          <w:szCs w:val="24"/>
          <w:highlight w:val="none"/>
          <w:lang w:val="en-US" w:eastAsia="zh-CN"/>
        </w:rPr>
      </w:pPr>
      <w:r>
        <w:rPr>
          <w:rFonts w:hint="eastAsia" w:ascii="宋体" w:hAnsi="宋体" w:eastAsia="宋体" w:cs="宋体"/>
          <w:b/>
          <w:bCs/>
          <w:color w:val="0000FF"/>
          <w:sz w:val="24"/>
          <w:szCs w:val="24"/>
          <w:highlight w:val="none"/>
          <w:lang w:val="en-US" w:eastAsia="zh-CN"/>
        </w:rPr>
        <w:t>注：</w:t>
      </w:r>
      <w:r>
        <w:rPr>
          <w:rFonts w:hint="eastAsia" w:ascii="宋体" w:hAnsi="宋体" w:eastAsia="宋体" w:cs="宋体"/>
          <w:b/>
          <w:bCs/>
          <w:color w:val="0000FF"/>
          <w:kern w:val="0"/>
          <w:sz w:val="24"/>
          <w:szCs w:val="24"/>
          <w:highlight w:val="none"/>
        </w:rPr>
        <w:t>便携式计算机</w:t>
      </w:r>
      <w:r>
        <w:rPr>
          <w:rFonts w:hint="eastAsia" w:ascii="宋体" w:hAnsi="宋体" w:eastAsia="宋体" w:cs="宋体"/>
          <w:b/>
          <w:bCs/>
          <w:color w:val="0000FF"/>
          <w:kern w:val="0"/>
          <w:sz w:val="24"/>
          <w:szCs w:val="24"/>
          <w:highlight w:val="none"/>
          <w:lang w:eastAsia="zh-CN"/>
        </w:rPr>
        <w:t>、</w:t>
      </w:r>
      <w:r>
        <w:rPr>
          <w:rFonts w:hint="eastAsia" w:ascii="宋体" w:hAnsi="宋体" w:eastAsia="宋体" w:cs="宋体"/>
          <w:b/>
          <w:bCs/>
          <w:color w:val="0000FF"/>
          <w:kern w:val="0"/>
          <w:sz w:val="24"/>
          <w:szCs w:val="24"/>
          <w:highlight w:val="none"/>
        </w:rPr>
        <w:t>台式计算机</w:t>
      </w:r>
      <w:r>
        <w:rPr>
          <w:rFonts w:hint="eastAsia" w:ascii="宋体" w:hAnsi="宋体" w:eastAsia="宋体" w:cs="宋体"/>
          <w:b/>
          <w:bCs/>
          <w:color w:val="0000FF"/>
          <w:kern w:val="0"/>
          <w:sz w:val="24"/>
          <w:szCs w:val="24"/>
          <w:highlight w:val="none"/>
          <w:lang w:eastAsia="zh-CN"/>
        </w:rPr>
        <w:t>、</w:t>
      </w:r>
      <w:r>
        <w:rPr>
          <w:rFonts w:hint="eastAsia" w:ascii="宋体" w:hAnsi="宋体" w:eastAsia="宋体" w:cs="宋体"/>
          <w:b/>
          <w:bCs/>
          <w:color w:val="0000FF"/>
          <w:kern w:val="0"/>
          <w:sz w:val="24"/>
          <w:szCs w:val="24"/>
          <w:highlight w:val="none"/>
          <w:lang w:val="en-US" w:eastAsia="zh-CN"/>
        </w:rPr>
        <w:t>显示器、</w:t>
      </w:r>
      <w:r>
        <w:rPr>
          <w:rFonts w:hint="eastAsia" w:ascii="宋体" w:hAnsi="宋体" w:eastAsia="宋体" w:cs="宋体"/>
          <w:b/>
          <w:bCs/>
          <w:color w:val="0000FF"/>
          <w:kern w:val="0"/>
          <w:sz w:val="24"/>
          <w:szCs w:val="24"/>
          <w:highlight w:val="none"/>
        </w:rPr>
        <w:t>多功能一体机</w:t>
      </w:r>
      <w:r>
        <w:rPr>
          <w:rFonts w:hint="eastAsia" w:ascii="宋体" w:hAnsi="宋体" w:eastAsia="宋体" w:cs="宋体"/>
          <w:b/>
          <w:bCs/>
          <w:color w:val="0000FF"/>
          <w:kern w:val="0"/>
          <w:sz w:val="24"/>
          <w:szCs w:val="24"/>
          <w:highlight w:val="none"/>
          <w:lang w:val="en-US" w:eastAsia="zh-CN"/>
        </w:rPr>
        <w:t>等属于强制节能产品，投标文件中须提供有效期内的节能认证证书扫描件，否则投标无效。</w:t>
      </w:r>
    </w:p>
    <w:p w14:paraId="61FBBC73">
      <w:pPr>
        <w:keepNext w:val="0"/>
        <w:keepLines w:val="0"/>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highlight w:val="none"/>
          <w:lang w:eastAsia="zh-CN"/>
        </w:rPr>
      </w:pPr>
    </w:p>
    <w:p w14:paraId="246B706D">
      <w:pPr>
        <w:keepNext w:val="0"/>
        <w:keepLines w:val="0"/>
        <w:pageBreakBefore w:val="0"/>
        <w:widowControl w:val="0"/>
        <w:wordWrap/>
        <w:overflowPunct/>
        <w:topLinePunct w:val="0"/>
        <w:bidi w:val="0"/>
        <w:snapToGrid/>
        <w:spacing w:line="360" w:lineRule="auto"/>
        <w:outlineLvl w:val="2"/>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（二）商务条件</w:t>
      </w:r>
      <w:bookmarkEnd w:id="173"/>
      <w:bookmarkEnd w:id="174"/>
    </w:p>
    <w:tbl>
      <w:tblPr>
        <w:tblStyle w:val="19"/>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656"/>
        <w:gridCol w:w="6422"/>
      </w:tblGrid>
      <w:tr w14:paraId="6A9F4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B205497">
            <w:pPr>
              <w:keepNext w:val="0"/>
              <w:keepLines w:val="0"/>
              <w:pageBreakBefore w:val="0"/>
              <w:widowControl w:val="0"/>
              <w:wordWrap/>
              <w:overflowPunct/>
              <w:topLinePunct w:val="0"/>
              <w:bidi w:val="0"/>
              <w:snapToGrid/>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序号</w:t>
            </w:r>
          </w:p>
        </w:tc>
        <w:tc>
          <w:tcPr>
            <w:tcW w:w="1656" w:type="dxa"/>
            <w:vAlign w:val="center"/>
          </w:tcPr>
          <w:p w14:paraId="07C3E902">
            <w:pPr>
              <w:keepNext w:val="0"/>
              <w:keepLines w:val="0"/>
              <w:pageBreakBefore w:val="0"/>
              <w:widowControl w:val="0"/>
              <w:wordWrap/>
              <w:overflowPunct/>
              <w:topLinePunct w:val="0"/>
              <w:bidi w:val="0"/>
              <w:snapToGrid/>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条款名称</w:t>
            </w:r>
          </w:p>
        </w:tc>
        <w:tc>
          <w:tcPr>
            <w:tcW w:w="6422" w:type="dxa"/>
            <w:vAlign w:val="center"/>
          </w:tcPr>
          <w:p w14:paraId="0C312D17">
            <w:pPr>
              <w:keepNext w:val="0"/>
              <w:keepLines w:val="0"/>
              <w:pageBreakBefore w:val="0"/>
              <w:widowControl w:val="0"/>
              <w:wordWrap/>
              <w:overflowPunct/>
              <w:topLinePunct w:val="0"/>
              <w:bidi w:val="0"/>
              <w:snapToGrid/>
              <w:spacing w:line="360" w:lineRule="auto"/>
              <w:jc w:val="center"/>
              <w:rPr>
                <w:rFonts w:hint="eastAsia" w:ascii="宋体" w:hAnsi="宋体" w:eastAsia="宋体" w:cs="宋体"/>
                <w:b/>
                <w:sz w:val="24"/>
                <w:szCs w:val="24"/>
                <w:highlight w:val="none"/>
              </w:rPr>
            </w:pPr>
            <w:r>
              <w:rPr>
                <w:rFonts w:hint="eastAsia" w:ascii="宋体" w:hAnsi="宋体" w:eastAsia="宋体" w:cs="宋体"/>
                <w:b/>
                <w:sz w:val="24"/>
                <w:szCs w:val="24"/>
                <w:highlight w:val="none"/>
              </w:rPr>
              <w:t>需求说明</w:t>
            </w:r>
          </w:p>
        </w:tc>
      </w:tr>
      <w:tr w14:paraId="7B7D7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5704D59">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656" w:type="dxa"/>
            <w:vAlign w:val="center"/>
          </w:tcPr>
          <w:p w14:paraId="5D1A0609">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交付时间</w:t>
            </w:r>
          </w:p>
          <w:p w14:paraId="39208052">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（期限）</w:t>
            </w:r>
          </w:p>
        </w:tc>
        <w:tc>
          <w:tcPr>
            <w:tcW w:w="6422" w:type="dxa"/>
            <w:vAlign w:val="center"/>
          </w:tcPr>
          <w:p w14:paraId="68F8B75D">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auto"/>
                <w:spacing w:val="-3"/>
                <w:sz w:val="24"/>
                <w:szCs w:val="24"/>
                <w:highlight w:val="none"/>
              </w:rPr>
            </w:pPr>
            <w:r>
              <w:rPr>
                <w:rFonts w:hint="eastAsia" w:ascii="宋体" w:hAnsi="宋体" w:eastAsia="宋体" w:cs="宋体"/>
                <w:color w:val="auto"/>
                <w:sz w:val="24"/>
                <w:szCs w:val="24"/>
                <w:highlight w:val="none"/>
              </w:rPr>
              <w:t>合同签订后</w:t>
            </w:r>
            <w:r>
              <w:rPr>
                <w:rFonts w:hint="eastAsia" w:ascii="宋体" w:hAnsi="宋体" w:eastAsia="宋体" w:cs="宋体"/>
                <w:color w:val="auto"/>
                <w:sz w:val="24"/>
                <w:szCs w:val="24"/>
                <w:highlight w:val="none"/>
                <w:lang w:val="en-US" w:eastAsia="zh-CN"/>
              </w:rPr>
              <w:t>30</w:t>
            </w:r>
            <w:r>
              <w:rPr>
                <w:rFonts w:hint="eastAsia" w:ascii="宋体" w:hAnsi="宋体" w:eastAsia="宋体" w:cs="宋体"/>
                <w:color w:val="auto"/>
                <w:sz w:val="24"/>
                <w:szCs w:val="24"/>
                <w:highlight w:val="none"/>
              </w:rPr>
              <w:t>日内。供应商应保证在要求时间内完成全部货物的供货、安装、调试和培训工作,符合国家标准、行业规范和合同等相关文件的要求。</w:t>
            </w:r>
          </w:p>
        </w:tc>
      </w:tr>
      <w:tr w14:paraId="1A749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4972CB98">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1656" w:type="dxa"/>
            <w:vAlign w:val="center"/>
          </w:tcPr>
          <w:p w14:paraId="3857D691">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交付地点</w:t>
            </w:r>
          </w:p>
          <w:p w14:paraId="7AF7450E">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（范围）</w:t>
            </w:r>
          </w:p>
        </w:tc>
        <w:tc>
          <w:tcPr>
            <w:tcW w:w="6422" w:type="dxa"/>
            <w:vAlign w:val="center"/>
          </w:tcPr>
          <w:p w14:paraId="19E942B2">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采购单位指定地点</w:t>
            </w:r>
          </w:p>
        </w:tc>
      </w:tr>
      <w:tr w14:paraId="61A5D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471F2B2">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1656" w:type="dxa"/>
            <w:vAlign w:val="center"/>
          </w:tcPr>
          <w:p w14:paraId="66B2284C">
            <w:pPr>
              <w:keepNext w:val="0"/>
              <w:keepLines w:val="0"/>
              <w:pageBreakBefore w:val="0"/>
              <w:widowControl w:val="0"/>
              <w:wordWrap/>
              <w:overflowPunct/>
              <w:topLinePunct w:val="0"/>
              <w:bidi w:val="0"/>
              <w:snapToGrid/>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付款条件</w:t>
            </w:r>
          </w:p>
          <w:p w14:paraId="2320AC36">
            <w:pPr>
              <w:keepNext w:val="0"/>
              <w:keepLines w:val="0"/>
              <w:pageBreakBefore w:val="0"/>
              <w:widowControl w:val="0"/>
              <w:wordWrap/>
              <w:overflowPunct/>
              <w:topLinePunct w:val="0"/>
              <w:bidi w:val="0"/>
              <w:snapToGrid/>
              <w:spacing w:line="360" w:lineRule="auto"/>
              <w:jc w:val="center"/>
              <w:rPr>
                <w:rFonts w:hint="eastAsia" w:ascii="宋体" w:hAnsi="宋体" w:eastAsia="宋体" w:cs="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（进度和方式）</w:t>
            </w:r>
          </w:p>
        </w:tc>
        <w:tc>
          <w:tcPr>
            <w:tcW w:w="6422" w:type="dxa"/>
            <w:vAlign w:val="center"/>
          </w:tcPr>
          <w:p w14:paraId="4BE8BB66">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货到</w:t>
            </w:r>
            <w:r>
              <w:rPr>
                <w:rFonts w:hint="eastAsia" w:ascii="宋体" w:hAnsi="宋体" w:eastAsia="宋体" w:cs="宋体"/>
                <w:sz w:val="24"/>
                <w:szCs w:val="24"/>
                <w:highlight w:val="none"/>
                <w:lang w:eastAsia="zh-CN"/>
              </w:rPr>
              <w:t>完成安装调试，通过</w:t>
            </w:r>
            <w:r>
              <w:rPr>
                <w:rFonts w:hint="eastAsia" w:ascii="宋体" w:hAnsi="宋体" w:eastAsia="宋体" w:cs="宋体"/>
                <w:sz w:val="24"/>
                <w:szCs w:val="24"/>
                <w:highlight w:val="none"/>
              </w:rPr>
              <w:t>验收后一个月内，中标(成交)供应商须开具合同价款同等金额增值税专用发票后，采购人向中标(成交)供应商支付合同金额的 100%。</w:t>
            </w:r>
          </w:p>
        </w:tc>
      </w:tr>
      <w:tr w14:paraId="73E49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trPr>
        <w:tc>
          <w:tcPr>
            <w:tcW w:w="819" w:type="dxa"/>
            <w:vAlign w:val="center"/>
          </w:tcPr>
          <w:p w14:paraId="2309F8C7">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4</w:t>
            </w:r>
          </w:p>
        </w:tc>
        <w:tc>
          <w:tcPr>
            <w:tcW w:w="1656" w:type="dxa"/>
            <w:vAlign w:val="center"/>
          </w:tcPr>
          <w:p w14:paraId="7B4D1A5E">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包装和运输</w:t>
            </w:r>
          </w:p>
        </w:tc>
        <w:tc>
          <w:tcPr>
            <w:tcW w:w="6422" w:type="dxa"/>
            <w:vAlign w:val="center"/>
          </w:tcPr>
          <w:p w14:paraId="769D4269">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符合国家标准、行业规范和合同等相关文件的要求。</w:t>
            </w:r>
          </w:p>
        </w:tc>
      </w:tr>
      <w:tr w14:paraId="54866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819" w:type="dxa"/>
            <w:vAlign w:val="center"/>
          </w:tcPr>
          <w:p w14:paraId="2ACA879F">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5</w:t>
            </w:r>
          </w:p>
        </w:tc>
        <w:tc>
          <w:tcPr>
            <w:tcW w:w="1656" w:type="dxa"/>
            <w:vAlign w:val="center"/>
          </w:tcPr>
          <w:p w14:paraId="1CFDC0B8">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安装调试</w:t>
            </w:r>
          </w:p>
        </w:tc>
        <w:tc>
          <w:tcPr>
            <w:tcW w:w="6422" w:type="dxa"/>
            <w:vAlign w:val="center"/>
          </w:tcPr>
          <w:p w14:paraId="0A56A1D5">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  符合国家标准、行业规范和合同等相关文件的要求。</w:t>
            </w:r>
          </w:p>
        </w:tc>
      </w:tr>
      <w:tr w14:paraId="2B7C8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754A0CD">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6</w:t>
            </w:r>
          </w:p>
        </w:tc>
        <w:tc>
          <w:tcPr>
            <w:tcW w:w="1656" w:type="dxa"/>
            <w:vAlign w:val="center"/>
          </w:tcPr>
          <w:p w14:paraId="7ACCBA30">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项目验收</w:t>
            </w:r>
          </w:p>
        </w:tc>
        <w:tc>
          <w:tcPr>
            <w:tcW w:w="6422" w:type="dxa"/>
            <w:vAlign w:val="center"/>
          </w:tcPr>
          <w:p w14:paraId="490E2DC9">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（1）验收时间：到货安装调试完毕，再按照《东华理工大学货物和服务类物资验收管理办法》要求一个月内进行验收。（2）验收标准：按照采购文件、投标文件以及合同要求进行。</w:t>
            </w:r>
          </w:p>
        </w:tc>
      </w:tr>
      <w:tr w14:paraId="55F75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05AD26DA">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7</w:t>
            </w:r>
          </w:p>
        </w:tc>
        <w:tc>
          <w:tcPr>
            <w:tcW w:w="1656" w:type="dxa"/>
            <w:vAlign w:val="center"/>
          </w:tcPr>
          <w:p w14:paraId="1A255962">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售后服务</w:t>
            </w:r>
          </w:p>
        </w:tc>
        <w:tc>
          <w:tcPr>
            <w:tcW w:w="6422" w:type="dxa"/>
            <w:vAlign w:val="center"/>
          </w:tcPr>
          <w:p w14:paraId="7B80050E">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auto"/>
                <w:sz w:val="24"/>
                <w:szCs w:val="24"/>
                <w:highlight w:val="none"/>
              </w:rPr>
            </w:pPr>
            <w:r>
              <w:rPr>
                <w:rFonts w:hint="eastAsia" w:ascii="宋体" w:hAnsi="宋体" w:eastAsia="宋体" w:cs="宋体"/>
                <w:sz w:val="24"/>
                <w:szCs w:val="24"/>
                <w:highlight w:val="none"/>
              </w:rPr>
              <w:t>1、中标（成交 ）供应商所售出产品，在验收合格后</w:t>
            </w:r>
            <w:r>
              <w:rPr>
                <w:rFonts w:hint="eastAsia" w:ascii="宋体" w:hAnsi="宋体" w:eastAsia="宋体" w:cs="宋体"/>
                <w:color w:val="auto"/>
                <w:sz w:val="24"/>
                <w:szCs w:val="24"/>
                <w:highlight w:val="none"/>
              </w:rPr>
              <w:t>提供</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年质保服务</w:t>
            </w:r>
            <w:r>
              <w:rPr>
                <w:rFonts w:hint="eastAsia" w:ascii="宋体" w:hAnsi="宋体" w:eastAsia="宋体" w:cs="宋体"/>
                <w:sz w:val="24"/>
                <w:szCs w:val="24"/>
                <w:highlight w:val="none"/>
              </w:rPr>
              <w:t>，质保期内中标（成交 ）供应</w:t>
            </w:r>
            <w:r>
              <w:rPr>
                <w:rFonts w:hint="eastAsia" w:ascii="宋体" w:hAnsi="宋体" w:eastAsia="宋体" w:cs="宋体"/>
                <w:color w:val="auto"/>
                <w:sz w:val="24"/>
                <w:szCs w:val="24"/>
                <w:highlight w:val="none"/>
              </w:rPr>
              <w:t>商免费提供硬件产品保修及软件产品维护升级服务，质保期自验收通过之日算起。</w:t>
            </w:r>
          </w:p>
          <w:p w14:paraId="05A244DA">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color w:val="auto"/>
                <w:sz w:val="24"/>
                <w:szCs w:val="24"/>
                <w:highlight w:val="none"/>
              </w:rPr>
              <w:t>2、质保期内，中标（成交 ）供应商应在收到采购人求助信息后工作日内响应并最晚</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工作日内完成服务并确保采购方硬件及软件产品恢复正常。质保期内，若中标（</w:t>
            </w:r>
            <w:r>
              <w:rPr>
                <w:rFonts w:hint="eastAsia" w:ascii="宋体" w:hAnsi="宋体" w:eastAsia="宋体" w:cs="宋体"/>
                <w:sz w:val="24"/>
                <w:szCs w:val="24"/>
                <w:highlight w:val="none"/>
              </w:rPr>
              <w:t>成交 ）供应商怠于履行前述保修义务的，采购人可另请其他方代为履行，由此产生的一切费用由中标（成交 ）供应商承担。由于采购人责任（需中标（成交 ）供应商提供专业鉴定报告举证）及不可抗力造成的故障不在免费维修范围之内。</w:t>
            </w:r>
          </w:p>
          <w:p w14:paraId="645B6251">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3、超出质保期范围后，中标（成交 ）供应商对所售出的产品提供有偿售后服务，服务价格及零配件价格不得高于市场价，具体价格由使用部门和中标（成交 ）供应商进行商议。</w:t>
            </w:r>
          </w:p>
          <w:p w14:paraId="57A559F4">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FF0000"/>
                <w:sz w:val="24"/>
                <w:szCs w:val="24"/>
                <w:highlight w:val="none"/>
              </w:rPr>
            </w:pPr>
            <w:r>
              <w:rPr>
                <w:rStyle w:val="38"/>
                <w:rFonts w:hint="eastAsia" w:ascii="宋体" w:hAnsi="宋体" w:eastAsia="宋体" w:cs="宋体"/>
                <w:b/>
                <w:bCs/>
                <w:i w:val="0"/>
                <w:iCs w:val="0"/>
                <w:color w:val="auto"/>
                <w:sz w:val="24"/>
                <w:szCs w:val="24"/>
                <w:highlight w:val="none"/>
                <w:lang w:val="en-US" w:eastAsia="en-US"/>
              </w:rPr>
              <w:t>针对上述第</w:t>
            </w:r>
            <w:r>
              <w:rPr>
                <w:rStyle w:val="38"/>
                <w:rFonts w:hint="eastAsia" w:ascii="宋体" w:hAnsi="宋体" w:eastAsia="宋体" w:cs="宋体"/>
                <w:b/>
                <w:bCs/>
                <w:i w:val="0"/>
                <w:iCs w:val="0"/>
                <w:color w:val="auto"/>
                <w:sz w:val="24"/>
                <w:szCs w:val="24"/>
                <w:highlight w:val="none"/>
                <w:lang w:val="en-US" w:eastAsia="zh-CN"/>
              </w:rPr>
              <w:t>（1）</w:t>
            </w:r>
            <w:r>
              <w:rPr>
                <w:rStyle w:val="38"/>
                <w:rFonts w:hint="eastAsia" w:ascii="宋体" w:hAnsi="宋体" w:eastAsia="宋体" w:cs="宋体"/>
                <w:b/>
                <w:bCs/>
                <w:i w:val="0"/>
                <w:iCs w:val="0"/>
                <w:color w:val="auto"/>
                <w:sz w:val="24"/>
                <w:szCs w:val="24"/>
                <w:highlight w:val="none"/>
                <w:lang w:val="en-US" w:eastAsia="en-US"/>
              </w:rPr>
              <w:t>-</w:t>
            </w:r>
            <w:r>
              <w:rPr>
                <w:rStyle w:val="38"/>
                <w:rFonts w:hint="eastAsia" w:ascii="宋体" w:hAnsi="宋体" w:eastAsia="宋体" w:cs="宋体"/>
                <w:b/>
                <w:bCs/>
                <w:i w:val="0"/>
                <w:iCs w:val="0"/>
                <w:color w:val="auto"/>
                <w:sz w:val="24"/>
                <w:szCs w:val="24"/>
                <w:highlight w:val="none"/>
                <w:lang w:val="en-US" w:eastAsia="zh-CN"/>
              </w:rPr>
              <w:t>（3）</w:t>
            </w:r>
            <w:r>
              <w:rPr>
                <w:rStyle w:val="38"/>
                <w:rFonts w:hint="eastAsia" w:ascii="宋体" w:hAnsi="宋体" w:eastAsia="宋体" w:cs="宋体"/>
                <w:b/>
                <w:bCs/>
                <w:i w:val="0"/>
                <w:iCs w:val="0"/>
                <w:color w:val="auto"/>
                <w:sz w:val="24"/>
                <w:szCs w:val="24"/>
                <w:highlight w:val="none"/>
                <w:lang w:val="en-US" w:eastAsia="en-US"/>
              </w:rPr>
              <w:t>条售后服务条款，</w:t>
            </w:r>
            <w:r>
              <w:rPr>
                <w:rStyle w:val="38"/>
                <w:rFonts w:hint="eastAsia" w:ascii="宋体" w:hAnsi="宋体" w:eastAsia="宋体" w:cs="宋体"/>
                <w:b/>
                <w:bCs/>
                <w:i w:val="0"/>
                <w:iCs w:val="0"/>
                <w:color w:val="auto"/>
                <w:sz w:val="24"/>
                <w:szCs w:val="24"/>
                <w:highlight w:val="none"/>
                <w:lang w:val="en-US" w:eastAsia="zh-CN"/>
              </w:rPr>
              <w:t>供应商的</w:t>
            </w:r>
            <w:r>
              <w:rPr>
                <w:rStyle w:val="38"/>
                <w:rFonts w:hint="eastAsia" w:ascii="宋体" w:hAnsi="宋体" w:eastAsia="宋体" w:cs="宋体"/>
                <w:b/>
                <w:bCs/>
                <w:i w:val="0"/>
                <w:iCs w:val="0"/>
                <w:color w:val="auto"/>
                <w:sz w:val="24"/>
                <w:szCs w:val="24"/>
                <w:highlight w:val="none"/>
                <w:lang w:val="en-US" w:eastAsia="en-US"/>
              </w:rPr>
              <w:t>须在</w:t>
            </w:r>
            <w:r>
              <w:rPr>
                <w:rStyle w:val="38"/>
                <w:rFonts w:hint="eastAsia" w:ascii="宋体" w:hAnsi="宋体" w:eastAsia="宋体" w:cs="宋体"/>
                <w:b/>
                <w:bCs/>
                <w:i w:val="0"/>
                <w:iCs w:val="0"/>
                <w:color w:val="auto"/>
                <w:sz w:val="24"/>
                <w:szCs w:val="24"/>
                <w:highlight w:val="none"/>
                <w:lang w:val="en-US" w:eastAsia="zh-CN"/>
              </w:rPr>
              <w:t>投标文件中</w:t>
            </w:r>
            <w:r>
              <w:rPr>
                <w:rStyle w:val="38"/>
                <w:rFonts w:hint="eastAsia" w:ascii="宋体" w:hAnsi="宋体" w:eastAsia="宋体" w:cs="宋体"/>
                <w:b/>
                <w:bCs/>
                <w:i w:val="0"/>
                <w:iCs w:val="0"/>
                <w:color w:val="auto"/>
                <w:sz w:val="24"/>
                <w:szCs w:val="24"/>
                <w:highlight w:val="none"/>
                <w:lang w:val="en-US" w:eastAsia="en-US"/>
              </w:rPr>
              <w:t>单独出具承诺函并加盖公章，承诺完全响应前述条款；未提供承诺函或承诺内容不全的，按无效投标处理。</w:t>
            </w:r>
          </w:p>
        </w:tc>
      </w:tr>
      <w:tr w14:paraId="73078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6" w:hRule="atLeast"/>
        </w:trPr>
        <w:tc>
          <w:tcPr>
            <w:tcW w:w="819" w:type="dxa"/>
            <w:vAlign w:val="center"/>
          </w:tcPr>
          <w:p w14:paraId="66DC387D">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8</w:t>
            </w:r>
          </w:p>
        </w:tc>
        <w:tc>
          <w:tcPr>
            <w:tcW w:w="1656" w:type="dxa"/>
            <w:vAlign w:val="center"/>
          </w:tcPr>
          <w:p w14:paraId="5EA94D21">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bCs/>
                <w:sz w:val="24"/>
                <w:szCs w:val="24"/>
                <w:highlight w:val="none"/>
              </w:rPr>
              <w:t>知识产权</w:t>
            </w:r>
          </w:p>
        </w:tc>
        <w:tc>
          <w:tcPr>
            <w:tcW w:w="6422" w:type="dxa"/>
            <w:vAlign w:val="center"/>
          </w:tcPr>
          <w:p w14:paraId="4CD70E8F">
            <w:pPr>
              <w:keepNext w:val="0"/>
              <w:keepLines w:val="0"/>
              <w:pageBreakBefore w:val="0"/>
              <w:widowControl w:val="0"/>
              <w:wordWrap/>
              <w:overflowPunct/>
              <w:topLinePunct w:val="0"/>
              <w:bidi w:val="0"/>
              <w:snapToGrid/>
              <w:spacing w:line="360" w:lineRule="auto"/>
              <w:jc w:val="left"/>
              <w:rPr>
                <w:rFonts w:hint="eastAsia" w:ascii="宋体" w:hAnsi="宋体" w:eastAsia="宋体" w:cs="宋体"/>
                <w:sz w:val="24"/>
                <w:szCs w:val="24"/>
                <w:highlight w:val="none"/>
              </w:rPr>
            </w:pPr>
            <w:r>
              <w:rPr>
                <w:rFonts w:hint="eastAsia" w:ascii="宋体" w:hAnsi="宋体" w:eastAsia="宋体" w:cs="宋体"/>
                <w:color w:val="000000" w:themeColor="text1"/>
                <w:sz w:val="24"/>
                <w:szCs w:val="24"/>
                <w:highlight w:val="none"/>
                <w14:textFill>
                  <w14:solidFill>
                    <w14:schemeClr w14:val="tx1"/>
                  </w14:solidFill>
                </w14:textFill>
              </w:rPr>
              <w:t>中标供应商应保证</w:t>
            </w:r>
            <w:r>
              <w:rPr>
                <w:rFonts w:hint="eastAsia" w:ascii="宋体" w:hAnsi="宋体" w:eastAsia="宋体" w:cs="宋体"/>
                <w:color w:val="000000" w:themeColor="text1"/>
                <w:sz w:val="24"/>
                <w:szCs w:val="24"/>
                <w:highlight w:val="none"/>
                <w:lang w:eastAsia="zh-CN"/>
                <w14:textFill>
                  <w14:solidFill>
                    <w14:schemeClr w14:val="tx1"/>
                  </w14:solidFill>
                </w14:textFill>
              </w:rPr>
              <w:t>投标文件中</w:t>
            </w:r>
            <w:r>
              <w:rPr>
                <w:rFonts w:hint="eastAsia" w:ascii="宋体" w:hAnsi="宋体" w:eastAsia="宋体" w:cs="宋体"/>
                <w:color w:val="000000" w:themeColor="text1"/>
                <w:sz w:val="24"/>
                <w:szCs w:val="24"/>
                <w:highlight w:val="none"/>
                <w14:textFill>
                  <w14:solidFill>
                    <w14:schemeClr w14:val="tx1"/>
                  </w14:solidFill>
                </w14:textFill>
              </w:rPr>
              <w:t>涉及到的所有内容，不会出现因第三方提出侵犯其专利权、商标权或其他知识产权而引发法律或经济纠纷。如供应商提供的产品出现侵权或者盗版及知识产权纠纷等一切行为与本项目采购人无关。</w:t>
            </w:r>
          </w:p>
        </w:tc>
      </w:tr>
      <w:tr w14:paraId="1FC9D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1711462A">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9</w:t>
            </w:r>
          </w:p>
        </w:tc>
        <w:tc>
          <w:tcPr>
            <w:tcW w:w="1656" w:type="dxa"/>
            <w:vAlign w:val="center"/>
          </w:tcPr>
          <w:p w14:paraId="31B6CA13">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履约保证金</w:t>
            </w:r>
          </w:p>
        </w:tc>
        <w:tc>
          <w:tcPr>
            <w:tcW w:w="6422" w:type="dxa"/>
            <w:vAlign w:val="center"/>
          </w:tcPr>
          <w:p w14:paraId="40E407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签订合同后五个工作日内，中标(成交)供应商向采购人支付合同金额5%履约保证金，履约保证金形式包括支票、汇票、本票或者金融机构、担保机构出具的保函等非现金形式。货物验收合格无质量问题后依据合同条款采购人一次性无息退还履约保证金。</w:t>
            </w:r>
          </w:p>
        </w:tc>
      </w:tr>
      <w:tr w14:paraId="66D75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9" w:type="dxa"/>
            <w:vAlign w:val="center"/>
          </w:tcPr>
          <w:p w14:paraId="5AF3A4C4">
            <w:pPr>
              <w:keepNext w:val="0"/>
              <w:keepLines w:val="0"/>
              <w:pageBreakBefore w:val="0"/>
              <w:widowControl w:val="0"/>
              <w:wordWrap/>
              <w:overflowPunct/>
              <w:topLinePunct w:val="0"/>
              <w:bidi w:val="0"/>
              <w:snapToGrid/>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656" w:type="dxa"/>
            <w:vAlign w:val="center"/>
          </w:tcPr>
          <w:p w14:paraId="77EBF602">
            <w:pPr>
              <w:keepNext w:val="0"/>
              <w:keepLines w:val="0"/>
              <w:pageBreakBefore w:val="0"/>
              <w:widowControl w:val="0"/>
              <w:wordWrap/>
              <w:overflowPunct/>
              <w:topLinePunct w:val="0"/>
              <w:bidi w:val="0"/>
              <w:snapToGrid/>
              <w:spacing w:line="360" w:lineRule="auto"/>
              <w:jc w:val="left"/>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其他</w:t>
            </w:r>
          </w:p>
        </w:tc>
        <w:tc>
          <w:tcPr>
            <w:tcW w:w="6422" w:type="dxa"/>
            <w:vAlign w:val="center"/>
          </w:tcPr>
          <w:p w14:paraId="2BD5F75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采购人有权在采购过程及合同履约全过程</w:t>
            </w:r>
            <w:r>
              <w:rPr>
                <w:rFonts w:hint="eastAsia" w:ascii="宋体" w:hAnsi="宋体" w:eastAsia="宋体" w:cs="宋体"/>
                <w:color w:val="000000" w:themeColor="text1"/>
                <w:sz w:val="24"/>
                <w:szCs w:val="24"/>
                <w:highlight w:val="none"/>
                <w:lang w:val="en-US" w:eastAsia="zh-CN"/>
                <w14:textFill>
                  <w14:solidFill>
                    <w14:schemeClr w14:val="tx1"/>
                  </w14:solidFill>
                </w14:textFill>
              </w:rPr>
              <w:t>要求核查中标单位提供</w:t>
            </w:r>
            <w:r>
              <w:rPr>
                <w:rFonts w:hint="eastAsia" w:ascii="宋体" w:hAnsi="宋体" w:eastAsia="宋体" w:cs="宋体"/>
                <w:color w:val="000000" w:themeColor="text1"/>
                <w:sz w:val="24"/>
                <w:szCs w:val="24"/>
                <w:highlight w:val="none"/>
                <w14:textFill>
                  <w14:solidFill>
                    <w14:schemeClr w14:val="tx1"/>
                  </w14:solidFill>
                </w14:textFill>
              </w:rPr>
              <w:t>检测报告原件</w:t>
            </w:r>
            <w:r>
              <w:rPr>
                <w:rFonts w:hint="eastAsia" w:ascii="宋体" w:hAnsi="宋体" w:eastAsia="宋体" w:cs="宋体"/>
                <w:color w:val="000000" w:themeColor="text1"/>
                <w:sz w:val="24"/>
                <w:szCs w:val="24"/>
                <w:highlight w:val="none"/>
                <w:lang w:val="en-US" w:eastAsia="zh-CN"/>
                <w14:textFill>
                  <w14:solidFill>
                    <w14:schemeClr w14:val="tx1"/>
                  </w14:solidFill>
                </w14:textFill>
              </w:rPr>
              <w:t>备查</w:t>
            </w:r>
            <w:r>
              <w:rPr>
                <w:rFonts w:hint="eastAsia" w:ascii="宋体" w:hAnsi="宋体" w:eastAsia="宋体" w:cs="宋体"/>
                <w:color w:val="000000" w:themeColor="text1"/>
                <w:sz w:val="24"/>
                <w:szCs w:val="24"/>
                <w:highlight w:val="none"/>
                <w14:textFill>
                  <w14:solidFill>
                    <w14:schemeClr w14:val="tx1"/>
                  </w14:solidFill>
                </w14:textFill>
              </w:rPr>
              <w:t>，若原件与</w:t>
            </w:r>
            <w:r>
              <w:rPr>
                <w:rFonts w:hint="eastAsia" w:ascii="宋体" w:hAnsi="宋体" w:eastAsia="宋体" w:cs="宋体"/>
                <w:color w:val="000000" w:themeColor="text1"/>
                <w:sz w:val="24"/>
                <w:szCs w:val="24"/>
                <w:highlight w:val="none"/>
                <w:lang w:val="en-US" w:eastAsia="zh-CN"/>
                <w14:textFill>
                  <w14:solidFill>
                    <w14:schemeClr w14:val="tx1"/>
                  </w14:solidFill>
                </w14:textFill>
              </w:rPr>
              <w:t>投标文件提供</w:t>
            </w:r>
            <w:r>
              <w:rPr>
                <w:rFonts w:hint="eastAsia" w:ascii="宋体" w:hAnsi="宋体" w:eastAsia="宋体" w:cs="宋体"/>
                <w:color w:val="000000" w:themeColor="text1"/>
                <w:sz w:val="24"/>
                <w:szCs w:val="24"/>
                <w:highlight w:val="none"/>
                <w14:textFill>
                  <w14:solidFill>
                    <w14:schemeClr w14:val="tx1"/>
                  </w14:solidFill>
                </w14:textFill>
              </w:rPr>
              <w:t>扫描件不一致或无法提供原件，视为虚假响应，按无效响应处理。</w:t>
            </w:r>
          </w:p>
        </w:tc>
      </w:tr>
    </w:tbl>
    <w:p w14:paraId="437D7B7E">
      <w:pPr>
        <w:keepNext w:val="0"/>
        <w:keepLines w:val="0"/>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lang w:eastAsia="zh-CN"/>
        </w:rPr>
      </w:pPr>
    </w:p>
    <w:p w14:paraId="2F6116B6">
      <w:pPr>
        <w:keepNext w:val="0"/>
        <w:keepLines w:val="0"/>
        <w:pageBreakBefore w:val="0"/>
        <w:widowControl w:val="0"/>
        <w:wordWrap/>
        <w:overflowPunct/>
        <w:topLinePunct w:val="0"/>
        <w:bidi w:val="0"/>
        <w:snapToGrid/>
        <w:spacing w:line="360" w:lineRule="auto"/>
        <w:rPr>
          <w:rFonts w:hint="eastAsia" w:ascii="宋体" w:hAnsi="宋体" w:eastAsia="宋体" w:cs="宋体"/>
          <w:color w:val="auto"/>
          <w:sz w:val="24"/>
          <w:szCs w:val="24"/>
          <w:highlight w:val="none"/>
          <w:lang w:eastAsia="zh-CN"/>
        </w:rPr>
      </w:pPr>
    </w:p>
    <w:p w14:paraId="2CBD7495">
      <w:pPr>
        <w:keepNext w:val="0"/>
        <w:keepLines w:val="0"/>
        <w:pageBreakBefore w:val="0"/>
        <w:widowControl w:val="0"/>
        <w:wordWrap/>
        <w:overflowPunct/>
        <w:topLinePunct w:val="0"/>
        <w:bidi w:val="0"/>
        <w:snapToGrid/>
        <w:spacing w:line="360" w:lineRule="auto"/>
        <w:rPr>
          <w:rFonts w:hint="eastAsia" w:ascii="宋体" w:hAnsi="宋体" w:eastAsia="宋体" w:cs="宋体"/>
          <w:color w:val="auto"/>
          <w:spacing w:val="0"/>
          <w:w w:val="100"/>
          <w:position w:val="0"/>
          <w:sz w:val="24"/>
          <w:szCs w:val="24"/>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b/>
          <w:bCs/>
          <w:color w:val="auto"/>
          <w:sz w:val="24"/>
          <w:szCs w:val="24"/>
          <w:highlight w:val="none"/>
          <w:lang w:eastAsia="zh-CN"/>
        </w:rPr>
        <w:t>注：以上技术、商务要求须完全满足，否则投标无效。</w:t>
      </w:r>
      <w:r>
        <w:rPr>
          <w:rFonts w:hint="eastAsia" w:ascii="宋体" w:hAnsi="宋体" w:eastAsia="宋体" w:cs="宋体"/>
          <w:color w:val="auto"/>
          <w:spacing w:val="0"/>
          <w:w w:val="100"/>
          <w:position w:val="0"/>
          <w:sz w:val="24"/>
          <w:szCs w:val="24"/>
          <w:highlight w:val="none"/>
          <w:lang w:eastAsia="zh-CN"/>
        </w:rPr>
        <w:br w:type="page"/>
      </w:r>
    </w:p>
    <w:p w14:paraId="0C654C2F">
      <w:pPr>
        <w:pageBreakBefore w:val="0"/>
        <w:widowControl w:val="0"/>
        <w:numPr>
          <w:ilvl w:val="0"/>
          <w:numId w:val="8"/>
        </w:numPr>
        <w:wordWrap/>
        <w:overflowPunct/>
        <w:topLinePunct w:val="0"/>
        <w:bidi w:val="0"/>
        <w:spacing w:beforeAutospacing="0" w:line="224" w:lineRule="auto"/>
        <w:ind w:left="3253"/>
        <w:outlineLvl w:val="0"/>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pPr>
      <w:r>
        <w:rPr>
          <w:rFonts w:hint="eastAsia" w:ascii="宋体" w:hAnsi="宋体" w:eastAsia="宋体" w:cs="宋体"/>
          <w:color w:val="auto"/>
          <w:spacing w:val="0"/>
          <w:w w:val="100"/>
          <w:position w:val="0"/>
          <w:sz w:val="31"/>
          <w:szCs w:val="31"/>
          <w:highlight w:val="none"/>
          <w:lang w:eastAsia="zh-CN"/>
        </w:rPr>
        <w:t xml:space="preserve"> </w:t>
      </w:r>
      <w:bookmarkStart w:id="175" w:name="_Toc9660"/>
      <w:r>
        <w:rPr>
          <w:rFonts w:hint="eastAsia"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评标</w:t>
      </w:r>
      <w:r>
        <w:rPr>
          <w:rFonts w:hint="eastAsia" w:ascii="宋体" w:hAnsi="宋体" w:eastAsia="宋体" w:cs="宋体"/>
          <w:color w:val="auto"/>
          <w:spacing w:val="0"/>
          <w:w w:val="100"/>
          <w:position w:val="0"/>
          <w:sz w:val="31"/>
          <w:szCs w:val="31"/>
          <w:highlight w:val="none"/>
          <w:lang w:val="en-US" w:eastAsia="zh-CN"/>
          <w14:textOutline w14:w="5791" w14:cap="sq" w14:cmpd="sng" w14:algn="ctr">
            <w14:solidFill>
              <w14:srgbClr w14:val="000000"/>
            </w14:solidFill>
            <w14:prstDash w14:val="solid"/>
            <w14:bevel/>
          </w14:textOutline>
        </w:rPr>
        <w:t>标准</w:t>
      </w:r>
      <w:bookmarkEnd w:id="175"/>
    </w:p>
    <w:p w14:paraId="1548FE98">
      <w:pPr>
        <w:pStyle w:val="6"/>
        <w:rPr>
          <w:rFonts w:hint="eastAsia" w:ascii="宋体" w:hAnsi="宋体" w:eastAsia="宋体" w:cs="宋体"/>
          <w:spacing w:val="0"/>
          <w:w w:val="100"/>
          <w:position w:val="0"/>
          <w:highlight w:val="none"/>
          <w:lang w:eastAsia="zh-CN"/>
        </w:rPr>
      </w:pPr>
    </w:p>
    <w:p w14:paraId="38D543FC">
      <w:pPr>
        <w:pStyle w:val="3"/>
        <w:pageBreakBefore w:val="0"/>
        <w:widowControl w:val="0"/>
        <w:numPr>
          <w:ilvl w:val="0"/>
          <w:numId w:val="9"/>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pPr>
      <w:bookmarkStart w:id="176" w:name="_Toc22232"/>
      <w:r>
        <w:rPr>
          <w:rFonts w:hint="eastAsia" w:ascii="宋体" w:hAnsi="宋体" w:eastAsia="宋体" w:cs="宋体"/>
          <w:b w:val="0"/>
          <w:bCs w:val="0"/>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符合性审查</w:t>
      </w:r>
      <w:bookmarkEnd w:id="176"/>
    </w:p>
    <w:p w14:paraId="5315204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Autospacing="0"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lang w:val="en-US" w:eastAsia="zh-CN"/>
        </w:rPr>
        <w:t>不符合下列情况之一的，其投标将作无效投标处理</w:t>
      </w:r>
    </w:p>
    <w:p w14:paraId="5988A16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firstLine="480" w:firstLineChars="2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（1）</w:t>
      </w:r>
      <w:r>
        <w:rPr>
          <w:rFonts w:hint="eastAsia" w:ascii="宋体" w:hAnsi="宋体" w:eastAsia="宋体" w:cs="宋体"/>
          <w:color w:val="auto"/>
          <w:spacing w:val="0"/>
          <w:w w:val="100"/>
          <w:position w:val="0"/>
          <w:sz w:val="24"/>
          <w:szCs w:val="24"/>
          <w:highlight w:val="none"/>
          <w:lang w:val="en-US" w:eastAsia="zh-CN"/>
        </w:rPr>
        <w:t>通过电子化政府采购系统提交的投标文件须正常打开；</w:t>
      </w:r>
    </w:p>
    <w:p w14:paraId="11F14F0E">
      <w:pPr>
        <w:pStyle w:val="7"/>
        <w:keepNext w:val="0"/>
        <w:keepLines w:val="0"/>
        <w:pageBreakBefore w:val="0"/>
        <w:widowControl w:val="0"/>
        <w:kinsoku w:val="0"/>
        <w:wordWrap/>
        <w:overflowPunct/>
        <w:topLinePunct w:val="0"/>
        <w:autoSpaceDE w:val="0"/>
        <w:autoSpaceDN w:val="0"/>
        <w:bidi w:val="0"/>
        <w:adjustRightInd w:val="0"/>
        <w:snapToGrid w:val="0"/>
        <w:spacing w:line="360" w:lineRule="auto"/>
        <w:ind w:left="660" w:hanging="240" w:hangingChars="100"/>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（2）</w:t>
      </w:r>
      <w:r>
        <w:rPr>
          <w:rFonts w:hint="eastAsia" w:ascii="宋体" w:hAnsi="宋体" w:eastAsia="宋体" w:cs="宋体"/>
          <w:color w:val="auto"/>
          <w:spacing w:val="0"/>
          <w:w w:val="100"/>
          <w:position w:val="0"/>
          <w:sz w:val="24"/>
          <w:szCs w:val="24"/>
          <w:highlight w:val="none"/>
          <w:lang w:val="en-US" w:eastAsia="zh-CN"/>
        </w:rPr>
        <w:t>须提交</w:t>
      </w:r>
      <w:r>
        <w:rPr>
          <w:rFonts w:hint="eastAsia" w:ascii="宋体" w:hAnsi="宋体" w:eastAsia="宋体" w:cs="宋体"/>
          <w:color w:val="auto"/>
          <w:spacing w:val="0"/>
          <w:w w:val="100"/>
          <w:position w:val="0"/>
          <w:sz w:val="24"/>
          <w:szCs w:val="24"/>
          <w:highlight w:val="none"/>
        </w:rPr>
        <w:t>开标一览表</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分项报价表、开标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eastAsia="zh-CN"/>
        </w:rPr>
        <w:t>，</w:t>
      </w:r>
      <w:r>
        <w:rPr>
          <w:rFonts w:hint="eastAsia" w:ascii="宋体" w:hAnsi="宋体" w:eastAsia="宋体" w:cs="宋体"/>
          <w:color w:val="auto"/>
          <w:spacing w:val="0"/>
          <w:w w:val="100"/>
          <w:position w:val="0"/>
          <w:sz w:val="24"/>
          <w:szCs w:val="24"/>
          <w:highlight w:val="none"/>
          <w:lang w:val="en-US" w:eastAsia="zh-CN"/>
        </w:rPr>
        <w:t>开标</w:t>
      </w:r>
      <w:r>
        <w:rPr>
          <w:rFonts w:hint="eastAsia" w:ascii="宋体" w:hAnsi="宋体" w:eastAsia="宋体" w:cs="宋体"/>
          <w:color w:val="auto"/>
          <w:spacing w:val="0"/>
          <w:w w:val="100"/>
          <w:position w:val="0"/>
          <w:sz w:val="24"/>
          <w:szCs w:val="24"/>
          <w:highlight w:val="none"/>
        </w:rPr>
        <w:t>一览表明细</w:t>
      </w:r>
      <w:r>
        <w:rPr>
          <w:rFonts w:hint="eastAsia" w:ascii="宋体" w:hAnsi="宋体" w:eastAsia="宋体" w:cs="宋体"/>
          <w:color w:val="auto"/>
          <w:spacing w:val="0"/>
          <w:w w:val="100"/>
          <w:position w:val="0"/>
          <w:sz w:val="24"/>
          <w:szCs w:val="24"/>
          <w:highlight w:val="none"/>
          <w:lang w:val="en-US" w:eastAsia="zh-CN"/>
        </w:rPr>
        <w:t>表中应列出分项报价；</w:t>
      </w:r>
    </w:p>
    <w:p w14:paraId="4898E987">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（3）</w:t>
      </w:r>
      <w:r>
        <w:rPr>
          <w:rFonts w:hint="eastAsia" w:ascii="宋体" w:hAnsi="宋体" w:eastAsia="宋体" w:cs="宋体"/>
          <w:color w:val="auto"/>
          <w:spacing w:val="0"/>
          <w:w w:val="100"/>
          <w:position w:val="0"/>
          <w:sz w:val="24"/>
          <w:szCs w:val="24"/>
          <w:highlight w:val="none"/>
          <w:lang w:val="en-US" w:eastAsia="zh-CN"/>
        </w:rPr>
        <w:t>须提交唯一固定报价；</w:t>
      </w:r>
    </w:p>
    <w:p w14:paraId="11AE5189">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（4）</w:t>
      </w:r>
      <w:r>
        <w:rPr>
          <w:rFonts w:hint="eastAsia" w:ascii="宋体" w:hAnsi="宋体" w:eastAsia="宋体" w:cs="宋体"/>
          <w:color w:val="auto"/>
          <w:spacing w:val="0"/>
          <w:w w:val="100"/>
          <w:position w:val="0"/>
          <w:sz w:val="24"/>
          <w:szCs w:val="24"/>
          <w:highlight w:val="none"/>
          <w:lang w:val="en-US" w:eastAsia="zh-CN"/>
        </w:rPr>
        <w:t>报价不得超过政府采购项目预算；</w:t>
      </w:r>
    </w:p>
    <w:p w14:paraId="5D0D4BE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（5）投标有效期</w:t>
      </w:r>
      <w:r>
        <w:rPr>
          <w:rFonts w:hint="eastAsia" w:ascii="宋体" w:hAnsi="宋体" w:eastAsia="宋体" w:cs="宋体"/>
          <w:color w:val="auto"/>
          <w:spacing w:val="0"/>
          <w:w w:val="100"/>
          <w:position w:val="0"/>
          <w:sz w:val="24"/>
          <w:szCs w:val="24"/>
          <w:highlight w:val="none"/>
          <w:lang w:val="en-US" w:eastAsia="zh-CN"/>
        </w:rPr>
        <w:t>应满足招标文件要求；</w:t>
      </w:r>
    </w:p>
    <w:p w14:paraId="76E0A553">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（6）</w:t>
      </w:r>
      <w:r>
        <w:rPr>
          <w:rFonts w:hint="eastAsia" w:ascii="宋体" w:hAnsi="宋体" w:eastAsia="宋体" w:cs="宋体"/>
          <w:color w:val="auto"/>
          <w:spacing w:val="0"/>
          <w:w w:val="100"/>
          <w:position w:val="0"/>
          <w:sz w:val="24"/>
          <w:szCs w:val="24"/>
          <w:highlight w:val="none"/>
          <w:lang w:val="en-US" w:eastAsia="zh-CN"/>
        </w:rPr>
        <w:t>应按招标文件“第四章格式”的规定提供资格证明文件；</w:t>
      </w:r>
    </w:p>
    <w:p w14:paraId="3689B736">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（7）</w:t>
      </w:r>
      <w:r>
        <w:rPr>
          <w:rFonts w:hint="eastAsia" w:ascii="宋体" w:hAnsi="宋体" w:eastAsia="宋体" w:cs="宋体"/>
          <w:color w:val="auto"/>
          <w:spacing w:val="0"/>
          <w:w w:val="100"/>
          <w:position w:val="0"/>
          <w:sz w:val="24"/>
          <w:szCs w:val="24"/>
          <w:highlight w:val="none"/>
          <w:lang w:val="en-US" w:eastAsia="zh-CN"/>
        </w:rPr>
        <w:t>应按招标文件要求签字、签章，签字（签章）人应有法定代表人的有效授权；</w:t>
      </w:r>
    </w:p>
    <w:p w14:paraId="2D2E330A">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（8）</w:t>
      </w:r>
      <w:r>
        <w:rPr>
          <w:rFonts w:hint="eastAsia" w:ascii="宋体" w:hAnsi="宋体" w:eastAsia="宋体" w:cs="宋体"/>
          <w:color w:val="auto"/>
          <w:spacing w:val="0"/>
          <w:w w:val="100"/>
          <w:position w:val="0"/>
          <w:sz w:val="24"/>
          <w:szCs w:val="24"/>
          <w:highlight w:val="none"/>
          <w:lang w:val="en-US" w:eastAsia="zh-CN"/>
        </w:rPr>
        <w:t>响应内容不得与事实不符或</w:t>
      </w:r>
      <w:r>
        <w:rPr>
          <w:rFonts w:hint="eastAsia" w:ascii="宋体" w:hAnsi="宋体" w:eastAsia="宋体" w:cs="宋体"/>
          <w:color w:val="auto"/>
          <w:spacing w:val="0"/>
          <w:w w:val="100"/>
          <w:position w:val="0"/>
          <w:sz w:val="24"/>
          <w:szCs w:val="24"/>
          <w:highlight w:val="none"/>
        </w:rPr>
        <w:t>虚</w:t>
      </w:r>
      <w:r>
        <w:rPr>
          <w:rFonts w:hint="eastAsia" w:ascii="宋体" w:hAnsi="宋体" w:eastAsia="宋体" w:cs="宋体"/>
          <w:color w:val="auto"/>
          <w:spacing w:val="0"/>
          <w:w w:val="100"/>
          <w:position w:val="0"/>
          <w:sz w:val="24"/>
          <w:szCs w:val="24"/>
          <w:highlight w:val="none"/>
          <w:lang w:val="en-US" w:eastAsia="zh-CN"/>
        </w:rPr>
        <w:t>假投标；</w:t>
      </w:r>
    </w:p>
    <w:p w14:paraId="2B3DA3A8">
      <w:pPr>
        <w:pStyle w:val="7"/>
        <w:keepNext w:val="0"/>
        <w:keepLines w:val="0"/>
        <w:pageBreakBefore w:val="0"/>
        <w:widowControl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pacing w:val="0"/>
          <w:w w:val="100"/>
          <w:position w:val="0"/>
          <w:sz w:val="24"/>
          <w:szCs w:val="24"/>
          <w:highlight w:val="none"/>
          <w:lang w:val="en-US" w:eastAsia="zh-CN"/>
        </w:rPr>
      </w:pPr>
      <w:r>
        <w:rPr>
          <w:rFonts w:hint="eastAsia" w:ascii="宋体" w:hAnsi="宋体" w:eastAsia="宋体" w:cs="宋体"/>
          <w:color w:val="auto"/>
          <w:spacing w:val="0"/>
          <w:w w:val="100"/>
          <w:position w:val="0"/>
          <w:sz w:val="24"/>
          <w:szCs w:val="24"/>
          <w:highlight w:val="none"/>
        </w:rPr>
        <w:t>（9）</w:t>
      </w:r>
      <w:r>
        <w:rPr>
          <w:rFonts w:hint="eastAsia" w:ascii="宋体" w:hAnsi="宋体" w:eastAsia="宋体" w:cs="宋体"/>
          <w:color w:val="auto"/>
          <w:spacing w:val="0"/>
          <w:w w:val="100"/>
          <w:position w:val="0"/>
          <w:sz w:val="24"/>
          <w:szCs w:val="24"/>
          <w:highlight w:val="none"/>
          <w:lang w:val="en-US" w:eastAsia="zh-CN"/>
        </w:rPr>
        <w:t>没有招标文件规定的其它无效投标情形。</w:t>
      </w:r>
    </w:p>
    <w:p w14:paraId="76CEC3DA">
      <w:pPr>
        <w:pStyle w:val="3"/>
        <w:pageBreakBefore w:val="0"/>
        <w:widowControl w:val="0"/>
        <w:numPr>
          <w:ilvl w:val="0"/>
          <w:numId w:val="9"/>
        </w:numPr>
        <w:wordWrap/>
        <w:overflowPunct/>
        <w:topLinePunct w:val="0"/>
        <w:bidi w:val="0"/>
        <w:spacing w:before="0" w:after="0" w:afterAutospacing="0" w:line="360" w:lineRule="auto"/>
        <w:jc w:val="both"/>
        <w:rPr>
          <w:rFonts w:hint="eastAsia" w:ascii="宋体" w:hAnsi="宋体" w:eastAsia="宋体" w:cs="宋体"/>
          <w:b w:val="0"/>
          <w:bCs w:val="0"/>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pPr>
      <w:bookmarkStart w:id="177" w:name="_Toc29344"/>
      <w:bookmarkStart w:id="178" w:name="_Toc17819"/>
      <w:r>
        <w:rPr>
          <w:rFonts w:hint="eastAsia" w:ascii="宋体" w:hAnsi="宋体" w:eastAsia="宋体" w:cs="宋体"/>
          <w:b w:val="0"/>
          <w:bCs w:val="0"/>
          <w:snapToGrid w:val="0"/>
          <w:color w:val="auto"/>
          <w:spacing w:val="0"/>
          <w:w w:val="100"/>
          <w:position w:val="0"/>
          <w:sz w:val="24"/>
          <w:szCs w:val="24"/>
          <w:highlight w:val="none"/>
          <w:lang w:val="en-US" w:eastAsia="zh-CN" w:bidi="ar-SA"/>
          <w14:textOutline w14:w="4356" w14:cap="sq" w14:cmpd="sng" w14:algn="ctr">
            <w14:solidFill>
              <w14:srgbClr w14:val="000000"/>
            </w14:solidFill>
            <w14:prstDash w14:val="solid"/>
            <w14:bevel/>
          </w14:textOutline>
        </w:rPr>
        <w:t>评分标准</w:t>
      </w:r>
      <w:bookmarkEnd w:id="177"/>
      <w:bookmarkEnd w:id="178"/>
    </w:p>
    <w:p w14:paraId="6CFCC97D">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highlight w:val="none"/>
          <w:lang w:val="en-US" w:eastAsia="zh-CN" w:bidi="ar"/>
        </w:rPr>
      </w:pPr>
      <w:r>
        <w:rPr>
          <w:rFonts w:hint="eastAsia" w:ascii="宋体" w:hAnsi="宋体" w:eastAsia="宋体" w:cs="宋体"/>
          <w:color w:val="auto"/>
          <w:spacing w:val="0"/>
          <w:w w:val="100"/>
          <w:kern w:val="0"/>
          <w:position w:val="0"/>
          <w:sz w:val="24"/>
          <w:szCs w:val="24"/>
          <w:highlight w:val="none"/>
          <w:lang w:eastAsia="zh-CN" w:bidi="ar"/>
        </w:rPr>
        <w:t>☑</w:t>
      </w:r>
      <w:r>
        <w:rPr>
          <w:rFonts w:hint="eastAsia" w:ascii="宋体" w:hAnsi="宋体" w:eastAsia="宋体" w:cs="宋体"/>
          <w:color w:val="auto"/>
          <w:spacing w:val="0"/>
          <w:w w:val="100"/>
          <w:kern w:val="0"/>
          <w:position w:val="0"/>
          <w:sz w:val="24"/>
          <w:szCs w:val="24"/>
          <w:highlight w:val="none"/>
          <w:lang w:val="en-US" w:eastAsia="zh-CN" w:bidi="ar"/>
        </w:rPr>
        <w:t xml:space="preserve"> 最低评标价法（价格评分 100 分）</w:t>
      </w:r>
    </w:p>
    <w:p w14:paraId="7487840A">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highlight w:val="none"/>
          <w:lang w:val="en-US" w:eastAsia="zh-CN" w:bidi="ar"/>
        </w:rPr>
      </w:pPr>
      <w:r>
        <w:rPr>
          <w:rFonts w:hint="eastAsia" w:ascii="宋体" w:hAnsi="宋体" w:eastAsia="宋体" w:cs="宋体"/>
          <w:color w:val="auto"/>
          <w:spacing w:val="0"/>
          <w:w w:val="100"/>
          <w:kern w:val="0"/>
          <w:position w:val="0"/>
          <w:sz w:val="24"/>
          <w:szCs w:val="24"/>
          <w:highlight w:val="none"/>
          <w:lang w:val="en-US" w:eastAsia="zh-CN" w:bidi="ar"/>
        </w:rPr>
        <w:t>评标委员会应当按照招标文件中规定的评标方法和标准，对符合性审查合格的投标</w:t>
      </w:r>
    </w:p>
    <w:p w14:paraId="537FDDC7">
      <w:pPr>
        <w:pageBreakBefore w:val="0"/>
        <w:widowControl w:val="0"/>
        <w:wordWrap/>
        <w:overflowPunct/>
        <w:topLinePunct w:val="0"/>
        <w:bidi w:val="0"/>
        <w:spacing w:line="360" w:lineRule="auto"/>
        <w:ind w:firstLine="480" w:firstLineChars="200"/>
        <w:textAlignment w:val="center"/>
        <w:rPr>
          <w:rFonts w:hint="eastAsia" w:ascii="宋体" w:hAnsi="宋体" w:eastAsia="宋体" w:cs="宋体"/>
          <w:color w:val="auto"/>
          <w:spacing w:val="0"/>
          <w:w w:val="100"/>
          <w:kern w:val="0"/>
          <w:position w:val="0"/>
          <w:sz w:val="24"/>
          <w:szCs w:val="24"/>
          <w:highlight w:val="none"/>
          <w:lang w:val="en-US" w:eastAsia="zh-CN" w:bidi="ar"/>
        </w:rPr>
      </w:pPr>
      <w:r>
        <w:rPr>
          <w:rFonts w:hint="eastAsia" w:ascii="宋体" w:hAnsi="宋体" w:eastAsia="宋体" w:cs="宋体"/>
          <w:color w:val="auto"/>
          <w:spacing w:val="0"/>
          <w:w w:val="100"/>
          <w:kern w:val="0"/>
          <w:position w:val="0"/>
          <w:sz w:val="24"/>
          <w:szCs w:val="24"/>
          <w:highlight w:val="none"/>
          <w:lang w:val="en-US" w:eastAsia="zh-CN" w:bidi="ar"/>
        </w:rPr>
        <w:t>文件进行商务和技术评估，综合比较与评价。投标文件满足招标文件全部实质性要求，且投标报价最低的投标人为中标候选人。</w:t>
      </w:r>
    </w:p>
    <w:tbl>
      <w:tblPr>
        <w:tblStyle w:val="18"/>
        <w:tblW w:w="957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2"/>
        <w:gridCol w:w="7702"/>
        <w:gridCol w:w="864"/>
      </w:tblGrid>
      <w:tr w14:paraId="0494A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9578" w:type="dxa"/>
            <w:gridSpan w:val="3"/>
            <w:tcBorders>
              <w:top w:val="single" w:color="auto" w:sz="4" w:space="0"/>
              <w:left w:val="single" w:color="auto" w:sz="4" w:space="0"/>
              <w:bottom w:val="single" w:color="auto" w:sz="4" w:space="0"/>
              <w:right w:val="single" w:color="auto" w:sz="4" w:space="0"/>
            </w:tcBorders>
            <w:noWrap w:val="0"/>
            <w:vAlign w:val="center"/>
          </w:tcPr>
          <w:p w14:paraId="368CAB0C">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lang w:eastAsia="zh-CN"/>
              </w:rPr>
            </w:pPr>
            <w:r>
              <w:rPr>
                <w:rFonts w:hint="eastAsia" w:ascii="宋体" w:hAnsi="宋体" w:eastAsia="宋体" w:cs="宋体"/>
                <w:b w:val="0"/>
                <w:bCs/>
                <w:color w:val="auto"/>
                <w:spacing w:val="0"/>
                <w:w w:val="100"/>
                <w:kern w:val="0"/>
                <w:position w:val="0"/>
                <w:sz w:val="24"/>
                <w:szCs w:val="24"/>
                <w:highlight w:val="none"/>
              </w:rPr>
              <w:t>（一）价格部分（</w:t>
            </w:r>
            <w:r>
              <w:rPr>
                <w:rFonts w:hint="eastAsia" w:ascii="宋体" w:hAnsi="宋体" w:eastAsia="宋体" w:cs="宋体"/>
                <w:b w:val="0"/>
                <w:bCs/>
                <w:color w:val="auto"/>
                <w:spacing w:val="0"/>
                <w:w w:val="100"/>
                <w:kern w:val="0"/>
                <w:position w:val="0"/>
                <w:sz w:val="24"/>
                <w:szCs w:val="24"/>
                <w:highlight w:val="none"/>
                <w:lang w:val="en-US" w:eastAsia="zh-CN"/>
              </w:rPr>
              <w:t>100</w:t>
            </w:r>
            <w:r>
              <w:rPr>
                <w:rFonts w:hint="eastAsia" w:ascii="宋体" w:hAnsi="宋体" w:eastAsia="宋体" w:cs="宋体"/>
                <w:b w:val="0"/>
                <w:bCs/>
                <w:color w:val="auto"/>
                <w:spacing w:val="0"/>
                <w:w w:val="100"/>
                <w:position w:val="0"/>
                <w:sz w:val="24"/>
                <w:szCs w:val="24"/>
                <w:highlight w:val="none"/>
              </w:rPr>
              <w:t>分</w:t>
            </w:r>
            <w:r>
              <w:rPr>
                <w:rFonts w:hint="eastAsia" w:ascii="宋体" w:hAnsi="宋体" w:eastAsia="宋体" w:cs="宋体"/>
                <w:b w:val="0"/>
                <w:bCs/>
                <w:color w:val="auto"/>
                <w:spacing w:val="0"/>
                <w:w w:val="100"/>
                <w:kern w:val="0"/>
                <w:position w:val="0"/>
                <w:sz w:val="24"/>
                <w:szCs w:val="24"/>
                <w:highlight w:val="none"/>
              </w:rPr>
              <w:t>）</w:t>
            </w:r>
          </w:p>
        </w:tc>
      </w:tr>
      <w:tr w14:paraId="01A9B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1B006554">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46046E7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0" w:firstLineChars="150"/>
              <w:jc w:val="center"/>
              <w:rPr>
                <w:rFonts w:hint="eastAsia" w:ascii="宋体" w:hAnsi="宋体" w:eastAsia="宋体" w:cs="宋体"/>
                <w:b w:val="0"/>
                <w:bCs/>
                <w:color w:val="auto"/>
                <w:spacing w:val="0"/>
                <w:w w:val="10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1FF3CAD7">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分值</w:t>
            </w:r>
          </w:p>
        </w:tc>
      </w:tr>
      <w:tr w14:paraId="7727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7"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6C019C5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报价</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7B212D8F">
            <w:pPr>
              <w:keepNext w:val="0"/>
              <w:keepLines w:val="0"/>
              <w:pageBreakBefore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价格分采用低价优先法计算，即满足招标文件要求且投标价格最低的投标报价为评标基准价，其价格分为满分。其他投标人的价格分统一按下列公式计算：</w:t>
            </w:r>
          </w:p>
          <w:p w14:paraId="019F90D0">
            <w:pPr>
              <w:keepNext w:val="0"/>
              <w:keepLines w:val="0"/>
              <w:pageBreakBefore w:val="0"/>
              <w:widowControl w:val="0"/>
              <w:kinsoku w:val="0"/>
              <w:wordWrap/>
              <w:overflowPunct/>
              <w:topLinePunct w:val="0"/>
              <w:autoSpaceDE w:val="0"/>
              <w:autoSpaceDN w:val="0"/>
              <w:bidi w:val="0"/>
              <w:adjustRightInd w:val="0"/>
              <w:snapToGrid w:val="0"/>
              <w:spacing w:line="360" w:lineRule="auto"/>
              <w:ind w:left="118" w:firstLine="480" w:firstLineChars="200"/>
              <w:textAlignment w:val="baseline"/>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投标报价得分=（评标基准价/投标报价）×</w:t>
            </w:r>
            <w:r>
              <w:rPr>
                <w:rFonts w:hint="eastAsia" w:ascii="宋体" w:hAnsi="宋体" w:eastAsia="宋体" w:cs="宋体"/>
                <w:b w:val="0"/>
                <w:bCs/>
                <w:kern w:val="0"/>
                <w:sz w:val="24"/>
                <w:szCs w:val="24"/>
                <w:highlight w:val="none"/>
                <w:lang w:val="en-US" w:eastAsia="zh-CN"/>
              </w:rPr>
              <w:t>100</w:t>
            </w:r>
            <w:r>
              <w:rPr>
                <w:rFonts w:hint="eastAsia" w:ascii="宋体" w:hAnsi="宋体" w:eastAsia="宋体" w:cs="宋体"/>
                <w:b w:val="0"/>
                <w:bCs/>
                <w:kern w:val="0"/>
                <w:sz w:val="24"/>
                <w:szCs w:val="24"/>
                <w:highlight w:val="none"/>
              </w:rPr>
              <w:t>×100%（精确到两位小数位，两位小数位后的实行四舍五入）。</w:t>
            </w:r>
          </w:p>
          <w:p w14:paraId="44820BA6">
            <w:pPr>
              <w:keepNext w:val="0"/>
              <w:keepLines w:val="0"/>
              <w:pageBreakBefore w:val="0"/>
              <w:widowControl w:val="0"/>
              <w:kinsoku w:val="0"/>
              <w:wordWrap/>
              <w:overflowPunct/>
              <w:topLinePunct w:val="0"/>
              <w:autoSpaceDE w:val="0"/>
              <w:autoSpaceDN w:val="0"/>
              <w:bidi w:val="0"/>
              <w:adjustRightInd w:val="0"/>
              <w:snapToGrid w:val="0"/>
              <w:spacing w:line="360" w:lineRule="auto"/>
              <w:ind w:right="104" w:firstLine="480" w:firstLineChars="200"/>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position w:val="0"/>
                <w:sz w:val="24"/>
                <w:szCs w:val="24"/>
                <w:highlight w:val="none"/>
                <w:lang w:eastAsia="zh-CN"/>
              </w:rPr>
              <w:t>注：</w:t>
            </w:r>
            <w:r>
              <w:rPr>
                <w:rFonts w:hint="eastAsia" w:ascii="宋体" w:hAnsi="宋体" w:eastAsia="宋体" w:cs="宋体"/>
                <w:b w:val="0"/>
                <w:bCs/>
                <w:color w:val="auto"/>
                <w:spacing w:val="0"/>
                <w:position w:val="0"/>
                <w:sz w:val="24"/>
                <w:szCs w:val="24"/>
                <w:highlight w:val="none"/>
                <w:lang w:eastAsia="zh-CN"/>
              </w:rPr>
              <w:t>（1）对小型和微型企业的报价给予</w:t>
            </w:r>
            <w:r>
              <w:rPr>
                <w:rFonts w:hint="eastAsia" w:ascii="宋体" w:hAnsi="宋体" w:eastAsia="宋体" w:cs="宋体"/>
                <w:b w:val="0"/>
                <w:bCs/>
                <w:color w:val="auto"/>
                <w:spacing w:val="0"/>
                <w:position w:val="0"/>
                <w:sz w:val="24"/>
                <w:szCs w:val="24"/>
                <w:highlight w:val="none"/>
                <w:lang w:val="en-US" w:eastAsia="zh-CN"/>
              </w:rPr>
              <w:t>10%</w:t>
            </w:r>
            <w:r>
              <w:rPr>
                <w:rFonts w:hint="eastAsia" w:ascii="宋体" w:hAnsi="宋体" w:eastAsia="宋体" w:cs="宋体"/>
                <w:b w:val="0"/>
                <w:bCs/>
                <w:color w:val="auto"/>
                <w:spacing w:val="0"/>
                <w:position w:val="0"/>
                <w:sz w:val="24"/>
                <w:szCs w:val="24"/>
                <w:highlight w:val="none"/>
                <w:lang w:eastAsia="zh-CN"/>
              </w:rPr>
              <w:t>比例的扣除，用扣除后的价格参与评审。（2）监狱企业、残疾人福利性单位视同小型、微型企业，享受评审中价</w:t>
            </w:r>
            <w:r>
              <w:rPr>
                <w:rFonts w:hint="eastAsia" w:ascii="宋体" w:hAnsi="宋体" w:eastAsia="宋体" w:cs="宋体"/>
                <w:b w:val="0"/>
                <w:bCs/>
                <w:color w:val="auto"/>
                <w:spacing w:val="0"/>
                <w:position w:val="0"/>
                <w:sz w:val="24"/>
                <w:szCs w:val="24"/>
                <w:highlight w:val="none"/>
                <w:lang w:val="en-US" w:eastAsia="zh-CN"/>
              </w:rPr>
              <w:t>格扣除等政府促进中小企业发展的政府采购政策。（3）</w:t>
            </w:r>
            <w:r>
              <w:rPr>
                <w:rFonts w:hint="eastAsia" w:ascii="宋体" w:hAnsi="宋体" w:eastAsia="宋体" w:cs="宋体"/>
                <w:b w:val="0"/>
                <w:bCs/>
                <w:i w:val="0"/>
                <w:iCs w:val="0"/>
                <w:caps w:val="0"/>
                <w:color w:val="auto"/>
                <w:spacing w:val="0"/>
                <w:sz w:val="24"/>
                <w:szCs w:val="24"/>
                <w:highlight w:val="none"/>
                <w:shd w:val="clear"/>
                <w:vertAlign w:val="baseline"/>
                <w:lang w:eastAsia="zh-CN"/>
              </w:rPr>
              <w:t>政府采购活动中既有本国产品又有非本国产品参与竞争的，依法对本国产品给予价格评审优惠，对本国产品的报价给予20%的价格扣除，用扣除后的价格参与评审。</w:t>
            </w:r>
            <w:r>
              <w:rPr>
                <w:rFonts w:hint="eastAsia" w:ascii="宋体" w:hAnsi="宋体" w:eastAsia="宋体" w:cs="宋体"/>
                <w:b w:val="0"/>
                <w:bCs/>
                <w:color w:val="auto"/>
                <w:spacing w:val="0"/>
                <w:position w:val="0"/>
                <w:sz w:val="24"/>
                <w:szCs w:val="24"/>
                <w:highlight w:val="none"/>
                <w:lang w:val="en-US" w:eastAsia="zh-CN"/>
              </w:rPr>
              <w:t>（4）</w:t>
            </w:r>
            <w:r>
              <w:rPr>
                <w:rFonts w:hint="eastAsia" w:ascii="宋体" w:hAnsi="宋体" w:eastAsia="宋体" w:cs="宋体"/>
                <w:b w:val="0"/>
                <w:bCs/>
                <w:i w:val="0"/>
                <w:iCs w:val="0"/>
                <w:caps w:val="0"/>
                <w:color w:val="auto"/>
                <w:spacing w:val="0"/>
                <w:sz w:val="24"/>
                <w:szCs w:val="24"/>
                <w:highlight w:val="none"/>
                <w:shd w:val="clear"/>
                <w:vertAlign w:val="baseline"/>
                <w:lang w:eastAsia="zh-CN"/>
              </w:rPr>
              <w:t>当采购项目或者采购包中含有多种产品，投标人为该采购项目或者采购包提供的符合本国产品标准的产品成本之和占该投标人提供的全部产品成本之和的比例达到80%以上时，依法对该投标人提供的全部产品给予价格评审优惠，即对该投标人提供的全部产品的总报价给予20%的价格扣除，用扣除后的价格参与评审。</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12D010B1">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lang w:val="en-US" w:eastAsia="zh-CN"/>
              </w:rPr>
              <w:t>100</w:t>
            </w:r>
            <w:r>
              <w:rPr>
                <w:rFonts w:hint="eastAsia" w:ascii="宋体" w:hAnsi="宋体" w:eastAsia="宋体" w:cs="宋体"/>
                <w:b w:val="0"/>
                <w:bCs/>
                <w:color w:val="auto"/>
                <w:spacing w:val="0"/>
                <w:w w:val="100"/>
                <w:kern w:val="0"/>
                <w:position w:val="0"/>
                <w:sz w:val="24"/>
                <w:szCs w:val="24"/>
                <w:highlight w:val="none"/>
              </w:rPr>
              <w:t>分</w:t>
            </w:r>
          </w:p>
        </w:tc>
      </w:tr>
      <w:tr w14:paraId="44B65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trPr>
        <w:tc>
          <w:tcPr>
            <w:tcW w:w="1012" w:type="dxa"/>
            <w:tcBorders>
              <w:top w:val="single" w:color="auto" w:sz="4" w:space="0"/>
              <w:left w:val="single" w:color="auto" w:sz="4" w:space="0"/>
              <w:bottom w:val="single" w:color="auto" w:sz="4" w:space="0"/>
              <w:right w:val="single" w:color="auto" w:sz="4" w:space="0"/>
            </w:tcBorders>
            <w:noWrap w:val="0"/>
            <w:vAlign w:val="center"/>
          </w:tcPr>
          <w:p w14:paraId="19E40C8B">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评分点</w:t>
            </w:r>
          </w:p>
        </w:tc>
        <w:tc>
          <w:tcPr>
            <w:tcW w:w="7702" w:type="dxa"/>
            <w:tcBorders>
              <w:top w:val="single" w:color="auto" w:sz="4" w:space="0"/>
              <w:left w:val="single" w:color="auto" w:sz="4" w:space="0"/>
              <w:bottom w:val="single" w:color="auto" w:sz="4" w:space="0"/>
              <w:right w:val="single" w:color="auto" w:sz="4" w:space="0"/>
            </w:tcBorders>
            <w:noWrap w:val="0"/>
            <w:vAlign w:val="center"/>
          </w:tcPr>
          <w:p w14:paraId="238CC57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360" w:firstLineChars="150"/>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评审内容</w:t>
            </w:r>
          </w:p>
        </w:tc>
        <w:tc>
          <w:tcPr>
            <w:tcW w:w="864" w:type="dxa"/>
            <w:tcBorders>
              <w:top w:val="single" w:color="auto" w:sz="4" w:space="0"/>
              <w:left w:val="single" w:color="auto" w:sz="4" w:space="0"/>
              <w:bottom w:val="single" w:color="auto" w:sz="4" w:space="0"/>
              <w:right w:val="single" w:color="auto" w:sz="4" w:space="0"/>
            </w:tcBorders>
            <w:noWrap w:val="0"/>
            <w:vAlign w:val="center"/>
          </w:tcPr>
          <w:p w14:paraId="4783B38F">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color w:val="auto"/>
                <w:spacing w:val="0"/>
                <w:w w:val="100"/>
                <w:kern w:val="0"/>
                <w:position w:val="0"/>
                <w:sz w:val="24"/>
                <w:szCs w:val="24"/>
                <w:highlight w:val="none"/>
              </w:rPr>
            </w:pPr>
            <w:r>
              <w:rPr>
                <w:rFonts w:hint="eastAsia" w:ascii="宋体" w:hAnsi="宋体" w:eastAsia="宋体" w:cs="宋体"/>
                <w:b w:val="0"/>
                <w:bCs/>
                <w:color w:val="auto"/>
                <w:spacing w:val="0"/>
                <w:w w:val="100"/>
                <w:kern w:val="0"/>
                <w:position w:val="0"/>
                <w:sz w:val="24"/>
                <w:szCs w:val="24"/>
                <w:highlight w:val="none"/>
              </w:rPr>
              <w:t>分值</w:t>
            </w:r>
          </w:p>
        </w:tc>
      </w:tr>
      <w:tr w14:paraId="2E7B5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FD235DE">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val="0"/>
                <w:bCs/>
                <w:sz w:val="24"/>
                <w:szCs w:val="24"/>
                <w:highlight w:val="none"/>
              </w:rPr>
              <w:t>技术符合性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098147A6">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sz w:val="24"/>
                <w:szCs w:val="24"/>
                <w:highlight w:val="none"/>
              </w:rPr>
            </w:pPr>
            <w:r>
              <w:rPr>
                <w:rFonts w:hint="eastAsia" w:ascii="宋体" w:hAnsi="宋体" w:eastAsia="宋体" w:cs="宋体"/>
                <w:b w:val="0"/>
                <w:bCs/>
                <w:sz w:val="24"/>
                <w:szCs w:val="24"/>
                <w:highlight w:val="none"/>
              </w:rPr>
              <w:t>完全满足招标文件技术要求，若有一项不满足或出现负偏离的，视为未实质性响应招标文件，按无效投标处理。</w:t>
            </w:r>
          </w:p>
          <w:p w14:paraId="75FF0C72">
            <w:pPr>
              <w:keepNext w:val="0"/>
              <w:keepLines w:val="0"/>
              <w:pageBreakBefore w:val="0"/>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bCs w:val="0"/>
                <w:sz w:val="24"/>
                <w:szCs w:val="24"/>
                <w:highlight w:val="none"/>
              </w:rPr>
              <w:t>评审依据：投标文件中提供的技术规格响应/偏离表，文件另有约定的从其约定。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D48ADA">
            <w:pPr>
              <w:keepNext w:val="0"/>
              <w:keepLines w:val="0"/>
              <w:pageBreakBefore w:val="0"/>
              <w:kinsoku w:val="0"/>
              <w:wordWrap/>
              <w:overflowPunct/>
              <w:topLinePunct w:val="0"/>
              <w:autoSpaceDE w:val="0"/>
              <w:autoSpaceDN w:val="0"/>
              <w:bidi w:val="0"/>
              <w:adjustRightInd w:val="0"/>
              <w:snapToGrid w:val="0"/>
              <w:spacing w:line="360" w:lineRule="auto"/>
              <w:textAlignment w:val="center"/>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val="0"/>
                <w:bCs/>
                <w:sz w:val="24"/>
                <w:szCs w:val="24"/>
                <w:highlight w:val="none"/>
              </w:rPr>
              <w:t>符合性评审</w:t>
            </w:r>
          </w:p>
        </w:tc>
      </w:tr>
      <w:tr w14:paraId="4E721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trPr>
        <w:tc>
          <w:tcPr>
            <w:tcW w:w="101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81608E0">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 xml:space="preserve">商务符 </w:t>
            </w:r>
          </w:p>
          <w:p w14:paraId="5B277D88">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val="0"/>
                <w:bCs/>
                <w:kern w:val="0"/>
                <w:sz w:val="24"/>
                <w:szCs w:val="24"/>
                <w:highlight w:val="none"/>
              </w:rPr>
              <w:t>合性</w:t>
            </w:r>
          </w:p>
        </w:tc>
        <w:tc>
          <w:tcPr>
            <w:tcW w:w="7702"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2C9DB663">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kern w:val="0"/>
                <w:sz w:val="24"/>
                <w:szCs w:val="24"/>
                <w:highlight w:val="none"/>
              </w:rPr>
            </w:pPr>
            <w:r>
              <w:rPr>
                <w:rFonts w:hint="eastAsia" w:ascii="宋体" w:hAnsi="宋体" w:eastAsia="宋体" w:cs="宋体"/>
                <w:b w:val="0"/>
                <w:bCs/>
                <w:kern w:val="0"/>
                <w:sz w:val="24"/>
                <w:szCs w:val="24"/>
                <w:highlight w:val="none"/>
              </w:rPr>
              <w:t xml:space="preserve">投标人的商务内容全部满足招标文件商务要求，若有一项不满足或负偏离的，视为未实质性响应招标文件，按无效响应处理； </w:t>
            </w:r>
          </w:p>
          <w:p w14:paraId="0B4EF44F">
            <w:pPr>
              <w:keepNext w:val="0"/>
              <w:keepLines w:val="0"/>
              <w:pageBreakBefore w:val="0"/>
              <w:kinsoku w:val="0"/>
              <w:wordWrap/>
              <w:overflowPunct/>
              <w:topLinePunct w:val="0"/>
              <w:autoSpaceDE w:val="0"/>
              <w:autoSpaceDN w:val="0"/>
              <w:bidi w:val="0"/>
              <w:adjustRightInd w:val="0"/>
              <w:snapToGrid w:val="0"/>
              <w:spacing w:line="360" w:lineRule="auto"/>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bCs w:val="0"/>
                <w:kern w:val="0"/>
                <w:sz w:val="24"/>
                <w:szCs w:val="24"/>
                <w:highlight w:val="none"/>
              </w:rPr>
              <w:t>评审依据：投标文件中提供的商务条款响应/偏离表，文件另有约定的从其约定。</w:t>
            </w:r>
          </w:p>
        </w:tc>
        <w:tc>
          <w:tcPr>
            <w:tcW w:w="864" w:type="dxa"/>
            <w:tcBorders>
              <w:top w:val="single" w:color="auto" w:sz="4" w:space="0"/>
              <w:left w:val="single" w:color="auto" w:sz="4" w:space="0"/>
              <w:bottom w:val="single" w:color="auto" w:sz="4" w:space="0"/>
              <w:right w:val="single" w:color="auto" w:sz="4" w:space="0"/>
            </w:tcBorders>
            <w:shd w:val="clear" w:color="auto" w:fill="auto"/>
            <w:noWrap w:val="0"/>
            <w:vAlign w:val="center"/>
          </w:tcPr>
          <w:p w14:paraId="4ACF4EA6">
            <w:pPr>
              <w:keepNext w:val="0"/>
              <w:keepLines w:val="0"/>
              <w:pageBreakBefore w:val="0"/>
              <w:kinsoku w:val="0"/>
              <w:wordWrap/>
              <w:overflowPunct/>
              <w:topLinePunct w:val="0"/>
              <w:autoSpaceDE w:val="0"/>
              <w:autoSpaceDN w:val="0"/>
              <w:bidi w:val="0"/>
              <w:adjustRightInd w:val="0"/>
              <w:snapToGrid w:val="0"/>
              <w:spacing w:line="360" w:lineRule="auto"/>
              <w:jc w:val="center"/>
              <w:rPr>
                <w:rFonts w:hint="eastAsia" w:ascii="宋体" w:hAnsi="宋体" w:eastAsia="宋体" w:cs="宋体"/>
                <w:b w:val="0"/>
                <w:bCs/>
                <w:snapToGrid w:val="0"/>
                <w:color w:val="000000"/>
                <w:kern w:val="0"/>
                <w:sz w:val="24"/>
                <w:szCs w:val="24"/>
                <w:highlight w:val="none"/>
                <w:lang w:val="en-US" w:eastAsia="en-US" w:bidi="ar-SA"/>
              </w:rPr>
            </w:pPr>
            <w:r>
              <w:rPr>
                <w:rFonts w:hint="eastAsia" w:ascii="宋体" w:hAnsi="宋体" w:eastAsia="宋体" w:cs="宋体"/>
                <w:b w:val="0"/>
                <w:bCs/>
                <w:sz w:val="24"/>
                <w:szCs w:val="24"/>
                <w:highlight w:val="none"/>
              </w:rPr>
              <w:t>符合性审查</w:t>
            </w:r>
          </w:p>
        </w:tc>
      </w:tr>
    </w:tbl>
    <w:p w14:paraId="04964F7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eastAsia" w:ascii="宋体" w:hAnsi="宋体" w:eastAsia="宋体" w:cs="宋体"/>
          <w:b/>
          <w:bCs/>
          <w:sz w:val="24"/>
          <w:szCs w:val="24"/>
          <w:highlight w:val="none"/>
          <w:vertAlign w:val="baseline"/>
          <w:lang w:val="en-US" w:eastAsia="zh-CN"/>
        </w:rPr>
      </w:pPr>
      <w:r>
        <w:rPr>
          <w:rFonts w:hint="eastAsia" w:ascii="宋体" w:hAnsi="宋体" w:eastAsia="宋体" w:cs="宋体"/>
          <w:b/>
          <w:bCs/>
          <w:sz w:val="24"/>
          <w:szCs w:val="24"/>
          <w:highlight w:val="none"/>
          <w:vertAlign w:val="baseline"/>
          <w:lang w:val="en-US" w:eastAsia="zh-CN"/>
        </w:rPr>
        <w:t>为方便评审，符合性评审中检测报告或测试报告佐证的参数，投标人在编制投标文件时应编制目录及索引，并对参数佐证材料做好标注。</w:t>
      </w:r>
    </w:p>
    <w:p w14:paraId="415B1063">
      <w:pPr>
        <w:pageBreakBefore w:val="0"/>
        <w:widowControl w:val="0"/>
        <w:wordWrap/>
        <w:overflowPunct/>
        <w:topLinePunct w:val="0"/>
        <w:bidi w:val="0"/>
        <w:rPr>
          <w:rFonts w:hint="eastAsia" w:ascii="宋体" w:hAnsi="宋体" w:eastAsia="宋体" w:cs="宋体"/>
          <w:color w:val="auto"/>
          <w:spacing w:val="0"/>
          <w:w w:val="100"/>
          <w:position w:val="0"/>
          <w:highlight w:val="none"/>
          <w:lang w:eastAsia="zh-CN"/>
        </w:rPr>
      </w:pPr>
    </w:p>
    <w:sectPr>
      <w:footerReference r:id="rId24" w:type="default"/>
      <w:pgSz w:w="11906" w:h="16839"/>
      <w:pgMar w:top="1429" w:right="1304" w:bottom="1156" w:left="1307" w:header="0" w:footer="994"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Wingdings 2">
    <w:panose1 w:val="05020102010507070707"/>
    <w:charset w:val="00"/>
    <w:family w:val="auto"/>
    <w:pitch w:val="default"/>
    <w:sig w:usb0="00000000" w:usb1="00000000" w:usb2="00000000" w:usb3="00000000" w:csb0="80000000" w:csb1="00000000"/>
    <w:embedRegular r:id="rId1" w:fontKey="{C05F7CA3-73E3-40CE-A251-349B51588191}"/>
  </w:font>
  <w:font w:name="Cambria Math">
    <w:panose1 w:val="02040503050406030204"/>
    <w:charset w:val="00"/>
    <w:family w:val="auto"/>
    <w:pitch w:val="default"/>
    <w:sig w:usb0="E00006FF" w:usb1="420024FF" w:usb2="02000000" w:usb3="00000000" w:csb0="2000019F" w:csb1="00000000"/>
    <w:embedRegular r:id="rId2" w:fontKey="{5EF29E4E-E2D6-467F-98A7-6B0D1EC93AF6}"/>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B2176">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BA0F5">
    <w:pPr>
      <w:spacing w:line="176" w:lineRule="auto"/>
      <w:ind w:left="487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87F512D">
                          <w:pPr>
                            <w:pStyle w:val="11"/>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87F512D">
                    <w:pPr>
                      <w:pStyle w:val="11"/>
                    </w:pPr>
                    <w:r>
                      <w:fldChar w:fldCharType="begin"/>
                    </w:r>
                    <w:r>
                      <w:instrText xml:space="preserve"> PAGE  \* MERGEFORMAT </w:instrText>
                    </w:r>
                    <w:r>
                      <w:fldChar w:fldCharType="separate"/>
                    </w:r>
                    <w:r>
                      <w:t>38</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AF5E08">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E1D68E">
                          <w:pPr>
                            <w:pStyle w:val="11"/>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ufqQQ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ufqQQzAgAAYwQAAA4AAAAAAAAAAQAgAAAAHwEAAGRycy9lMm9Eb2MueG1sUEsF&#10;BgAAAAAGAAYAWQEAAMQFAAAAAA==&#10;">
              <v:fill on="f" focussize="0,0"/>
              <v:stroke on="f" weight="0.5pt"/>
              <v:imagedata o:title=""/>
              <o:lock v:ext="edit" aspectratio="f"/>
              <v:textbox inset="0mm,0mm,0mm,0mm" style="mso-fit-shape-to-text:t;">
                <w:txbxContent>
                  <w:p w14:paraId="1EE1D68E">
                    <w:pPr>
                      <w:pStyle w:val="11"/>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7016F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B29151">
                          <w:pPr>
                            <w:pStyle w:val="11"/>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44B29151">
                    <w:pPr>
                      <w:pStyle w:val="11"/>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0D98C5">
    <w:pPr>
      <w:spacing w:line="176" w:lineRule="auto"/>
      <w:ind w:left="4367"/>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AEE0AB">
                          <w:pPr>
                            <w:pStyle w:val="11"/>
                          </w:pPr>
                          <w:r>
                            <w:fldChar w:fldCharType="begin"/>
                          </w:r>
                          <w:r>
                            <w:instrText xml:space="preserve"> PAGE  \* MERGEFORMAT </w:instrText>
                          </w:r>
                          <w:r>
                            <w:fldChar w:fldCharType="separate"/>
                          </w:r>
                          <w:r>
                            <w:t>44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4FAEE0AB">
                    <w:pPr>
                      <w:pStyle w:val="11"/>
                    </w:pPr>
                    <w:r>
                      <w:fldChar w:fldCharType="begin"/>
                    </w:r>
                    <w:r>
                      <w:instrText xml:space="preserve"> PAGE  \* MERGEFORMAT </w:instrText>
                    </w:r>
                    <w:r>
                      <w:fldChar w:fldCharType="separate"/>
                    </w:r>
                    <w:r>
                      <w:t>44</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DF977D">
    <w:pPr>
      <w:pStyle w:val="11"/>
    </w:pPr>
    <w:r>
      <w:rPr>
        <w:sz w:val="18"/>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B0E0E5">
                          <w:pPr>
                            <w:pStyle w:val="11"/>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yFQwzAgAAYwQAAA4AAABkcnMvZTJvRG9jLnhtbK1UzY7TMBC+I/EO&#10;lu80aYGq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TdTSjRTqPjlx/fL&#10;z4fLr28EZxCotn6OuJ1FZGjemQZtM5x7HEbeTeFU/IIRgR/ynq/yiiYQHi/NJrNZCheHb9gAP3m8&#10;bp0P74VRJBoZdahfKys7bX3oQoeQmE2bTSVlW0OpSZ3R6eu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EyFQwzAgAAYwQAAA4AAAAAAAAAAQAgAAAAHwEAAGRycy9lMm9Eb2MueG1sUEsF&#10;BgAAAAAGAAYAWQEAAMQFAAAAAA==&#10;">
              <v:fill on="f" focussize="0,0"/>
              <v:stroke on="f" weight="0.5pt"/>
              <v:imagedata o:title=""/>
              <o:lock v:ext="edit" aspectratio="f"/>
              <v:textbox inset="0mm,0mm,0mm,0mm" style="mso-fit-shape-to-text:t;">
                <w:txbxContent>
                  <w:p w14:paraId="72B0E0E5">
                    <w:pPr>
                      <w:pStyle w:val="11"/>
                    </w:pPr>
                    <w:r>
                      <w:fldChar w:fldCharType="begin"/>
                    </w:r>
                    <w:r>
                      <w:instrText xml:space="preserve"> PAGE  \* MERGEFORMAT </w:instrText>
                    </w:r>
                    <w:r>
                      <w:fldChar w:fldCharType="separate"/>
                    </w:r>
                    <w:r>
                      <w:t>46</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C37D1">
    <w:pPr>
      <w:pStyle w:val="11"/>
      <w:rPr>
        <w:lang w:eastAsia="zh-CN"/>
      </w:rPr>
    </w:pPr>
    <w:r>
      <w:rPr>
        <w:sz w:val="18"/>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66FA7C">
                          <w:pPr>
                            <w:pStyle w:val="11"/>
                          </w:pPr>
                          <w:r>
                            <w:fldChar w:fldCharType="begin"/>
                          </w:r>
                          <w:r>
                            <w:instrText xml:space="preserve"> PAGE  \* MERGEFORMAT </w:instrText>
                          </w:r>
                          <w:r>
                            <w:fldChar w:fldCharType="separate"/>
                          </w:r>
                          <w:r>
                            <w:t>47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OaguMzAgAAYwQAAA4AAABkcnMvZTJvRG9jLnhtbK1UzY7TMBC+I/EO&#10;lu80aYGlqp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OaguMzAgAAYwQAAA4AAAAAAAAAAQAgAAAAHwEAAGRycy9lMm9Eb2MueG1sUEsF&#10;BgAAAAAGAAYAWQEAAMQFAAAAAA==&#10;">
              <v:fill on="f" focussize="0,0"/>
              <v:stroke on="f" weight="0.5pt"/>
              <v:imagedata o:title=""/>
              <o:lock v:ext="edit" aspectratio="f"/>
              <v:textbox inset="0mm,0mm,0mm,0mm" style="mso-fit-shape-to-text:t;">
                <w:txbxContent>
                  <w:p w14:paraId="7C66FA7C">
                    <w:pPr>
                      <w:pStyle w:val="11"/>
                    </w:pPr>
                    <w:r>
                      <w:fldChar w:fldCharType="begin"/>
                    </w:r>
                    <w:r>
                      <w:instrText xml:space="preserve"> PAGE  \* MERGEFORMAT </w:instrText>
                    </w:r>
                    <w:r>
                      <w:fldChar w:fldCharType="separate"/>
                    </w:r>
                    <w:r>
                      <w:t>47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385FDB">
    <w:pPr>
      <w:pStyle w:val="11"/>
      <w:rPr>
        <w:lang w:eastAsia="zh-CN"/>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6A7783">
                          <w:pPr>
                            <w:pStyle w:val="11"/>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qSjhE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DqSjhEzAgAAYwQAAA4AAAAAAAAAAQAgAAAAHwEAAGRycy9lMm9Eb2MueG1sUEsF&#10;BgAAAAAGAAYAWQEAAMQFAAAAAA==&#10;">
              <v:fill on="f" focussize="0,0"/>
              <v:stroke on="f" weight="0.5pt"/>
              <v:imagedata o:title=""/>
              <o:lock v:ext="edit" aspectratio="f"/>
              <v:textbox inset="0mm,0mm,0mm,0mm" style="mso-fit-shape-to-text:t;">
                <w:txbxContent>
                  <w:p w14:paraId="776A7783">
                    <w:pPr>
                      <w:pStyle w:val="11"/>
                    </w:pPr>
                    <w:r>
                      <w:fldChar w:fldCharType="begin"/>
                    </w:r>
                    <w:r>
                      <w:instrText xml:space="preserve"> PAGE  \* MERGEFORMAT </w:instrText>
                    </w:r>
                    <w:r>
                      <w:fldChar w:fldCharType="separate"/>
                    </w:r>
                    <w:r>
                      <w:t>54</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82762">
    <w:pPr>
      <w:pStyle w:val="11"/>
      <w:rPr>
        <w:lang w:eastAsia="zh-CN"/>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CE704F">
                          <w:pPr>
                            <w:pStyle w:val="11"/>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CCE704F">
                    <w:pPr>
                      <w:pStyle w:val="11"/>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DC485">
    <w:pPr>
      <w:pStyle w:val="11"/>
      <w:rPr>
        <w:lang w:eastAsia="zh-CN"/>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536C62">
                          <w:pPr>
                            <w:pStyle w:val="11"/>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Dp+ypgwAgAAYwQAAA4AAAAAAAAAAQAgAAAAHwEAAGRycy9lMm9Eb2MueG1sUEsFBgAA&#10;AAAGAAYAWQEAAMEFAAAAAA==&#10;">
              <v:fill on="f" focussize="0,0"/>
              <v:stroke on="f" weight="0.5pt"/>
              <v:imagedata o:title=""/>
              <o:lock v:ext="edit" aspectratio="f"/>
              <v:textbox inset="0mm,0mm,0mm,0mm" style="mso-fit-shape-to-text:t;">
                <w:txbxContent>
                  <w:p w14:paraId="04536C62">
                    <w:pPr>
                      <w:pStyle w:val="11"/>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102A2">
    <w:pPr>
      <w:pStyle w:val="11"/>
      <w:rPr>
        <w:lang w:eastAsia="zh-CN"/>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0465D7">
                          <w:pPr>
                            <w:pStyle w:val="11"/>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jWXXczAgAAYwQAAA4AAAAAAAAAAQAgAAAAHwEAAGRycy9lMm9Eb2MueG1sUEsF&#10;BgAAAAAGAAYAWQEAAMQFAAAAAA==&#10;">
              <v:fill on="f" focussize="0,0"/>
              <v:stroke on="f" weight="0.5pt"/>
              <v:imagedata o:title=""/>
              <o:lock v:ext="edit" aspectratio="f"/>
              <v:textbox inset="0mm,0mm,0mm,0mm" style="mso-fit-shape-to-text:t;">
                <w:txbxContent>
                  <w:p w14:paraId="470465D7">
                    <w:pPr>
                      <w:pStyle w:val="11"/>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39FAB">
    <w:pPr>
      <w:spacing w:line="173" w:lineRule="auto"/>
      <w:ind w:left="5140"/>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DA3C20">
                          <w:pPr>
                            <w:pStyle w:val="11"/>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ptGXY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1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EptGXYzAgAAYwQAAA4AAAAAAAAAAQAgAAAAHwEAAGRycy9lMm9Eb2MueG1sUEsF&#10;BgAAAAAGAAYAWQEAAMQFAAAAAA==&#10;">
              <v:fill on="f" focussize="0,0"/>
              <v:stroke on="f" weight="0.5pt"/>
              <v:imagedata o:title=""/>
              <o:lock v:ext="edit" aspectratio="f"/>
              <v:textbox inset="0mm,0mm,0mm,0mm" style="mso-fit-shape-to-text:t;">
                <w:txbxContent>
                  <w:p w14:paraId="46DA3C20">
                    <w:pPr>
                      <w:pStyle w:val="11"/>
                    </w:pPr>
                    <w:r>
                      <w:fldChar w:fldCharType="begin"/>
                    </w:r>
                    <w:r>
                      <w:instrText xml:space="preserve"> PAGE  \* MERGEFORMAT </w:instrText>
                    </w:r>
                    <w:r>
                      <w:fldChar w:fldCharType="separate"/>
                    </w:r>
                    <w:r>
                      <w:t>7</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C70FC">
    <w:pPr>
      <w:pStyle w:val="11"/>
      <w:rPr>
        <w:lang w:eastAsia="zh-CN"/>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2F5B66">
                          <w:pPr>
                            <w:pStyle w:val="11"/>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8olJwzAgAAYwQAAA4AAABkcnMvZTJvRG9jLnhtbK1US44TMRDdI3EH&#10;y3vSSdC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8olJwzAgAAYwQAAA4AAAAAAAAAAQAgAAAAHwEAAGRycy9lMm9Eb2MueG1sUEsF&#10;BgAAAAAGAAYAWQEAAMQFAAAAAA==&#10;">
              <v:fill on="f" focussize="0,0"/>
              <v:stroke on="f" weight="0.5pt"/>
              <v:imagedata o:title=""/>
              <o:lock v:ext="edit" aspectratio="f"/>
              <v:textbox inset="0mm,0mm,0mm,0mm" style="mso-fit-shape-to-text:t;">
                <w:txbxContent>
                  <w:p w14:paraId="0C2F5B66">
                    <w:pPr>
                      <w:pStyle w:val="11"/>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7D798">
    <w:pPr>
      <w:pStyle w:val="11"/>
      <w:rPr>
        <w:lang w:eastAsia="zh-CN"/>
      </w:rPr>
    </w:pPr>
    <w:r>
      <w:rPr>
        <w:sz w:val="18"/>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5EE3A5">
                          <w:pPr>
                            <w:pStyle w:val="11"/>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775EE3A5">
                    <w:pPr>
                      <w:pStyle w:val="11"/>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0C3AE9">
    <w:pPr>
      <w:pStyle w:val="11"/>
      <w:rPr>
        <w:lang w:eastAsia="zh-CN"/>
      </w:rPr>
    </w:pPr>
    <w:r>
      <w:rPr>
        <w:sz w:val="18"/>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79707A0">
                          <w:pPr>
                            <w:pStyle w:val="11"/>
                          </w:pPr>
                          <w:r>
                            <w:fldChar w:fldCharType="begin"/>
                          </w:r>
                          <w:r>
                            <w:instrText xml:space="preserve"> PAGE  \* MERGEFORMAT </w:instrText>
                          </w:r>
                          <w:r>
                            <w:fldChar w:fldCharType="separate"/>
                          </w:r>
                          <w:r>
                            <w:t>61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J74X8zAgAAY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PJ74X8zAgAAYwQAAA4AAAAAAAAAAQAgAAAAHwEAAGRycy9lMm9Eb2MueG1sUEsF&#10;BgAAAAAGAAYAWQEAAMQFAAAAAA==&#10;">
              <v:fill on="f" focussize="0,0"/>
              <v:stroke on="f" weight="0.5pt"/>
              <v:imagedata o:title=""/>
              <o:lock v:ext="edit" aspectratio="f"/>
              <v:textbox inset="0mm,0mm,0mm,0mm" style="mso-fit-shape-to-text:t;">
                <w:txbxContent>
                  <w:p w14:paraId="279707A0">
                    <w:pPr>
                      <w:pStyle w:val="11"/>
                    </w:pPr>
                    <w:r>
                      <w:fldChar w:fldCharType="begin"/>
                    </w:r>
                    <w:r>
                      <w:instrText xml:space="preserve"> PAGE  \* MERGEFORMAT </w:instrText>
                    </w:r>
                    <w:r>
                      <w:fldChar w:fldCharType="separate"/>
                    </w:r>
                    <w:r>
                      <w:t>61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119380">
    <w:pPr>
      <w:spacing w:line="176" w:lineRule="auto"/>
      <w:ind w:left="459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ED6C72">
                          <w:pPr>
                            <w:pStyle w:val="11"/>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jFjpk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1f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AjFjpkzAgAAYwQAAA4AAAAAAAAAAQAgAAAAHwEAAGRycy9lMm9Eb2MueG1sUEsF&#10;BgAAAAAGAAYAWQEAAMQFAAAAAA==&#10;">
              <v:fill on="f" focussize="0,0"/>
              <v:stroke on="f" weight="0.5pt"/>
              <v:imagedata o:title=""/>
              <o:lock v:ext="edit" aspectratio="f"/>
              <v:textbox inset="0mm,0mm,0mm,0mm" style="mso-fit-shape-to-text:t;">
                <w:txbxContent>
                  <w:p w14:paraId="3CED6C72">
                    <w:pPr>
                      <w:pStyle w:val="11"/>
                    </w:pPr>
                    <w:r>
                      <w:fldChar w:fldCharType="begin"/>
                    </w:r>
                    <w:r>
                      <w:instrText xml:space="preserve"> PAGE  \* MERGEFORMAT </w:instrText>
                    </w:r>
                    <w:r>
                      <w:fldChar w:fldCharType="separate"/>
                    </w:r>
                    <w:r>
                      <w:t>13</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009E22">
    <w:pPr>
      <w:spacing w:line="176" w:lineRule="auto"/>
      <w:ind w:left="457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35A7EE7">
                          <w:pPr>
                            <w:pStyle w:val="11"/>
                          </w:pPr>
                          <w:r>
                            <w:fldChar w:fldCharType="begin"/>
                          </w:r>
                          <w:r>
                            <w:instrText xml:space="preserve"> PAGE  \* MERGEFORMAT </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87R3IzAgAAY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Ha2rDmV3AZ1n&#10;WdjqneUxTRTS29UxQMxW4yhQp0qvG3qvrVI/J7G5/9y3UU//huUj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I87R3IzAgAAYwQAAA4AAAAAAAAAAQAgAAAAHwEAAGRycy9lMm9Eb2MueG1sUEsF&#10;BgAAAAAGAAYAWQEAAMQFAAAAAA==&#10;">
              <v:fill on="f" focussize="0,0"/>
              <v:stroke on="f" weight="0.5pt"/>
              <v:imagedata o:title=""/>
              <o:lock v:ext="edit" aspectratio="f"/>
              <v:textbox inset="0mm,0mm,0mm,0mm" style="mso-fit-shape-to-text:t;">
                <w:txbxContent>
                  <w:p w14:paraId="735A7EE7">
                    <w:pPr>
                      <w:pStyle w:val="11"/>
                    </w:pPr>
                    <w:r>
                      <w:fldChar w:fldCharType="begin"/>
                    </w:r>
                    <w:r>
                      <w:instrText xml:space="preserve"> PAGE  \* MERGEFORMAT </w:instrText>
                    </w:r>
                    <w:r>
                      <w:fldChar w:fldCharType="separate"/>
                    </w:r>
                    <w:r>
                      <w:t>30</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2479E">
    <w:pPr>
      <w:spacing w:line="176" w:lineRule="auto"/>
      <w:ind w:left="458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640E83">
                          <w:pPr>
                            <w:pStyle w:val="11"/>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2T0J0zAgAAYwQAAA4AAABkcnMvZTJvRG9jLnhtbK1UzY7TMBC+I/EO&#10;lu80aVcs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2T0J0zAgAAYwQAAA4AAAAAAAAAAQAgAAAAHwEAAGRycy9lMm9Eb2MueG1sUEsF&#10;BgAAAAAGAAYAWQEAAMQFAAAAAA==&#10;">
              <v:fill on="f" focussize="0,0"/>
              <v:stroke on="f" weight="0.5pt"/>
              <v:imagedata o:title=""/>
              <o:lock v:ext="edit" aspectratio="f"/>
              <v:textbox inset="0mm,0mm,0mm,0mm" style="mso-fit-shape-to-text:t;">
                <w:txbxContent>
                  <w:p w14:paraId="75640E83">
                    <w:pPr>
                      <w:pStyle w:val="11"/>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34D13F">
    <w:pPr>
      <w:spacing w:line="176" w:lineRule="auto"/>
      <w:ind w:left="4226"/>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FC2728">
                          <w:pPr>
                            <w:pStyle w:val="11"/>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Sb3G8z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NSb3G8zAgAAYwQAAA4AAAAAAAAAAQAgAAAAHwEAAGRycy9lMm9Eb2MueG1sUEsF&#10;BgAAAAAGAAYAWQEAAMQFAAAAAA==&#10;">
              <v:fill on="f" focussize="0,0"/>
              <v:stroke on="f" weight="0.5pt"/>
              <v:imagedata o:title=""/>
              <o:lock v:ext="edit" aspectratio="f"/>
              <v:textbox inset="0mm,0mm,0mm,0mm" style="mso-fit-shape-to-text:t;">
                <w:txbxContent>
                  <w:p w14:paraId="5BFC2728">
                    <w:pPr>
                      <w:pStyle w:val="11"/>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FE9315">
    <w:pPr>
      <w:spacing w:line="176" w:lineRule="auto"/>
      <w:ind w:left="701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F8C163">
                          <w:pPr>
                            <w:pStyle w:val="11"/>
                          </w:pPr>
                          <w:r>
                            <w:fldChar w:fldCharType="begin"/>
                          </w:r>
                          <w:r>
                            <w:instrText xml:space="preserve"> PAGE  \* MERGEFORMAT </w:instrText>
                          </w:r>
                          <w:r>
                            <w:fldChar w:fldCharType="separate"/>
                          </w:r>
                          <w:r>
                            <w:t>36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YzS4AzAgAAYwQAAA4AAABkcnMvZTJvRG9jLnhtbK1UzY7TMBC+I/EO&#10;lu80aVesSt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OoNJYZpVPz0/dvp&#10;x6/Tz68EZxCocWGGuAeHyNi+tS3aZjgPOEy828rr9AUjAj/kPV7kFW0kPF2aTqbTHC4O37ABfvZ4&#10;3fkQ3wmrSTIK6lG/TlZ22ITYhw4hKZuxa6lUV0NlSFPQ66vX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JYzS4AzAgAAYwQAAA4AAAAAAAAAAQAgAAAAHwEAAGRycy9lMm9Eb2MueG1sUEsF&#10;BgAAAAAGAAYAWQEAAMQFAAAAAA==&#10;">
              <v:fill on="f" focussize="0,0"/>
              <v:stroke on="f" weight="0.5pt"/>
              <v:imagedata o:title=""/>
              <o:lock v:ext="edit" aspectratio="f"/>
              <v:textbox inset="0mm,0mm,0mm,0mm" style="mso-fit-shape-to-text:t;">
                <w:txbxContent>
                  <w:p w14:paraId="0EF8C163">
                    <w:pPr>
                      <w:pStyle w:val="11"/>
                    </w:pPr>
                    <w:r>
                      <w:fldChar w:fldCharType="begin"/>
                    </w:r>
                    <w:r>
                      <w:instrText xml:space="preserve"> PAGE  \* MERGEFORMAT </w:instrText>
                    </w:r>
                    <w:r>
                      <w:fldChar w:fldCharType="separate"/>
                    </w:r>
                    <w:r>
                      <w:t>36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05152">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B6A89F">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7J9wAzAgAAYw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C7J9wAzAgAAYwQAAA4AAAAAAAAAAQAgAAAAHwEAAGRycy9lMm9Eb2MueG1sUEsF&#10;BgAAAAAGAAYAWQEAAMQFAAAAAA==&#10;">
              <v:fill on="f" focussize="0,0"/>
              <v:stroke on="f" weight="0.5pt"/>
              <v:imagedata o:title=""/>
              <o:lock v:ext="edit" aspectratio="f"/>
              <v:textbox inset="0mm,0mm,0mm,0mm" style="mso-fit-shape-to-text:t;">
                <w:txbxContent>
                  <w:p w14:paraId="15B6A89F">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24494">
    <w:pPr>
      <w:spacing w:line="176" w:lineRule="auto"/>
      <w:ind w:left="4452"/>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7606E1">
                          <w:pPr>
                            <w:pStyle w:val="11"/>
                          </w:pPr>
                          <w:r>
                            <w:fldChar w:fldCharType="begin"/>
                          </w:r>
                          <w:r>
                            <w:instrText xml:space="preserve"> PAGE  \* MERGEFORMAT </w:instrText>
                          </w:r>
                          <w:r>
                            <w:fldChar w:fldCharType="separate"/>
                          </w:r>
                          <w:r>
                            <w:t>37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UJagQ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FCWoEMQIAAGMEAAAOAAAAAAAAAAEAIAAAAB8BAABkcnMvZTJvRG9jLnhtbFBLBQYA&#10;AAAABgAGAFkBAADCBQAAAAA=&#10;">
              <v:fill on="f" focussize="0,0"/>
              <v:stroke on="f" weight="0.5pt"/>
              <v:imagedata o:title=""/>
              <o:lock v:ext="edit" aspectratio="f"/>
              <v:textbox inset="0mm,0mm,0mm,0mm" style="mso-fit-shape-to-text:t;">
                <w:txbxContent>
                  <w:p w14:paraId="017606E1">
                    <w:pPr>
                      <w:pStyle w:val="11"/>
                    </w:pPr>
                    <w:r>
                      <w:fldChar w:fldCharType="begin"/>
                    </w:r>
                    <w:r>
                      <w:instrText xml:space="preserve"> PAGE  \* MERGEFORMAT </w:instrText>
                    </w:r>
                    <w:r>
                      <w:fldChar w:fldCharType="separate"/>
                    </w:r>
                    <w:r>
                      <w:t>37</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abstractNum w:abstractNumId="1">
    <w:nsid w:val="C69CCFD4"/>
    <w:multiLevelType w:val="singleLevel"/>
    <w:tmpl w:val="C69CCFD4"/>
    <w:lvl w:ilvl="0" w:tentative="0">
      <w:start w:val="4"/>
      <w:numFmt w:val="decimal"/>
      <w:lvlText w:val="%1."/>
      <w:lvlJc w:val="left"/>
      <w:pPr>
        <w:tabs>
          <w:tab w:val="left" w:pos="312"/>
        </w:tabs>
      </w:pPr>
    </w:lvl>
  </w:abstractNum>
  <w:abstractNum w:abstractNumId="2">
    <w:nsid w:val="E18CB6F5"/>
    <w:multiLevelType w:val="singleLevel"/>
    <w:tmpl w:val="E18CB6F5"/>
    <w:lvl w:ilvl="0" w:tentative="0">
      <w:start w:val="1"/>
      <w:numFmt w:val="chineseCounting"/>
      <w:suff w:val="nothing"/>
      <w:lvlText w:val="%1、"/>
      <w:lvlJc w:val="left"/>
      <w:rPr>
        <w:rFonts w:hint="eastAsia"/>
      </w:rPr>
    </w:lvl>
  </w:abstractNum>
  <w:abstractNum w:abstractNumId="3">
    <w:nsid w:val="E7B0A701"/>
    <w:multiLevelType w:val="singleLevel"/>
    <w:tmpl w:val="E7B0A701"/>
    <w:lvl w:ilvl="0" w:tentative="0">
      <w:start w:val="6"/>
      <w:numFmt w:val="chineseCounting"/>
      <w:suff w:val="nothing"/>
      <w:lvlText w:val="%1、"/>
      <w:lvlJc w:val="left"/>
      <w:rPr>
        <w:rFonts w:hint="eastAsia"/>
        <w:b/>
        <w:bCs/>
      </w:rPr>
    </w:lvl>
  </w:abstractNum>
  <w:abstractNum w:abstractNumId="4">
    <w:nsid w:val="EA36093F"/>
    <w:multiLevelType w:val="singleLevel"/>
    <w:tmpl w:val="EA36093F"/>
    <w:lvl w:ilvl="0" w:tentative="0">
      <w:start w:val="1"/>
      <w:numFmt w:val="chineseCounting"/>
      <w:suff w:val="nothing"/>
      <w:lvlText w:val="%1、"/>
      <w:lvlJc w:val="left"/>
      <w:rPr>
        <w:rFonts w:hint="eastAsia"/>
      </w:rPr>
    </w:lvl>
  </w:abstractNum>
  <w:abstractNum w:abstractNumId="5">
    <w:nsid w:val="EDC9367E"/>
    <w:multiLevelType w:val="singleLevel"/>
    <w:tmpl w:val="EDC9367E"/>
    <w:lvl w:ilvl="0" w:tentative="0">
      <w:start w:val="2"/>
      <w:numFmt w:val="decimal"/>
      <w:suff w:val="nothing"/>
      <w:lvlText w:val="%1、"/>
      <w:lvlJc w:val="left"/>
    </w:lvl>
  </w:abstractNum>
  <w:abstractNum w:abstractNumId="6">
    <w:nsid w:val="38E53C67"/>
    <w:multiLevelType w:val="singleLevel"/>
    <w:tmpl w:val="38E53C67"/>
    <w:lvl w:ilvl="0" w:tentative="0">
      <w:start w:val="3"/>
      <w:numFmt w:val="chineseCounting"/>
      <w:suff w:val="space"/>
      <w:lvlText w:val="第%1章"/>
      <w:lvlJc w:val="left"/>
      <w:rPr>
        <w:rFonts w:hint="eastAsia"/>
      </w:rPr>
    </w:lvl>
  </w:abstractNum>
  <w:abstractNum w:abstractNumId="7">
    <w:nsid w:val="44376F24"/>
    <w:multiLevelType w:val="singleLevel"/>
    <w:tmpl w:val="44376F24"/>
    <w:lvl w:ilvl="0" w:tentative="0">
      <w:start w:val="6"/>
      <w:numFmt w:val="chineseCounting"/>
      <w:suff w:val="space"/>
      <w:lvlText w:val="第%1章"/>
      <w:lvlJc w:val="left"/>
      <w:rPr>
        <w:rFonts w:hint="eastAsia"/>
      </w:rPr>
    </w:lvl>
  </w:abstractNum>
  <w:abstractNum w:abstractNumId="8">
    <w:nsid w:val="54A0CC35"/>
    <w:multiLevelType w:val="singleLevel"/>
    <w:tmpl w:val="54A0CC35"/>
    <w:lvl w:ilvl="0" w:tentative="0">
      <w:start w:val="1"/>
      <w:numFmt w:val="decimal"/>
      <w:suff w:val="nothing"/>
      <w:lvlText w:val="%1、"/>
      <w:lvlJc w:val="left"/>
    </w:lvl>
  </w:abstractNum>
  <w:num w:numId="1">
    <w:abstractNumId w:val="1"/>
  </w:num>
  <w:num w:numId="2">
    <w:abstractNumId w:val="0"/>
  </w:num>
  <w:num w:numId="3">
    <w:abstractNumId w:val="3"/>
  </w:num>
  <w:num w:numId="4">
    <w:abstractNumId w:val="6"/>
  </w:num>
  <w:num w:numId="5">
    <w:abstractNumId w:val="5"/>
  </w:num>
  <w:num w:numId="6">
    <w:abstractNumId w:val="4"/>
  </w:num>
  <w:num w:numId="7">
    <w:abstractNumId w:val="8"/>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31198B"/>
    <w:rsid w:val="00412A37"/>
    <w:rsid w:val="006308AB"/>
    <w:rsid w:val="00847DE1"/>
    <w:rsid w:val="00A0297B"/>
    <w:rsid w:val="00CD47AB"/>
    <w:rsid w:val="00D6521D"/>
    <w:rsid w:val="00F72BE7"/>
    <w:rsid w:val="013D404E"/>
    <w:rsid w:val="014707D5"/>
    <w:rsid w:val="0183453D"/>
    <w:rsid w:val="01E178D6"/>
    <w:rsid w:val="01F176F8"/>
    <w:rsid w:val="02386212"/>
    <w:rsid w:val="0248587B"/>
    <w:rsid w:val="02820AD7"/>
    <w:rsid w:val="02F62DEB"/>
    <w:rsid w:val="03065296"/>
    <w:rsid w:val="035C5A34"/>
    <w:rsid w:val="039753F9"/>
    <w:rsid w:val="03A14F29"/>
    <w:rsid w:val="03A27AFA"/>
    <w:rsid w:val="044D1E30"/>
    <w:rsid w:val="04DE51A5"/>
    <w:rsid w:val="04F64D19"/>
    <w:rsid w:val="04FA5415"/>
    <w:rsid w:val="052B325D"/>
    <w:rsid w:val="05A629A4"/>
    <w:rsid w:val="05F07017"/>
    <w:rsid w:val="0600615C"/>
    <w:rsid w:val="062D088E"/>
    <w:rsid w:val="065779B9"/>
    <w:rsid w:val="066257FB"/>
    <w:rsid w:val="06F21F49"/>
    <w:rsid w:val="07280AA2"/>
    <w:rsid w:val="076566A7"/>
    <w:rsid w:val="079A2F4B"/>
    <w:rsid w:val="079C6422"/>
    <w:rsid w:val="07B64740"/>
    <w:rsid w:val="07FC21A6"/>
    <w:rsid w:val="081F5E69"/>
    <w:rsid w:val="08234384"/>
    <w:rsid w:val="08BA12DC"/>
    <w:rsid w:val="08D800EA"/>
    <w:rsid w:val="08D86F1C"/>
    <w:rsid w:val="098C4275"/>
    <w:rsid w:val="099C2AD0"/>
    <w:rsid w:val="09F76A86"/>
    <w:rsid w:val="0A5474C3"/>
    <w:rsid w:val="0A5F7AD5"/>
    <w:rsid w:val="0A630BD7"/>
    <w:rsid w:val="0A8A1566"/>
    <w:rsid w:val="0AAA50E9"/>
    <w:rsid w:val="0ABB6AF5"/>
    <w:rsid w:val="0ACF1ECA"/>
    <w:rsid w:val="0BCE191D"/>
    <w:rsid w:val="0BCE5A19"/>
    <w:rsid w:val="0BD25EA5"/>
    <w:rsid w:val="0C027923"/>
    <w:rsid w:val="0C1E16F8"/>
    <w:rsid w:val="0D10386D"/>
    <w:rsid w:val="0DB63714"/>
    <w:rsid w:val="0DBF7C0D"/>
    <w:rsid w:val="0DD264ED"/>
    <w:rsid w:val="0DD809E2"/>
    <w:rsid w:val="0E045967"/>
    <w:rsid w:val="0E304D8B"/>
    <w:rsid w:val="0E306947"/>
    <w:rsid w:val="0E9A1704"/>
    <w:rsid w:val="0F0E7B3C"/>
    <w:rsid w:val="0F8346BB"/>
    <w:rsid w:val="0FAD17DF"/>
    <w:rsid w:val="0FF52EEC"/>
    <w:rsid w:val="101C46B9"/>
    <w:rsid w:val="107F306E"/>
    <w:rsid w:val="10D80401"/>
    <w:rsid w:val="114948FA"/>
    <w:rsid w:val="119223E6"/>
    <w:rsid w:val="125329BB"/>
    <w:rsid w:val="126757A9"/>
    <w:rsid w:val="1292624E"/>
    <w:rsid w:val="129C0FBA"/>
    <w:rsid w:val="12BD1CEC"/>
    <w:rsid w:val="13247457"/>
    <w:rsid w:val="139F6FB4"/>
    <w:rsid w:val="141027D4"/>
    <w:rsid w:val="143E0B0F"/>
    <w:rsid w:val="146F6CB4"/>
    <w:rsid w:val="14B561ED"/>
    <w:rsid w:val="14D27EAB"/>
    <w:rsid w:val="14F13A81"/>
    <w:rsid w:val="15290EE7"/>
    <w:rsid w:val="1538599A"/>
    <w:rsid w:val="158B0678"/>
    <w:rsid w:val="15C90C81"/>
    <w:rsid w:val="16426169"/>
    <w:rsid w:val="165F5C3E"/>
    <w:rsid w:val="16A356CC"/>
    <w:rsid w:val="16EA0A0B"/>
    <w:rsid w:val="173418E5"/>
    <w:rsid w:val="17342109"/>
    <w:rsid w:val="17B76D45"/>
    <w:rsid w:val="17D60801"/>
    <w:rsid w:val="182E6B2B"/>
    <w:rsid w:val="183171A2"/>
    <w:rsid w:val="18363C5F"/>
    <w:rsid w:val="186009B5"/>
    <w:rsid w:val="18846779"/>
    <w:rsid w:val="18C97898"/>
    <w:rsid w:val="18E84F59"/>
    <w:rsid w:val="18F643B3"/>
    <w:rsid w:val="19241D0A"/>
    <w:rsid w:val="193E2DCB"/>
    <w:rsid w:val="196206F1"/>
    <w:rsid w:val="19822003"/>
    <w:rsid w:val="19AD2FD4"/>
    <w:rsid w:val="19F33BB6"/>
    <w:rsid w:val="1A1B6B97"/>
    <w:rsid w:val="1A1F0E4F"/>
    <w:rsid w:val="1A551963"/>
    <w:rsid w:val="1AC54036"/>
    <w:rsid w:val="1AF44F33"/>
    <w:rsid w:val="1B4548E5"/>
    <w:rsid w:val="1B702014"/>
    <w:rsid w:val="1BD47A17"/>
    <w:rsid w:val="1C766D20"/>
    <w:rsid w:val="1C9B22E3"/>
    <w:rsid w:val="1D085BCA"/>
    <w:rsid w:val="1D74500E"/>
    <w:rsid w:val="1DD800C0"/>
    <w:rsid w:val="1DF86E54"/>
    <w:rsid w:val="1E43791C"/>
    <w:rsid w:val="1E450556"/>
    <w:rsid w:val="1F2952CA"/>
    <w:rsid w:val="1F7C23A6"/>
    <w:rsid w:val="1FAB6CE1"/>
    <w:rsid w:val="1FEA299B"/>
    <w:rsid w:val="206155F1"/>
    <w:rsid w:val="20B54DB2"/>
    <w:rsid w:val="21042B4C"/>
    <w:rsid w:val="213A566A"/>
    <w:rsid w:val="2195298B"/>
    <w:rsid w:val="21CE72BA"/>
    <w:rsid w:val="22072FB3"/>
    <w:rsid w:val="220B02AE"/>
    <w:rsid w:val="22112B50"/>
    <w:rsid w:val="22284619"/>
    <w:rsid w:val="224433AA"/>
    <w:rsid w:val="22466D36"/>
    <w:rsid w:val="22791318"/>
    <w:rsid w:val="22A85555"/>
    <w:rsid w:val="22FD3CF7"/>
    <w:rsid w:val="23056708"/>
    <w:rsid w:val="234D0A23"/>
    <w:rsid w:val="23746473"/>
    <w:rsid w:val="237B00EF"/>
    <w:rsid w:val="23C04A55"/>
    <w:rsid w:val="23CE7442"/>
    <w:rsid w:val="24457704"/>
    <w:rsid w:val="25533D7B"/>
    <w:rsid w:val="25823163"/>
    <w:rsid w:val="25B23DB8"/>
    <w:rsid w:val="25CB59E7"/>
    <w:rsid w:val="25E2090D"/>
    <w:rsid w:val="25F37706"/>
    <w:rsid w:val="26BE3321"/>
    <w:rsid w:val="2722776F"/>
    <w:rsid w:val="27457A1B"/>
    <w:rsid w:val="274B704D"/>
    <w:rsid w:val="279C2686"/>
    <w:rsid w:val="27EF1D1C"/>
    <w:rsid w:val="280660E7"/>
    <w:rsid w:val="28706D19"/>
    <w:rsid w:val="28CF7D70"/>
    <w:rsid w:val="28D241FB"/>
    <w:rsid w:val="291F3D28"/>
    <w:rsid w:val="29262738"/>
    <w:rsid w:val="2A071140"/>
    <w:rsid w:val="2AC967C3"/>
    <w:rsid w:val="2AFA115F"/>
    <w:rsid w:val="2B0F5B99"/>
    <w:rsid w:val="2B296C56"/>
    <w:rsid w:val="2BDA2720"/>
    <w:rsid w:val="2BE93C1A"/>
    <w:rsid w:val="2BED313B"/>
    <w:rsid w:val="2C695F59"/>
    <w:rsid w:val="2C8B6CDE"/>
    <w:rsid w:val="2CA90A4C"/>
    <w:rsid w:val="2CF55C1F"/>
    <w:rsid w:val="2D665E74"/>
    <w:rsid w:val="2D99286E"/>
    <w:rsid w:val="2DC82B17"/>
    <w:rsid w:val="2DD921D9"/>
    <w:rsid w:val="2DF41412"/>
    <w:rsid w:val="2E234DC0"/>
    <w:rsid w:val="2E2B0E5E"/>
    <w:rsid w:val="2E575FCC"/>
    <w:rsid w:val="2E693B84"/>
    <w:rsid w:val="2E960B5C"/>
    <w:rsid w:val="2EB108A7"/>
    <w:rsid w:val="2EEB534C"/>
    <w:rsid w:val="2EF51D26"/>
    <w:rsid w:val="2F5F3B7C"/>
    <w:rsid w:val="2F7679A0"/>
    <w:rsid w:val="2FB63E0A"/>
    <w:rsid w:val="2FC17E5A"/>
    <w:rsid w:val="305E1890"/>
    <w:rsid w:val="30B15BDE"/>
    <w:rsid w:val="30EF0166"/>
    <w:rsid w:val="310E0E7D"/>
    <w:rsid w:val="31353885"/>
    <w:rsid w:val="314D409C"/>
    <w:rsid w:val="31526CE7"/>
    <w:rsid w:val="316B62D0"/>
    <w:rsid w:val="31755C41"/>
    <w:rsid w:val="318178A1"/>
    <w:rsid w:val="31AC0DC2"/>
    <w:rsid w:val="31C55E0D"/>
    <w:rsid w:val="31E76326"/>
    <w:rsid w:val="31FE5396"/>
    <w:rsid w:val="321C6AB4"/>
    <w:rsid w:val="3233535A"/>
    <w:rsid w:val="32950EC6"/>
    <w:rsid w:val="329A3D4F"/>
    <w:rsid w:val="32BE2A91"/>
    <w:rsid w:val="33074498"/>
    <w:rsid w:val="33AE791F"/>
    <w:rsid w:val="33F26834"/>
    <w:rsid w:val="3408478C"/>
    <w:rsid w:val="34325184"/>
    <w:rsid w:val="346E1C27"/>
    <w:rsid w:val="34DF14AF"/>
    <w:rsid w:val="34F27B67"/>
    <w:rsid w:val="35591BE5"/>
    <w:rsid w:val="36064E50"/>
    <w:rsid w:val="362863AF"/>
    <w:rsid w:val="362E6E61"/>
    <w:rsid w:val="36597105"/>
    <w:rsid w:val="36844F22"/>
    <w:rsid w:val="369A40E1"/>
    <w:rsid w:val="37B87090"/>
    <w:rsid w:val="38740160"/>
    <w:rsid w:val="388C0BF4"/>
    <w:rsid w:val="388E28F1"/>
    <w:rsid w:val="3899102A"/>
    <w:rsid w:val="38D90E24"/>
    <w:rsid w:val="38E452E6"/>
    <w:rsid w:val="391853A7"/>
    <w:rsid w:val="39225E0E"/>
    <w:rsid w:val="39D96E5F"/>
    <w:rsid w:val="39E651C8"/>
    <w:rsid w:val="3A1B5E20"/>
    <w:rsid w:val="3A5913BB"/>
    <w:rsid w:val="3A6B125E"/>
    <w:rsid w:val="3B163B4E"/>
    <w:rsid w:val="3B7E51F7"/>
    <w:rsid w:val="3B8811A4"/>
    <w:rsid w:val="3BAC10D3"/>
    <w:rsid w:val="3C0F220A"/>
    <w:rsid w:val="3C2264C9"/>
    <w:rsid w:val="3C267544"/>
    <w:rsid w:val="3C8C6D91"/>
    <w:rsid w:val="3CA37266"/>
    <w:rsid w:val="3D36354C"/>
    <w:rsid w:val="3DBB413B"/>
    <w:rsid w:val="3DC93A44"/>
    <w:rsid w:val="3DD11BB1"/>
    <w:rsid w:val="3DED4811"/>
    <w:rsid w:val="3E1E3D08"/>
    <w:rsid w:val="3E1F3CAD"/>
    <w:rsid w:val="3E292C29"/>
    <w:rsid w:val="3E333298"/>
    <w:rsid w:val="3E78615B"/>
    <w:rsid w:val="3E8409D1"/>
    <w:rsid w:val="3E8E35FE"/>
    <w:rsid w:val="3EA54219"/>
    <w:rsid w:val="3F0331A0"/>
    <w:rsid w:val="3F19434D"/>
    <w:rsid w:val="3F36616F"/>
    <w:rsid w:val="3F9162D7"/>
    <w:rsid w:val="3F984C13"/>
    <w:rsid w:val="3FE23C01"/>
    <w:rsid w:val="40F46D4D"/>
    <w:rsid w:val="41015B84"/>
    <w:rsid w:val="428E7BE1"/>
    <w:rsid w:val="42B20B36"/>
    <w:rsid w:val="42FB66C8"/>
    <w:rsid w:val="43192944"/>
    <w:rsid w:val="43394480"/>
    <w:rsid w:val="447255E6"/>
    <w:rsid w:val="44B416B1"/>
    <w:rsid w:val="44CD7E13"/>
    <w:rsid w:val="453A628D"/>
    <w:rsid w:val="454B2248"/>
    <w:rsid w:val="45921C25"/>
    <w:rsid w:val="45A64394"/>
    <w:rsid w:val="45B61DB8"/>
    <w:rsid w:val="45D2152F"/>
    <w:rsid w:val="45E5444B"/>
    <w:rsid w:val="45EE0F95"/>
    <w:rsid w:val="45F42F70"/>
    <w:rsid w:val="45F85626"/>
    <w:rsid w:val="462273F5"/>
    <w:rsid w:val="46515897"/>
    <w:rsid w:val="466556B5"/>
    <w:rsid w:val="46710516"/>
    <w:rsid w:val="4692195B"/>
    <w:rsid w:val="46CB1893"/>
    <w:rsid w:val="470E15D4"/>
    <w:rsid w:val="471548BC"/>
    <w:rsid w:val="47234C6F"/>
    <w:rsid w:val="47C91AD2"/>
    <w:rsid w:val="47E36768"/>
    <w:rsid w:val="48347672"/>
    <w:rsid w:val="48643D4D"/>
    <w:rsid w:val="487D7E3E"/>
    <w:rsid w:val="48967192"/>
    <w:rsid w:val="489A6313"/>
    <w:rsid w:val="48A95C04"/>
    <w:rsid w:val="48CE0A5C"/>
    <w:rsid w:val="4949445D"/>
    <w:rsid w:val="496A50FA"/>
    <w:rsid w:val="49AF1634"/>
    <w:rsid w:val="49B51BAE"/>
    <w:rsid w:val="4A442B3D"/>
    <w:rsid w:val="4A5E47CC"/>
    <w:rsid w:val="4A7E09CA"/>
    <w:rsid w:val="4A884CC6"/>
    <w:rsid w:val="4AA55BC3"/>
    <w:rsid w:val="4ABC7D85"/>
    <w:rsid w:val="4AF313B8"/>
    <w:rsid w:val="4B1B446B"/>
    <w:rsid w:val="4B457426"/>
    <w:rsid w:val="4B5005B9"/>
    <w:rsid w:val="4B8D5A9D"/>
    <w:rsid w:val="4B936377"/>
    <w:rsid w:val="4C061DA4"/>
    <w:rsid w:val="4C254B4B"/>
    <w:rsid w:val="4C9A3174"/>
    <w:rsid w:val="4D07114B"/>
    <w:rsid w:val="4D403EDA"/>
    <w:rsid w:val="4D6658B0"/>
    <w:rsid w:val="4D954046"/>
    <w:rsid w:val="4E202AF3"/>
    <w:rsid w:val="4E4A47D3"/>
    <w:rsid w:val="4E6D29C4"/>
    <w:rsid w:val="4E7436B6"/>
    <w:rsid w:val="4E9A0D74"/>
    <w:rsid w:val="4F003F2F"/>
    <w:rsid w:val="4F282F37"/>
    <w:rsid w:val="4F502112"/>
    <w:rsid w:val="4F6B7B6A"/>
    <w:rsid w:val="4F701691"/>
    <w:rsid w:val="4FAA2095"/>
    <w:rsid w:val="4FC60E49"/>
    <w:rsid w:val="4FF52C71"/>
    <w:rsid w:val="503A7A08"/>
    <w:rsid w:val="5055041F"/>
    <w:rsid w:val="509A51EA"/>
    <w:rsid w:val="509E3ED1"/>
    <w:rsid w:val="50CC74DB"/>
    <w:rsid w:val="514E559A"/>
    <w:rsid w:val="51E92988"/>
    <w:rsid w:val="520E62B8"/>
    <w:rsid w:val="523F41DA"/>
    <w:rsid w:val="52754DA9"/>
    <w:rsid w:val="528312E8"/>
    <w:rsid w:val="529A4BA7"/>
    <w:rsid w:val="52B50FFA"/>
    <w:rsid w:val="52C31E67"/>
    <w:rsid w:val="52C92BAB"/>
    <w:rsid w:val="52DA54E7"/>
    <w:rsid w:val="52E468A6"/>
    <w:rsid w:val="52E8669F"/>
    <w:rsid w:val="531F42E7"/>
    <w:rsid w:val="53283A63"/>
    <w:rsid w:val="532A5284"/>
    <w:rsid w:val="53D6797D"/>
    <w:rsid w:val="53E775E0"/>
    <w:rsid w:val="53EF4599"/>
    <w:rsid w:val="54BC690A"/>
    <w:rsid w:val="54FD5330"/>
    <w:rsid w:val="55132EB9"/>
    <w:rsid w:val="557F7201"/>
    <w:rsid w:val="55DF5E25"/>
    <w:rsid w:val="55E101CF"/>
    <w:rsid w:val="55F00828"/>
    <w:rsid w:val="561B7A15"/>
    <w:rsid w:val="561F7505"/>
    <w:rsid w:val="56431446"/>
    <w:rsid w:val="56E5591B"/>
    <w:rsid w:val="57631674"/>
    <w:rsid w:val="577D1266"/>
    <w:rsid w:val="5794495B"/>
    <w:rsid w:val="57A500D0"/>
    <w:rsid w:val="57C351F2"/>
    <w:rsid w:val="57F4225A"/>
    <w:rsid w:val="58532224"/>
    <w:rsid w:val="586903C5"/>
    <w:rsid w:val="58711142"/>
    <w:rsid w:val="58794F18"/>
    <w:rsid w:val="593212FE"/>
    <w:rsid w:val="59590F80"/>
    <w:rsid w:val="59A732EE"/>
    <w:rsid w:val="59C3464B"/>
    <w:rsid w:val="59DE2BBE"/>
    <w:rsid w:val="59E15599"/>
    <w:rsid w:val="5A2F311D"/>
    <w:rsid w:val="5A410A6F"/>
    <w:rsid w:val="5B4945F9"/>
    <w:rsid w:val="5BE24B90"/>
    <w:rsid w:val="5BE80A31"/>
    <w:rsid w:val="5C65447A"/>
    <w:rsid w:val="5CCD039C"/>
    <w:rsid w:val="5CE05C01"/>
    <w:rsid w:val="5D067F46"/>
    <w:rsid w:val="5DE03A1E"/>
    <w:rsid w:val="5DEA6484"/>
    <w:rsid w:val="5E2A0506"/>
    <w:rsid w:val="5E3F2B2D"/>
    <w:rsid w:val="5F673FB2"/>
    <w:rsid w:val="5F8A2976"/>
    <w:rsid w:val="5F8B5C0B"/>
    <w:rsid w:val="5FB9070F"/>
    <w:rsid w:val="5FCD20F0"/>
    <w:rsid w:val="5FE039CC"/>
    <w:rsid w:val="607B4C90"/>
    <w:rsid w:val="60B66CB8"/>
    <w:rsid w:val="60D137C0"/>
    <w:rsid w:val="60E47102"/>
    <w:rsid w:val="611C2FBF"/>
    <w:rsid w:val="613D03AF"/>
    <w:rsid w:val="62652617"/>
    <w:rsid w:val="6269337D"/>
    <w:rsid w:val="62840C9B"/>
    <w:rsid w:val="62DE3E52"/>
    <w:rsid w:val="62E95123"/>
    <w:rsid w:val="63753EA0"/>
    <w:rsid w:val="63923347"/>
    <w:rsid w:val="63A60D41"/>
    <w:rsid w:val="63A86D8C"/>
    <w:rsid w:val="63B10716"/>
    <w:rsid w:val="63C45248"/>
    <w:rsid w:val="63C6035F"/>
    <w:rsid w:val="63C84E4B"/>
    <w:rsid w:val="63DC6A36"/>
    <w:rsid w:val="642121DF"/>
    <w:rsid w:val="649A1D1D"/>
    <w:rsid w:val="64E04304"/>
    <w:rsid w:val="65011C71"/>
    <w:rsid w:val="659B691E"/>
    <w:rsid w:val="65D242C5"/>
    <w:rsid w:val="65F10142"/>
    <w:rsid w:val="66124991"/>
    <w:rsid w:val="66770C98"/>
    <w:rsid w:val="66AE3383"/>
    <w:rsid w:val="66E10C4D"/>
    <w:rsid w:val="67766FAB"/>
    <w:rsid w:val="6796371E"/>
    <w:rsid w:val="685D140B"/>
    <w:rsid w:val="68862BFC"/>
    <w:rsid w:val="68D15963"/>
    <w:rsid w:val="68D47A7B"/>
    <w:rsid w:val="68DF193E"/>
    <w:rsid w:val="68E84E3F"/>
    <w:rsid w:val="68F76E5C"/>
    <w:rsid w:val="69455133"/>
    <w:rsid w:val="694F7CAA"/>
    <w:rsid w:val="69937B96"/>
    <w:rsid w:val="69C2222A"/>
    <w:rsid w:val="6A3757AC"/>
    <w:rsid w:val="6A701523"/>
    <w:rsid w:val="6AB4645B"/>
    <w:rsid w:val="6AC1406F"/>
    <w:rsid w:val="6B4120C8"/>
    <w:rsid w:val="6B596BBE"/>
    <w:rsid w:val="6B8630E6"/>
    <w:rsid w:val="6B981FFD"/>
    <w:rsid w:val="6BDB5E99"/>
    <w:rsid w:val="6BDD42B9"/>
    <w:rsid w:val="6BE84649"/>
    <w:rsid w:val="6C085287"/>
    <w:rsid w:val="6C401523"/>
    <w:rsid w:val="6CD00EA6"/>
    <w:rsid w:val="6CE6131C"/>
    <w:rsid w:val="6D313420"/>
    <w:rsid w:val="6D835473"/>
    <w:rsid w:val="6DDB7D5E"/>
    <w:rsid w:val="6DDD5A51"/>
    <w:rsid w:val="6DE51FC5"/>
    <w:rsid w:val="6EA15698"/>
    <w:rsid w:val="6EA231BA"/>
    <w:rsid w:val="6F482D42"/>
    <w:rsid w:val="6F56352B"/>
    <w:rsid w:val="6FA523D2"/>
    <w:rsid w:val="6FF27051"/>
    <w:rsid w:val="701045B5"/>
    <w:rsid w:val="703D37EB"/>
    <w:rsid w:val="70692892"/>
    <w:rsid w:val="712D6B22"/>
    <w:rsid w:val="715B4B81"/>
    <w:rsid w:val="717B055E"/>
    <w:rsid w:val="729E26DA"/>
    <w:rsid w:val="7301390F"/>
    <w:rsid w:val="730D09BA"/>
    <w:rsid w:val="735C45B6"/>
    <w:rsid w:val="73B07EB2"/>
    <w:rsid w:val="73ED585D"/>
    <w:rsid w:val="741E6BF6"/>
    <w:rsid w:val="742B7A65"/>
    <w:rsid w:val="747607E0"/>
    <w:rsid w:val="74885165"/>
    <w:rsid w:val="757A7E5C"/>
    <w:rsid w:val="76065B94"/>
    <w:rsid w:val="767A3148"/>
    <w:rsid w:val="768C7E47"/>
    <w:rsid w:val="76D56593"/>
    <w:rsid w:val="76DB6C6E"/>
    <w:rsid w:val="77C678A9"/>
    <w:rsid w:val="77DF59B7"/>
    <w:rsid w:val="77F04406"/>
    <w:rsid w:val="781D505E"/>
    <w:rsid w:val="787F7958"/>
    <w:rsid w:val="78AE6557"/>
    <w:rsid w:val="78CA2EA9"/>
    <w:rsid w:val="78CD0901"/>
    <w:rsid w:val="794B57C1"/>
    <w:rsid w:val="79762737"/>
    <w:rsid w:val="79817C2A"/>
    <w:rsid w:val="798312C8"/>
    <w:rsid w:val="79AA4E00"/>
    <w:rsid w:val="79AC5213"/>
    <w:rsid w:val="79DC16E1"/>
    <w:rsid w:val="79FE1404"/>
    <w:rsid w:val="7A043533"/>
    <w:rsid w:val="7A4B1055"/>
    <w:rsid w:val="7A7B02C9"/>
    <w:rsid w:val="7ADC47C3"/>
    <w:rsid w:val="7AF00555"/>
    <w:rsid w:val="7B4B6523"/>
    <w:rsid w:val="7B8F0A21"/>
    <w:rsid w:val="7BB37959"/>
    <w:rsid w:val="7BD07335"/>
    <w:rsid w:val="7BD227A0"/>
    <w:rsid w:val="7C1E59E5"/>
    <w:rsid w:val="7C2D5E41"/>
    <w:rsid w:val="7CA010C3"/>
    <w:rsid w:val="7CA34E54"/>
    <w:rsid w:val="7CAB5BD2"/>
    <w:rsid w:val="7CCE6A29"/>
    <w:rsid w:val="7CF33270"/>
    <w:rsid w:val="7D02603F"/>
    <w:rsid w:val="7D2C2B03"/>
    <w:rsid w:val="7D4A280A"/>
    <w:rsid w:val="7DA3197A"/>
    <w:rsid w:val="7DAE2D99"/>
    <w:rsid w:val="7E0C5BC7"/>
    <w:rsid w:val="7E146C66"/>
    <w:rsid w:val="7E1D3989"/>
    <w:rsid w:val="7ED61979"/>
    <w:rsid w:val="7F051133"/>
    <w:rsid w:val="7F150C8C"/>
    <w:rsid w:val="7F61079B"/>
    <w:rsid w:val="7F9E2466"/>
    <w:rsid w:val="7FB81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qFormat="1"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3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0"/>
    <w:rPr>
      <w:rFonts w:ascii="仿宋" w:hAnsi="仿宋" w:eastAsia="仿宋" w:cs="仿宋"/>
      <w:sz w:val="30"/>
      <w:szCs w:val="30"/>
    </w:rPr>
  </w:style>
  <w:style w:type="paragraph" w:styleId="7">
    <w:name w:val="Body Text Indent"/>
    <w:basedOn w:val="1"/>
    <w:unhideWhenUsed/>
    <w:qFormat/>
    <w:uiPriority w:val="99"/>
    <w:pPr>
      <w:spacing w:after="120"/>
      <w:ind w:left="420" w:leftChars="200"/>
    </w:pPr>
    <w:rPr>
      <w:rFonts w:eastAsia="微软雅黑"/>
      <w:kern w:val="0"/>
      <w:sz w:val="24"/>
      <w:szCs w:val="20"/>
    </w:rPr>
  </w:style>
  <w:style w:type="paragraph" w:styleId="8">
    <w:name w:val="Block Text"/>
    <w:basedOn w:val="1"/>
    <w:next w:val="1"/>
    <w:qFormat/>
    <w:uiPriority w:val="99"/>
    <w:pPr>
      <w:ind w:left="1171" w:right="91" w:hanging="1080"/>
    </w:pPr>
    <w:rPr>
      <w:rFonts w:eastAsia="楷体_GB2312"/>
    </w:rPr>
  </w:style>
  <w:style w:type="paragraph" w:styleId="9">
    <w:name w:val="toc 5"/>
    <w:basedOn w:val="1"/>
    <w:next w:val="1"/>
    <w:qFormat/>
    <w:uiPriority w:val="0"/>
    <w:pPr>
      <w:ind w:left="1680" w:leftChars="800"/>
    </w:pPr>
    <w:rPr>
      <w:szCs w:val="24"/>
    </w:rPr>
  </w:style>
  <w:style w:type="paragraph" w:styleId="10">
    <w:name w:val="Plain Text"/>
    <w:basedOn w:val="1"/>
    <w:next w:val="1"/>
    <w:qFormat/>
    <w:uiPriority w:val="0"/>
    <w:rPr>
      <w:rFonts w:ascii="宋体" w:hAnsi="Courier New"/>
      <w:kern w:val="0"/>
      <w:sz w:val="20"/>
      <w:szCs w:val="21"/>
    </w:rPr>
  </w:style>
  <w:style w:type="paragraph" w:styleId="11">
    <w:name w:val="footer"/>
    <w:basedOn w:val="1"/>
    <w:qFormat/>
    <w:uiPriority w:val="0"/>
    <w:pPr>
      <w:tabs>
        <w:tab w:val="center" w:pos="4153"/>
        <w:tab w:val="right" w:pos="8306"/>
      </w:tabs>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3">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4">
    <w:name w:val="Body Text 2"/>
    <w:basedOn w:val="1"/>
    <w:qFormat/>
    <w:uiPriority w:val="0"/>
    <w:pPr>
      <w:spacing w:after="120" w:line="480" w:lineRule="auto"/>
    </w:pPr>
  </w:style>
  <w:style w:type="paragraph" w:styleId="15">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6">
    <w:name w:val="Body Text First Indent"/>
    <w:basedOn w:val="6"/>
    <w:qFormat/>
    <w:uiPriority w:val="0"/>
    <w:pPr>
      <w:ind w:firstLine="420" w:firstLineChars="100"/>
    </w:pPr>
  </w:style>
  <w:style w:type="paragraph" w:styleId="17">
    <w:name w:val="Body Text First Indent 2"/>
    <w:basedOn w:val="7"/>
    <w:qFormat/>
    <w:uiPriority w:val="0"/>
    <w:pPr>
      <w:tabs>
        <w:tab w:val="left" w:pos="567"/>
      </w:tabs>
      <w:autoSpaceDE w:val="0"/>
      <w:autoSpaceDN w:val="0"/>
      <w:adjustRightInd w:val="0"/>
      <w:ind w:firstLine="210"/>
    </w:pPr>
    <w:rPr>
      <w:szCs w:val="20"/>
    </w:rPr>
  </w:style>
  <w:style w:type="table" w:styleId="19">
    <w:name w:val="Table Grid"/>
    <w:basedOn w:val="1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0"/>
    <w:rPr>
      <w:b/>
    </w:rPr>
  </w:style>
  <w:style w:type="character" w:styleId="22">
    <w:name w:val="Emphasis"/>
    <w:qFormat/>
    <w:uiPriority w:val="0"/>
  </w:style>
  <w:style w:type="character" w:styleId="23">
    <w:name w:val="Hyperlink"/>
    <w:basedOn w:val="20"/>
    <w:qFormat/>
    <w:uiPriority w:val="0"/>
    <w:rPr>
      <w:color w:val="0000FF"/>
      <w:u w:val="single"/>
    </w:rPr>
  </w:style>
  <w:style w:type="character" w:styleId="24">
    <w:name w:val="annotation reference"/>
    <w:unhideWhenUsed/>
    <w:qFormat/>
    <w:uiPriority w:val="0"/>
    <w:rPr>
      <w:sz w:val="21"/>
      <w:szCs w:val="21"/>
    </w:rPr>
  </w:style>
  <w:style w:type="paragraph" w:customStyle="1" w:styleId="25">
    <w:name w:val="Normal Indent"/>
    <w:basedOn w:val="1"/>
    <w:qFormat/>
    <w:uiPriority w:val="0"/>
    <w:pPr>
      <w:widowControl/>
      <w:ind w:firstLine="420" w:firstLineChars="200"/>
    </w:p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Table Text"/>
    <w:basedOn w:val="1"/>
    <w:semiHidden/>
    <w:qFormat/>
    <w:uiPriority w:val="0"/>
  </w:style>
  <w:style w:type="paragraph" w:customStyle="1" w:styleId="28">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9">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30">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31">
    <w:name w:val="标题 4 Char"/>
    <w:link w:val="4"/>
    <w:qFormat/>
    <w:uiPriority w:val="0"/>
    <w:rPr>
      <w:rFonts w:ascii="Arial" w:hAnsi="Arial" w:eastAsia="黑体"/>
      <w:b/>
      <w:sz w:val="28"/>
    </w:rPr>
  </w:style>
  <w:style w:type="paragraph" w:customStyle="1" w:styleId="32">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3">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4">
    <w:name w:val="font31"/>
    <w:basedOn w:val="20"/>
    <w:qFormat/>
    <w:uiPriority w:val="0"/>
    <w:rPr>
      <w:rFonts w:hint="eastAsia" w:ascii="宋体" w:hAnsi="宋体" w:eastAsia="宋体" w:cs="宋体"/>
      <w:color w:val="000000"/>
      <w:sz w:val="21"/>
      <w:szCs w:val="21"/>
      <w:u w:val="none"/>
    </w:rPr>
  </w:style>
  <w:style w:type="paragraph" w:customStyle="1" w:styleId="3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36">
    <w:name w:val="_Style 35"/>
    <w:basedOn w:val="1"/>
    <w:next w:val="37"/>
    <w:qFormat/>
    <w:uiPriority w:val="34"/>
    <w:pPr>
      <w:ind w:firstLine="420" w:firstLineChars="200"/>
    </w:pPr>
    <w:rPr>
      <w:rFonts w:ascii="Calibri" w:hAnsi="Calibri" w:eastAsia="宋体" w:cs="Times New Roman"/>
      <w:szCs w:val="24"/>
    </w:rPr>
  </w:style>
  <w:style w:type="paragraph" w:styleId="37">
    <w:name w:val="List Paragraph"/>
    <w:basedOn w:val="1"/>
    <w:qFormat/>
    <w:uiPriority w:val="1"/>
    <w:pPr>
      <w:ind w:firstLine="420" w:firstLineChars="200"/>
    </w:pPr>
    <w:rPr>
      <w:szCs w:val="24"/>
    </w:rPr>
  </w:style>
  <w:style w:type="character" w:customStyle="1" w:styleId="38">
    <w:name w:val="font21"/>
    <w:basedOn w:val="20"/>
    <w:qFormat/>
    <w:uiPriority w:val="0"/>
    <w:rPr>
      <w:rFonts w:hint="eastAsia" w:ascii="楷体" w:hAnsi="楷体" w:eastAsia="楷体" w:cs="楷体"/>
      <w:color w:val="000000"/>
      <w:sz w:val="24"/>
      <w:szCs w:val="24"/>
      <w:u w:val="none"/>
    </w:rPr>
  </w:style>
  <w:style w:type="character" w:customStyle="1" w:styleId="39">
    <w:name w:val="15"/>
    <w:qFormat/>
    <w:uiPriority w:val="0"/>
    <w:rPr>
      <w:rFonts w:hint="eastAsia" w:ascii="宋体" w:hAnsi="宋体" w:eastAsia="宋体"/>
      <w:color w:val="000000"/>
      <w:sz w:val="24"/>
      <w:szCs w:val="24"/>
    </w:rPr>
  </w:style>
  <w:style w:type="paragraph" w:customStyle="1" w:styleId="40">
    <w:name w:val="Table Paragraph"/>
    <w:basedOn w:val="1"/>
    <w:qFormat/>
    <w:uiPriority w:val="1"/>
    <w:rPr>
      <w:rFonts w:ascii="宋体" w:hAnsi="宋体" w:eastAsia="宋体" w:cs="宋体"/>
      <w:lang w:val="zh-CN" w:bidi="zh-CN"/>
    </w:rPr>
  </w:style>
  <w:style w:type="paragraph" w:customStyle="1" w:styleId="41">
    <w:name w:val="WPSOffice手动目录 1"/>
    <w:qFormat/>
    <w:uiPriority w:val="0"/>
    <w:pPr>
      <w:ind w:leftChars="0"/>
    </w:pPr>
    <w:rPr>
      <w:rFonts w:ascii="Times New Roman" w:hAnsi="Times New Roman" w:eastAsia="宋体" w:cs="Times New Roman"/>
      <w:sz w:val="20"/>
      <w:szCs w:val="20"/>
    </w:rPr>
  </w:style>
  <w:style w:type="paragraph" w:customStyle="1" w:styleId="42">
    <w:name w:val="WPSOffice手动目录 2"/>
    <w:qFormat/>
    <w:uiPriority w:val="0"/>
    <w:pPr>
      <w:ind w:leftChars="200"/>
    </w:pPr>
    <w:rPr>
      <w:rFonts w:ascii="Times New Roman" w:hAnsi="Times New Roman" w:eastAsia="宋体" w:cs="Times New Roman"/>
      <w:sz w:val="20"/>
      <w:szCs w:val="20"/>
    </w:rPr>
  </w:style>
  <w:style w:type="paragraph" w:customStyle="1" w:styleId="43">
    <w:name w:val="WPSOffice手动目录 3"/>
    <w:qFormat/>
    <w:uiPriority w:val="0"/>
    <w:pPr>
      <w:ind w:leftChars="400"/>
    </w:pPr>
    <w:rPr>
      <w:rFonts w:ascii="Times New Roman" w:hAnsi="Times New Roman" w:eastAsia="宋体" w:cs="Times New Roman"/>
      <w:sz w:val="20"/>
      <w:szCs w:val="20"/>
    </w:rPr>
  </w:style>
  <w:style w:type="character" w:customStyle="1" w:styleId="44">
    <w:name w:val="font11"/>
    <w:basedOn w:val="20"/>
    <w:qFormat/>
    <w:uiPriority w:val="0"/>
    <w:rPr>
      <w:rFonts w:hint="eastAsia" w:ascii="宋体" w:hAnsi="宋体" w:eastAsia="宋体" w:cs="宋体"/>
      <w:b/>
      <w:bCs/>
      <w:color w:val="000000"/>
      <w:sz w:val="32"/>
      <w:szCs w:val="32"/>
      <w:u w:val="none"/>
    </w:rPr>
  </w:style>
  <w:style w:type="character" w:customStyle="1" w:styleId="45">
    <w:name w:val="font51"/>
    <w:basedOn w:val="20"/>
    <w:qFormat/>
    <w:uiPriority w:val="0"/>
    <w:rPr>
      <w:rFonts w:hint="eastAsia" w:ascii="宋体" w:hAnsi="宋体" w:eastAsia="宋体" w:cs="宋体"/>
      <w:b/>
      <w:bCs/>
      <w:color w:val="000000"/>
      <w:sz w:val="32"/>
      <w:szCs w:val="32"/>
      <w:u w:val="none"/>
    </w:rPr>
  </w:style>
  <w:style w:type="paragraph" w:customStyle="1" w:styleId="46">
    <w:name w:val="Other|1"/>
    <w:basedOn w:val="1"/>
    <w:qFormat/>
    <w:uiPriority w:val="0"/>
    <w:pPr>
      <w:spacing w:line="298" w:lineRule="exact"/>
    </w:pPr>
    <w:rPr>
      <w:rFonts w:ascii="宋体" w:hAnsi="宋体" w:cs="宋体"/>
      <w:sz w:val="19"/>
      <w:szCs w:val="19"/>
      <w:lang w:val="zh-TW" w:eastAsia="zh-TW" w:bidi="zh-TW"/>
    </w:rPr>
  </w:style>
  <w:style w:type="paragraph" w:customStyle="1" w:styleId="47">
    <w:name w:val="Table caption|1"/>
    <w:basedOn w:val="1"/>
    <w:qFormat/>
    <w:uiPriority w:val="0"/>
    <w:pPr>
      <w:spacing w:line="317" w:lineRule="exact"/>
    </w:pPr>
    <w:rPr>
      <w:rFonts w:ascii="宋体" w:hAnsi="宋体" w:cs="宋体"/>
      <w:sz w:val="22"/>
      <w:szCs w:val="22"/>
      <w:lang w:val="zh-TW" w:eastAsia="zh-TW" w:bidi="zh-TW"/>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png"/><Relationship Id="rId25" Type="http://schemas.openxmlformats.org/officeDocument/2006/relationships/theme" Target="theme/theme1.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89</Pages>
  <Words>19940</Words>
  <Characters>21701</Characters>
  <Lines>230</Lines>
  <Paragraphs>64</Paragraphs>
  <TotalTime>3</TotalTime>
  <ScaleCrop>false</ScaleCrop>
  <LinksUpToDate>false</LinksUpToDate>
  <CharactersWithSpaces>22322</CharactersWithSpaces>
  <Application>WPS Office_12.1.0.26375_F1E327BC-269C-435d-A152-05C5408002CA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江西省机电设备招标有限公司（集中）</cp:lastModifiedBy>
  <cp:lastPrinted>2025-07-08T01:30:00Z</cp:lastPrinted>
  <dcterms:modified xsi:type="dcterms:W3CDTF">2026-06-05T03:14:53Z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2052-12.1.0.26375</vt:lpwstr>
  </property>
  <property fmtid="{D5CDD505-2E9C-101B-9397-08002B2CF9AE}" pid="5" name="ICV">
    <vt:lpwstr>AB5E14B5F30D49ACAD182206221FDA85_13</vt:lpwstr>
  </property>
  <property fmtid="{D5CDD505-2E9C-101B-9397-08002B2CF9AE}" pid="6" name="KSOTemplateDocerSaveRecord">
    <vt:lpwstr>eyJoZGlkIjoiN2YzNjBkOTgyNWQ1YTMxYzM3MzMwNWFiODNmOWIzYWMiLCJ1c2VySWQiOiIyNTEyODYzNzgifQ==</vt:lpwstr>
  </property>
</Properties>
</file>