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4A3B8C">
      <w:pPr>
        <w:pStyle w:val="6"/>
        <w:spacing w:before="0" w:after="0" w:line="360" w:lineRule="auto"/>
        <w:jc w:val="center"/>
        <w:rPr>
          <w:color w:val="auto"/>
          <w:highlight w:val="none"/>
        </w:rPr>
      </w:pPr>
      <w:r>
        <w:rPr>
          <w:rFonts w:hint="eastAsia" w:ascii="宋体" w:hAnsi="宋体" w:eastAsia="宋体" w:cs="宋体"/>
          <w:color w:val="auto"/>
          <w:sz w:val="28"/>
          <w:szCs w:val="28"/>
          <w:highlight w:val="none"/>
        </w:rPr>
        <w:t>采购要求</w:t>
      </w:r>
    </w:p>
    <w:p w14:paraId="5E95147B">
      <w:pPr>
        <w:numPr>
          <w:ilvl w:val="0"/>
          <w:numId w:val="1"/>
        </w:num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技术规格</w:t>
      </w:r>
    </w:p>
    <w:tbl>
      <w:tblPr>
        <w:tblStyle w:val="8"/>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23"/>
        <w:gridCol w:w="1138"/>
        <w:gridCol w:w="4108"/>
        <w:gridCol w:w="885"/>
        <w:gridCol w:w="885"/>
        <w:gridCol w:w="886"/>
      </w:tblGrid>
      <w:tr w14:paraId="71A01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noWrap w:val="0"/>
            <w:vAlign w:val="center"/>
          </w:tcPr>
          <w:p w14:paraId="05A994C0">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序号</w:t>
            </w:r>
          </w:p>
        </w:tc>
        <w:tc>
          <w:tcPr>
            <w:tcW w:w="667" w:type="pct"/>
            <w:tcBorders>
              <w:top w:val="single" w:color="000000" w:sz="4" w:space="0"/>
              <w:left w:val="single" w:color="000000" w:sz="4" w:space="0"/>
              <w:bottom w:val="single" w:color="000000" w:sz="4" w:space="0"/>
              <w:right w:val="single" w:color="000000" w:sz="4" w:space="0"/>
            </w:tcBorders>
            <w:noWrap w:val="0"/>
            <w:vAlign w:val="center"/>
          </w:tcPr>
          <w:p w14:paraId="34F768D3">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设备名称</w:t>
            </w:r>
          </w:p>
        </w:tc>
        <w:tc>
          <w:tcPr>
            <w:tcW w:w="2408" w:type="pct"/>
            <w:tcBorders>
              <w:top w:val="single" w:color="000000" w:sz="4" w:space="0"/>
              <w:left w:val="single" w:color="000000" w:sz="4" w:space="0"/>
              <w:bottom w:val="single" w:color="000000" w:sz="4" w:space="0"/>
              <w:right w:val="single" w:color="000000" w:sz="4" w:space="0"/>
            </w:tcBorders>
            <w:noWrap w:val="0"/>
            <w:vAlign w:val="center"/>
          </w:tcPr>
          <w:p w14:paraId="678C022A">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规格参数</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73B61796">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数量</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6CC2C890">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单位</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6A0714A8">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备注</w:t>
            </w:r>
          </w:p>
        </w:tc>
      </w:tr>
      <w:tr w14:paraId="52BD8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70FF7A">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5BCF5F">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1.5匹挂机</w:t>
            </w:r>
          </w:p>
          <w:p w14:paraId="1EED3D74">
            <w:pPr>
              <w:bidi w:val="0"/>
              <w:spacing w:line="360" w:lineRule="auto"/>
              <w:rPr>
                <w:rFonts w:hint="eastAsia" w:asciiTheme="minorEastAsia" w:hAnsiTheme="minorEastAsia" w:eastAsiaTheme="minorEastAsia" w:cstheme="minorEastAsia"/>
                <w:color w:val="auto"/>
                <w:sz w:val="24"/>
                <w:szCs w:val="24"/>
                <w:highlight w:val="none"/>
                <w:lang w:val="en-US" w:eastAsia="zh-CN"/>
              </w:rPr>
            </w:pPr>
          </w:p>
        </w:tc>
        <w:tc>
          <w:tcPr>
            <w:tcW w:w="410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DA7955">
            <w:pPr>
              <w:bidi w:val="0"/>
              <w:spacing w:line="360" w:lineRule="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1、冷暖两用、220V、节能产品、能效等级：一级</w:t>
            </w:r>
          </w:p>
          <w:p w14:paraId="20B55078">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2、APF（全年能源消耗率）</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27</w:t>
            </w:r>
          </w:p>
          <w:p w14:paraId="58761FF4">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 xml:space="preserve">3、额定制冷量≥3510W </w:t>
            </w:r>
          </w:p>
          <w:p w14:paraId="7FEEE802">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 xml:space="preserve">4、额定制热量≥5010W( 不含电辅加热) </w:t>
            </w:r>
          </w:p>
          <w:p w14:paraId="1AE4B331">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5、额定制冷功率≤845W</w:t>
            </w:r>
          </w:p>
          <w:p w14:paraId="26CA0543">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6、额定制热功率≤1250W(不含电辅加热)</w:t>
            </w:r>
          </w:p>
          <w:p w14:paraId="720B5656">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7、电辅热功率≤100</w:t>
            </w:r>
            <w:r>
              <w:rPr>
                <w:rFonts w:hint="eastAsia" w:asciiTheme="minorEastAsia" w:hAnsiTheme="minorEastAsia" w:eastAsiaTheme="minorEastAsia" w:cstheme="minorEastAsia"/>
                <w:sz w:val="24"/>
                <w:szCs w:val="24"/>
              </w:rPr>
              <w:t>0W</w:t>
            </w:r>
          </w:p>
          <w:p w14:paraId="772D98A7">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8、所投房间空调的室内机、室外机换热器为铜管材质，且室内外机连接管为铜材质</w:t>
            </w:r>
          </w:p>
          <w:p w14:paraId="67BC04E0">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9、具备省电节能模式</w:t>
            </w:r>
          </w:p>
          <w:p w14:paraId="21B477D9">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sz w:val="24"/>
                <w:szCs w:val="24"/>
                <w:lang w:val="en-US" w:eastAsia="zh-CN"/>
              </w:rPr>
              <w:t>10、风速调节档位＞3档</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44205691">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12</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385385B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台</w:t>
            </w:r>
          </w:p>
        </w:tc>
        <w:tc>
          <w:tcPr>
            <w:tcW w:w="519" w:type="pct"/>
            <w:vMerge w:val="restart"/>
            <w:tcBorders>
              <w:top w:val="single" w:color="000000" w:sz="4" w:space="0"/>
              <w:left w:val="single" w:color="000000" w:sz="4" w:space="0"/>
              <w:right w:val="single" w:color="000000" w:sz="4" w:space="0"/>
            </w:tcBorders>
            <w:noWrap w:val="0"/>
            <w:vAlign w:val="center"/>
          </w:tcPr>
          <w:p w14:paraId="4CAE873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宋体" w:hAnsi="宋体" w:cs="宋体"/>
                <w:bCs/>
                <w:color w:val="auto"/>
                <w:sz w:val="24"/>
                <w:highlight w:val="none"/>
                <w:lang w:val="en-US" w:eastAsia="zh-CN"/>
              </w:rPr>
              <w:t>供应商</w:t>
            </w:r>
            <w:r>
              <w:rPr>
                <w:rFonts w:hint="eastAsia" w:ascii="宋体" w:hAnsi="宋体" w:cs="宋体"/>
                <w:bCs/>
                <w:color w:val="auto"/>
                <w:sz w:val="24"/>
                <w:highlight w:val="none"/>
              </w:rPr>
              <w:t>所投空调设备各型号应为同一品牌</w:t>
            </w:r>
          </w:p>
        </w:tc>
      </w:tr>
      <w:tr w14:paraId="7C1E7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E33D94">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9C0E0C">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2匹挂机</w:t>
            </w:r>
          </w:p>
        </w:tc>
        <w:tc>
          <w:tcPr>
            <w:tcW w:w="410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FB2DBA">
            <w:pPr>
              <w:bidi w:val="0"/>
              <w:spacing w:line="360" w:lineRule="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1、冷暖两用、220V、节能产品、能效等级：一级</w:t>
            </w:r>
          </w:p>
          <w:p w14:paraId="4A1008F3">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2、APF（全年能源消耗率）</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4.75</w:t>
            </w:r>
          </w:p>
          <w:p w14:paraId="73E361BC">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3、额定制冷量≥5050W</w:t>
            </w:r>
          </w:p>
          <w:p w14:paraId="44502016">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 xml:space="preserve">4、额定制热量≥7220W(不含电辅加热) </w:t>
            </w:r>
          </w:p>
          <w:p w14:paraId="205D3B25">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5、额定制冷功率≤1260W</w:t>
            </w:r>
          </w:p>
          <w:p w14:paraId="3E0A8FF9">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6、额定制热功率≤1960W(不含电辅加热)</w:t>
            </w:r>
          </w:p>
          <w:p w14:paraId="09CDF1D8">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7、电辅热功率≤1200</w:t>
            </w:r>
            <w:r>
              <w:rPr>
                <w:rFonts w:hint="eastAsia" w:asciiTheme="minorEastAsia" w:hAnsiTheme="minorEastAsia" w:eastAsiaTheme="minorEastAsia" w:cstheme="minorEastAsia"/>
                <w:sz w:val="24"/>
                <w:szCs w:val="24"/>
              </w:rPr>
              <w:t>W</w:t>
            </w:r>
          </w:p>
          <w:p w14:paraId="28A09E62">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8、循环风量≥1000m³/h</w:t>
            </w:r>
          </w:p>
          <w:p w14:paraId="487AA7E3">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9、所投房间空调的室内机、室外机换热器为铜管材质，且室内外机连接管为铜材质</w:t>
            </w:r>
          </w:p>
          <w:p w14:paraId="0F7C6652">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10、具备省电节能模式</w:t>
            </w:r>
          </w:p>
          <w:p w14:paraId="15600DF5">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sz w:val="24"/>
                <w:szCs w:val="24"/>
                <w:lang w:val="en-US" w:eastAsia="zh-CN"/>
              </w:rPr>
              <w:t>11、风速调节档位＞3档</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2C26FD33">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18</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6193A40E">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台</w:t>
            </w:r>
          </w:p>
        </w:tc>
        <w:tc>
          <w:tcPr>
            <w:tcW w:w="519" w:type="pct"/>
            <w:vMerge w:val="continue"/>
            <w:tcBorders>
              <w:left w:val="single" w:color="000000" w:sz="4" w:space="0"/>
              <w:right w:val="single" w:color="000000" w:sz="4" w:space="0"/>
            </w:tcBorders>
            <w:noWrap w:val="0"/>
            <w:vAlign w:val="center"/>
          </w:tcPr>
          <w:p w14:paraId="744E7EE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p>
        </w:tc>
      </w:tr>
      <w:tr w14:paraId="31DA7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7DB093">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B3B176">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3P柜机</w:t>
            </w:r>
          </w:p>
        </w:tc>
        <w:tc>
          <w:tcPr>
            <w:tcW w:w="410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A185DD">
            <w:pPr>
              <w:bidi w:val="0"/>
              <w:spacing w:line="360" w:lineRule="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1、冷暖两用、220V、节能产品、能效等级：一级</w:t>
            </w:r>
          </w:p>
          <w:p w14:paraId="26A1EAE3">
            <w:pPr>
              <w:bidi w:val="0"/>
              <w:spacing w:line="360" w:lineRule="auto"/>
              <w:rPr>
                <w:rFonts w:hint="eastAsia" w:asciiTheme="minorEastAsia" w:hAnsiTheme="minorEastAsia" w:eastAsiaTheme="minorEastAsia" w:cstheme="minorEastAsia"/>
                <w:sz w:val="24"/>
                <w:szCs w:val="24"/>
                <w:lang w:val="en-US"/>
              </w:rPr>
            </w:pPr>
            <w:r>
              <w:rPr>
                <w:rFonts w:hint="eastAsia" w:asciiTheme="minorEastAsia" w:hAnsiTheme="minorEastAsia" w:eastAsiaTheme="minorEastAsia" w:cstheme="minorEastAsia"/>
                <w:sz w:val="24"/>
                <w:szCs w:val="24"/>
                <w:lang w:val="en-US" w:eastAsia="zh-CN"/>
              </w:rPr>
              <w:t>2、APF（全年能源消耗率）</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4.42</w:t>
            </w:r>
          </w:p>
          <w:p w14:paraId="7F92BE12">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3、额定制冷量≥7330W</w:t>
            </w:r>
          </w:p>
          <w:p w14:paraId="7874702B">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 xml:space="preserve">4、额定制热量≥9800W(不含电辅加热) </w:t>
            </w:r>
          </w:p>
          <w:p w14:paraId="6C7D996F">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5、额定制冷功</w:t>
            </w:r>
            <w:r>
              <w:rPr>
                <w:rFonts w:hint="eastAsia" w:asciiTheme="minorEastAsia" w:hAnsiTheme="minorEastAsia" w:eastAsiaTheme="minorEastAsia" w:cstheme="minorEastAsia"/>
                <w:sz w:val="24"/>
                <w:szCs w:val="24"/>
                <w:highlight w:val="none"/>
                <w:lang w:val="en-US" w:eastAsia="zh-CN"/>
              </w:rPr>
              <w:t>率≤2000W</w:t>
            </w:r>
          </w:p>
          <w:p w14:paraId="0F64DCE7">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6、额定制热功率≤2850W(不含电辅加热)</w:t>
            </w:r>
          </w:p>
          <w:p w14:paraId="0934C6F3">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7、电辅加热功率≤2400</w:t>
            </w:r>
            <w:r>
              <w:rPr>
                <w:rFonts w:hint="eastAsia" w:asciiTheme="minorEastAsia" w:hAnsiTheme="minorEastAsia" w:eastAsiaTheme="minorEastAsia" w:cstheme="minorEastAsia"/>
                <w:sz w:val="24"/>
                <w:szCs w:val="24"/>
              </w:rPr>
              <w:t>W</w:t>
            </w:r>
          </w:p>
          <w:p w14:paraId="3F580E81">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8、循环风量≥1400m³/h</w:t>
            </w:r>
          </w:p>
          <w:p w14:paraId="65C2132B">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9、所投房间空调的室内机、室外机换热器为铜管材质，且室内外机连接管为铜材质</w:t>
            </w:r>
          </w:p>
          <w:p w14:paraId="52F327BF">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10、具备省电节能模式</w:t>
            </w:r>
          </w:p>
          <w:p w14:paraId="44DE58A1">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sz w:val="24"/>
                <w:szCs w:val="24"/>
                <w:lang w:val="en-US" w:eastAsia="zh-CN"/>
              </w:rPr>
              <w:t>11、风速调节档位＞3档</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DCCAC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kern w:val="2"/>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2"/>
                <w:sz w:val="24"/>
                <w:szCs w:val="24"/>
                <w:highlight w:val="none"/>
                <w:u w:val="none"/>
                <w:lang w:val="en-US" w:eastAsia="zh-CN" w:bidi="ar-SA"/>
              </w:rPr>
              <w:t>7</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52CEA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kern w:val="2"/>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台</w:t>
            </w:r>
          </w:p>
        </w:tc>
        <w:tc>
          <w:tcPr>
            <w:tcW w:w="519" w:type="pct"/>
            <w:vMerge w:val="continue"/>
            <w:tcBorders>
              <w:left w:val="single" w:color="000000" w:sz="4" w:space="0"/>
              <w:right w:val="single" w:color="000000" w:sz="4" w:space="0"/>
            </w:tcBorders>
            <w:shd w:val="clear" w:color="auto" w:fill="auto"/>
            <w:noWrap w:val="0"/>
            <w:vAlign w:val="center"/>
          </w:tcPr>
          <w:p w14:paraId="4363D663">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kern w:val="2"/>
                <w:sz w:val="24"/>
                <w:szCs w:val="24"/>
                <w:highlight w:val="none"/>
                <w:u w:val="none"/>
                <w:lang w:val="en-US" w:eastAsia="zh-CN" w:bidi="ar-SA"/>
              </w:rPr>
            </w:pPr>
          </w:p>
        </w:tc>
      </w:tr>
      <w:tr w14:paraId="2E68A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65" w:type="pct"/>
            <w:tcBorders>
              <w:top w:val="single" w:color="000000" w:sz="4" w:space="0"/>
              <w:left w:val="single" w:color="000000" w:sz="4" w:space="0"/>
              <w:bottom w:val="single" w:color="000000" w:sz="4" w:space="0"/>
              <w:right w:val="single" w:color="000000" w:sz="4" w:space="0"/>
            </w:tcBorders>
            <w:noWrap w:val="0"/>
            <w:vAlign w:val="center"/>
          </w:tcPr>
          <w:p w14:paraId="4E5396B4">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w:t>
            </w:r>
          </w:p>
        </w:tc>
        <w:tc>
          <w:tcPr>
            <w:tcW w:w="667" w:type="pct"/>
            <w:tcBorders>
              <w:top w:val="single" w:color="000000" w:sz="4" w:space="0"/>
              <w:left w:val="single" w:color="000000" w:sz="4" w:space="0"/>
              <w:bottom w:val="single" w:color="000000" w:sz="4" w:space="0"/>
              <w:right w:val="single" w:color="000000" w:sz="4" w:space="0"/>
            </w:tcBorders>
            <w:noWrap w:val="0"/>
            <w:vAlign w:val="center"/>
          </w:tcPr>
          <w:p w14:paraId="4AA548A4">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5P柜机</w:t>
            </w:r>
          </w:p>
        </w:tc>
        <w:tc>
          <w:tcPr>
            <w:tcW w:w="4108" w:type="dxa"/>
            <w:tcBorders>
              <w:top w:val="single" w:color="000000" w:sz="4" w:space="0"/>
              <w:left w:val="single" w:color="000000" w:sz="4" w:space="0"/>
              <w:bottom w:val="single" w:color="000000" w:sz="4" w:space="0"/>
              <w:right w:val="single" w:color="000000" w:sz="4" w:space="0"/>
            </w:tcBorders>
            <w:noWrap w:val="0"/>
            <w:vAlign w:val="center"/>
          </w:tcPr>
          <w:p w14:paraId="536ADBC6">
            <w:pPr>
              <w:bidi w:val="0"/>
              <w:spacing w:line="360" w:lineRule="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1、冷暖两用、380V、节能产品、能效等级：一级</w:t>
            </w:r>
          </w:p>
          <w:p w14:paraId="3EE53DDA">
            <w:pPr>
              <w:bidi w:val="0"/>
              <w:spacing w:line="360" w:lineRule="auto"/>
              <w:rPr>
                <w:rFonts w:hint="eastAsia" w:asciiTheme="minorEastAsia" w:hAnsiTheme="minorEastAsia" w:eastAsiaTheme="minorEastAsia" w:cstheme="minorEastAsia"/>
                <w:sz w:val="24"/>
                <w:szCs w:val="24"/>
                <w:lang w:val="en-US"/>
              </w:rPr>
            </w:pPr>
            <w:r>
              <w:rPr>
                <w:rFonts w:hint="eastAsia" w:asciiTheme="minorEastAsia" w:hAnsiTheme="minorEastAsia" w:eastAsiaTheme="minorEastAsia" w:cstheme="minorEastAsia"/>
                <w:sz w:val="24"/>
                <w:szCs w:val="24"/>
                <w:lang w:val="en-US" w:eastAsia="zh-CN"/>
              </w:rPr>
              <w:t>2、APF（全年能源消耗率）</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3.6</w:t>
            </w:r>
          </w:p>
          <w:p w14:paraId="3735FBB4">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 xml:space="preserve">3、额定制冷量≥12150W </w:t>
            </w:r>
          </w:p>
          <w:p w14:paraId="4389EB24">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 xml:space="preserve">4、额定制热量≥13900W(不含电辅加热) </w:t>
            </w:r>
          </w:p>
          <w:p w14:paraId="7A761EA7">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5、额定制冷功率≤4600W</w:t>
            </w:r>
          </w:p>
          <w:p w14:paraId="33CED9EC">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6、额定制热功率≤4550W(不含电辅加热)</w:t>
            </w:r>
          </w:p>
          <w:p w14:paraId="0992C9E7">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7、电辅加热功率≤3200</w:t>
            </w:r>
            <w:r>
              <w:rPr>
                <w:rFonts w:hint="eastAsia" w:asciiTheme="minorEastAsia" w:hAnsiTheme="minorEastAsia" w:eastAsiaTheme="minorEastAsia" w:cstheme="minorEastAsia"/>
                <w:sz w:val="24"/>
                <w:szCs w:val="24"/>
              </w:rPr>
              <w:t>W</w:t>
            </w:r>
          </w:p>
          <w:p w14:paraId="49E2E42C">
            <w:p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8、循环风量≥2110m³/h</w:t>
            </w:r>
          </w:p>
          <w:p w14:paraId="699BBF1F">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9、所投房间空调的室内机、室外机换热器为铜管材质，且室内外机连接管为铜材质</w:t>
            </w:r>
          </w:p>
          <w:p w14:paraId="0CDF0740">
            <w:p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10、具备省电节能模式</w:t>
            </w:r>
          </w:p>
          <w:p w14:paraId="5C5A00DC">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z w:val="24"/>
                <w:szCs w:val="24"/>
                <w:lang w:val="en-US" w:eastAsia="zh-CN"/>
              </w:rPr>
              <w:t>11、风速调节档位＞3档</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28880050">
            <w:pPr>
              <w:spacing w:line="360" w:lineRule="auto"/>
              <w:jc w:val="center"/>
              <w:rPr>
                <w:rFonts w:hint="eastAsia"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eastAsiaTheme="minorEastAsia" w:cstheme="minorEastAsia"/>
                <w:i w:val="0"/>
                <w:iCs w:val="0"/>
                <w:color w:val="auto"/>
                <w:sz w:val="24"/>
                <w:szCs w:val="24"/>
                <w:highlight w:val="none"/>
                <w:u w:val="none"/>
                <w:lang w:val="en-US" w:eastAsia="zh-CN"/>
              </w:rPr>
              <w:t>6</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33696887">
            <w:pPr>
              <w:spacing w:line="360" w:lineRule="auto"/>
              <w:jc w:val="center"/>
              <w:rPr>
                <w:rFonts w:hint="eastAsia"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eastAsiaTheme="minorEastAsia" w:cstheme="minorEastAsia"/>
                <w:i w:val="0"/>
                <w:iCs w:val="0"/>
                <w:color w:val="auto"/>
                <w:sz w:val="24"/>
                <w:szCs w:val="24"/>
                <w:highlight w:val="none"/>
                <w:u w:val="none"/>
                <w:lang w:val="en-US" w:eastAsia="zh-CN"/>
              </w:rPr>
              <w:t>台</w:t>
            </w:r>
          </w:p>
        </w:tc>
        <w:tc>
          <w:tcPr>
            <w:tcW w:w="519" w:type="pct"/>
            <w:vMerge w:val="continue"/>
            <w:tcBorders>
              <w:left w:val="single" w:color="000000" w:sz="4" w:space="0"/>
              <w:bottom w:val="single" w:color="000000" w:sz="4" w:space="0"/>
              <w:right w:val="single" w:color="000000" w:sz="4" w:space="0"/>
            </w:tcBorders>
            <w:noWrap w:val="0"/>
            <w:vAlign w:val="center"/>
          </w:tcPr>
          <w:p w14:paraId="30B49397">
            <w:pPr>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r>
      <w:tr w14:paraId="3AAAC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274493">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328D43">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安装及辅材</w:t>
            </w:r>
          </w:p>
          <w:p w14:paraId="1DD3236D">
            <w:pPr>
              <w:bidi w:val="0"/>
              <w:spacing w:line="360" w:lineRule="auto"/>
              <w:rPr>
                <w:rFonts w:hint="eastAsia" w:asciiTheme="minorEastAsia" w:hAnsiTheme="minorEastAsia" w:eastAsiaTheme="minorEastAsia" w:cstheme="minorEastAsia"/>
                <w:color w:val="auto"/>
                <w:sz w:val="24"/>
                <w:szCs w:val="24"/>
                <w:highlight w:val="none"/>
                <w:lang w:val="en-US" w:eastAsia="zh-CN"/>
              </w:rPr>
            </w:pPr>
          </w:p>
        </w:tc>
        <w:tc>
          <w:tcPr>
            <w:tcW w:w="240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2A914E">
            <w:pPr>
              <w:bidi w:val="0"/>
              <w:spacing w:line="360" w:lineRule="auto"/>
              <w:rPr>
                <w:rFonts w:hint="eastAsia" w:asciiTheme="minorEastAsia" w:hAnsiTheme="minorEastAsia" w:eastAsiaTheme="minorEastAsia" w:cstheme="minorEastAsia"/>
                <w:color w:val="auto"/>
                <w:sz w:val="24"/>
                <w:szCs w:val="24"/>
                <w:highlight w:val="none"/>
                <w:lang w:val="zh-CN" w:eastAsia="zh-CN"/>
              </w:rPr>
            </w:pPr>
            <w:r>
              <w:rPr>
                <w:rFonts w:hint="eastAsia" w:asciiTheme="minorEastAsia" w:hAnsiTheme="minorEastAsia" w:eastAsiaTheme="minorEastAsia" w:cstheme="minorEastAsia"/>
                <w:color w:val="auto"/>
                <w:sz w:val="24"/>
                <w:szCs w:val="24"/>
                <w:highlight w:val="none"/>
                <w:lang w:val="en-US" w:eastAsia="zh-CN"/>
              </w:rPr>
              <w:t>本项目为交钥匙工程，项目还包含设备的安装及与空调配套并能满足使用单位要求所需的铜管、不锈钢支架、PVC水管、电线、水钻洞等，全部由中标单位提供，所需费用均包含在项目中标价内，采购人不再另行计费购买。</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9E45AC">
            <w:pPr>
              <w:pStyle w:val="3"/>
              <w:spacing w:line="360" w:lineRule="auto"/>
              <w:ind w:left="0" w:leftChars="0" w:firstLine="0" w:firstLineChars="0"/>
              <w:rPr>
                <w:rFonts w:hint="eastAsia" w:asciiTheme="minorEastAsia" w:hAnsiTheme="minorEastAsia" w:eastAsiaTheme="minorEastAsia" w:cstheme="minorEastAsia"/>
                <w:b w:val="0"/>
                <w:bCs w:val="0"/>
                <w:color w:val="auto"/>
                <w:kern w:val="2"/>
                <w:sz w:val="24"/>
                <w:szCs w:val="24"/>
                <w:highlight w:val="none"/>
                <w:lang w:val="en-US" w:eastAsia="zh-CN" w:bidi="zh-CN"/>
              </w:rPr>
            </w:pPr>
            <w:r>
              <w:rPr>
                <w:rFonts w:hint="eastAsia" w:asciiTheme="minorEastAsia" w:hAnsiTheme="minorEastAsia" w:eastAsiaTheme="minorEastAsia" w:cstheme="minorEastAsia"/>
                <w:b w:val="0"/>
                <w:bCs w:val="0"/>
                <w:color w:val="auto"/>
                <w:sz w:val="24"/>
                <w:szCs w:val="24"/>
                <w:highlight w:val="none"/>
                <w:lang w:val="en-US" w:eastAsia="zh-CN"/>
              </w:rPr>
              <w:t>1批</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2BDC920D">
            <w:pPr>
              <w:spacing w:line="360" w:lineRule="auto"/>
              <w:jc w:val="center"/>
              <w:rPr>
                <w:rFonts w:hint="eastAsia"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eastAsiaTheme="minorEastAsia" w:cstheme="minorEastAsia"/>
                <w:i w:val="0"/>
                <w:iCs w:val="0"/>
                <w:color w:val="auto"/>
                <w:sz w:val="24"/>
                <w:szCs w:val="24"/>
                <w:highlight w:val="none"/>
                <w:u w:val="none"/>
                <w:lang w:val="en-US" w:eastAsia="zh-CN"/>
              </w:rPr>
              <w:t>/</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338600F1">
            <w:pPr>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sz w:val="24"/>
                <w:szCs w:val="24"/>
                <w:highlight w:val="none"/>
                <w:u w:val="none"/>
                <w:lang w:val="en-US" w:eastAsia="zh-CN"/>
              </w:rPr>
              <w:t>/</w:t>
            </w:r>
          </w:p>
        </w:tc>
      </w:tr>
    </w:tbl>
    <w:p w14:paraId="0C814631">
      <w:pPr>
        <w:spacing w:line="360" w:lineRule="auto"/>
        <w:rPr>
          <w:rFonts w:hint="eastAsia" w:ascii="宋体" w:hAnsi="宋体"/>
          <w:b/>
          <w:color w:val="auto"/>
          <w:sz w:val="24"/>
          <w:highlight w:val="none"/>
          <w:lang w:val="en-US" w:eastAsia="zh-CN"/>
        </w:rPr>
      </w:pPr>
    </w:p>
    <w:p w14:paraId="5811C52D">
      <w:pPr>
        <w:pStyle w:val="2"/>
        <w:rPr>
          <w:rFonts w:hint="eastAsia"/>
          <w:color w:val="auto"/>
          <w:highlight w:val="none"/>
          <w:lang w:val="en-US" w:eastAsia="zh-CN"/>
        </w:rPr>
      </w:pPr>
    </w:p>
    <w:p w14:paraId="682463CC">
      <w:pPr>
        <w:spacing w:line="360" w:lineRule="auto"/>
        <w:rPr>
          <w:rFonts w:hint="eastAsia" w:ascii="宋体" w:hAnsi="宋体"/>
          <w:b/>
          <w:color w:val="auto"/>
          <w:sz w:val="24"/>
          <w:highlight w:val="none"/>
        </w:rPr>
      </w:pPr>
      <w:r>
        <w:rPr>
          <w:rFonts w:hint="eastAsia" w:ascii="宋体" w:hAnsi="宋体"/>
          <w:b/>
          <w:color w:val="auto"/>
          <w:sz w:val="24"/>
          <w:highlight w:val="none"/>
          <w:lang w:val="en-US" w:eastAsia="zh-CN"/>
        </w:rPr>
        <w:t>注：</w:t>
      </w:r>
      <w:r>
        <w:rPr>
          <w:rFonts w:hint="eastAsia" w:ascii="宋体" w:hAnsi="宋体"/>
          <w:b/>
          <w:color w:val="auto"/>
          <w:sz w:val="24"/>
          <w:highlight w:val="none"/>
        </w:rPr>
        <w:t>以上“参数规格”为实质性要求，必须完全满足或优于，否则响应无效。</w:t>
      </w:r>
    </w:p>
    <w:p w14:paraId="029ABB45">
      <w:pPr>
        <w:spacing w:line="360" w:lineRule="auto"/>
        <w:rPr>
          <w:rFonts w:hint="eastAsia" w:ascii="宋体" w:hAnsi="宋体"/>
          <w:b/>
          <w:color w:val="auto"/>
          <w:sz w:val="24"/>
          <w:highlight w:val="none"/>
        </w:rPr>
      </w:pPr>
    </w:p>
    <w:p w14:paraId="3D29E32E">
      <w:pPr>
        <w:numPr>
          <w:ilvl w:val="0"/>
          <w:numId w:val="1"/>
        </w:num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商务条款</w:t>
      </w:r>
    </w:p>
    <w:p w14:paraId="75DD9282">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1、交货期：合同签订后30个日历日内供货并完成开箱验收，</w:t>
      </w:r>
      <w:r>
        <w:rPr>
          <w:rFonts w:hint="eastAsia" w:asciiTheme="minorEastAsia" w:hAnsiTheme="minorEastAsia" w:eastAsiaTheme="minorEastAsia" w:cstheme="minorEastAsia"/>
          <w:color w:val="auto"/>
          <w:kern w:val="2"/>
          <w:sz w:val="24"/>
          <w:szCs w:val="24"/>
          <w:highlight w:val="none"/>
          <w:lang w:val="en-US" w:eastAsia="zh-CN" w:bidi="ar"/>
        </w:rPr>
        <w:t>货物的安装、调试并交付使用和培训工作需按采购人实际需要和通知分批次进行</w:t>
      </w:r>
      <w:r>
        <w:rPr>
          <w:rFonts w:hint="eastAsia" w:ascii="宋体" w:hAnsi="宋体" w:cs="宋体"/>
          <w:color w:val="auto"/>
          <w:sz w:val="24"/>
          <w:szCs w:val="24"/>
          <w:highlight w:val="none"/>
        </w:rPr>
        <w:t>。供应商应保证</w:t>
      </w:r>
      <w:r>
        <w:rPr>
          <w:rFonts w:hint="eastAsia" w:ascii="宋体" w:hAnsi="宋体" w:cs="宋体"/>
          <w:color w:val="auto"/>
          <w:sz w:val="24"/>
          <w:szCs w:val="24"/>
          <w:highlight w:val="none"/>
          <w:lang w:eastAsia="zh-CN"/>
        </w:rPr>
        <w:t>按照采购人需求</w:t>
      </w:r>
      <w:r>
        <w:rPr>
          <w:rFonts w:hint="eastAsia" w:ascii="宋体" w:hAnsi="宋体" w:cs="宋体"/>
          <w:color w:val="auto"/>
          <w:sz w:val="24"/>
          <w:szCs w:val="24"/>
          <w:highlight w:val="none"/>
        </w:rPr>
        <w:t>完成全部货物的供货、安装、调试和培训工作,符合国家标准、行业规范和合同等相关文件的要求。</w:t>
      </w:r>
    </w:p>
    <w:p w14:paraId="26423C66">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2、交货地点：</w:t>
      </w:r>
      <w:r>
        <w:rPr>
          <w:rFonts w:hint="eastAsia" w:ascii="宋体" w:hAnsi="宋体" w:cs="宋体"/>
          <w:color w:val="auto"/>
          <w:sz w:val="24"/>
          <w:szCs w:val="24"/>
          <w:highlight w:val="none"/>
          <w:lang w:val="en-US" w:eastAsia="zh-CN"/>
        </w:rPr>
        <w:t>江西省饶州监狱</w:t>
      </w:r>
      <w:r>
        <w:rPr>
          <w:rFonts w:hint="eastAsia" w:ascii="宋体" w:hAnsi="宋体" w:cs="宋体"/>
          <w:color w:val="auto"/>
          <w:sz w:val="24"/>
          <w:szCs w:val="24"/>
          <w:highlight w:val="none"/>
        </w:rPr>
        <w:t>。</w:t>
      </w:r>
    </w:p>
    <w:p w14:paraId="3E506A84">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3、履约保证金：（1）履约保证金为合同总金额的</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%计，成交供应商接到领取成交通知书的通知后，在合同签订期(15个日历日)之内及时以银行转账、现金支付形式(</w:t>
      </w:r>
      <w:r>
        <w:rPr>
          <w:rFonts w:hint="eastAsia" w:ascii="宋体" w:hAnsi="宋体" w:cs="宋体"/>
          <w:color w:val="auto"/>
          <w:sz w:val="24"/>
          <w:szCs w:val="24"/>
          <w:highlight w:val="none"/>
          <w:lang w:eastAsia="zh-CN"/>
        </w:rPr>
        <w:t>江西省饶州监狱</w:t>
      </w:r>
      <w:r>
        <w:rPr>
          <w:rFonts w:hint="eastAsia" w:ascii="宋体" w:hAnsi="宋体" w:cs="宋体"/>
          <w:color w:val="auto"/>
          <w:sz w:val="24"/>
          <w:szCs w:val="24"/>
          <w:highlight w:val="none"/>
        </w:rPr>
        <w:t>，</w:t>
      </w:r>
      <w:r>
        <w:rPr>
          <w:rFonts w:hint="eastAsia" w:ascii="宋体" w:hAnsi="宋体" w:cs="宋体"/>
          <w:color w:val="auto"/>
          <w:sz w:val="24"/>
          <w:szCs w:val="24"/>
          <w:highlight w:val="none"/>
          <w:lang w:eastAsia="zh-CN"/>
        </w:rPr>
        <w:t>南昌农商银行洪都支行</w:t>
      </w:r>
      <w:r>
        <w:rPr>
          <w:rFonts w:hint="eastAsia" w:ascii="宋体" w:hAnsi="宋体" w:cs="宋体"/>
          <w:color w:val="auto"/>
          <w:sz w:val="24"/>
          <w:szCs w:val="24"/>
          <w:highlight w:val="none"/>
        </w:rPr>
        <w:t>，账号:</w:t>
      </w:r>
      <w:r>
        <w:rPr>
          <w:rFonts w:hint="eastAsia" w:ascii="宋体" w:hAnsi="宋体" w:cs="宋体"/>
          <w:color w:val="auto"/>
          <w:sz w:val="24"/>
          <w:szCs w:val="24"/>
          <w:highlight w:val="none"/>
          <w:lang w:val="en-US" w:eastAsia="zh-CN"/>
        </w:rPr>
        <w:t>1067090000000371290002</w:t>
      </w:r>
      <w:r>
        <w:rPr>
          <w:rFonts w:hint="eastAsia" w:ascii="宋体" w:hAnsi="宋体" w:cs="宋体"/>
          <w:color w:val="auto"/>
          <w:sz w:val="24"/>
          <w:szCs w:val="24"/>
          <w:highlight w:val="none"/>
        </w:rPr>
        <w:t>)，或保险、支票、汇票或者金融机构、担保机构出具的保函(含电子保函)等非现金形式向采购人提交履为保证金;逾期未交视为放弃中标。</w:t>
      </w:r>
    </w:p>
    <w:p w14:paraId="546FD361">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（2）</w:t>
      </w:r>
      <w:r>
        <w:rPr>
          <w:rFonts w:hint="eastAsia" w:ascii="宋体" w:hAnsi="宋体" w:eastAsia="宋体" w:cs="宋体"/>
          <w:color w:val="auto"/>
          <w:kern w:val="0"/>
          <w:sz w:val="24"/>
          <w:szCs w:val="24"/>
          <w:highlight w:val="none"/>
        </w:rPr>
        <w:t>上述履约保证金自签订本合同之日起到本合同项目最终验收合格之日止为履约保证金，自本合同项目完成并最终验收合格之后，采购人在30日内退还中标人，不计息履约保证金不</w:t>
      </w:r>
      <w:r>
        <w:rPr>
          <w:rFonts w:hint="eastAsia" w:ascii="宋体" w:hAnsi="宋体" w:cs="宋体"/>
          <w:color w:val="auto"/>
          <w:kern w:val="0"/>
          <w:sz w:val="24"/>
          <w:szCs w:val="24"/>
          <w:highlight w:val="none"/>
          <w:lang w:val="en-US" w:eastAsia="zh-CN"/>
        </w:rPr>
        <w:t>予</w:t>
      </w:r>
      <w:r>
        <w:rPr>
          <w:rFonts w:hint="eastAsia" w:ascii="宋体" w:hAnsi="宋体" w:eastAsia="宋体" w:cs="宋体"/>
          <w:color w:val="auto"/>
          <w:kern w:val="0"/>
          <w:sz w:val="24"/>
          <w:szCs w:val="24"/>
          <w:highlight w:val="none"/>
        </w:rPr>
        <w:t>退还情形:签订合同后，如中标人不按双方签订的合同规定履约，则没收其全部履约保证金，履约保证金不足以赔偿损失的，按实际损失赔偿</w:t>
      </w:r>
      <w:r>
        <w:rPr>
          <w:rFonts w:hint="eastAsia" w:ascii="宋体" w:hAnsi="宋体" w:cs="宋体"/>
          <w:color w:val="auto"/>
          <w:sz w:val="24"/>
          <w:szCs w:val="24"/>
          <w:highlight w:val="none"/>
        </w:rPr>
        <w:t>。</w:t>
      </w:r>
    </w:p>
    <w:p w14:paraId="368CCBDE">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4、付款方式：成交供应商将所有货物按时交货安装调试并初次验收合格后，成交供应商提供合法</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等额</w:t>
      </w:r>
      <w:r>
        <w:rPr>
          <w:rFonts w:hint="eastAsia" w:ascii="宋体" w:hAnsi="宋体" w:cs="宋体"/>
          <w:color w:val="auto"/>
          <w:sz w:val="24"/>
          <w:szCs w:val="24"/>
          <w:highlight w:val="none"/>
        </w:rPr>
        <w:t>的增值税发票及发票抵扣联原件、本合同原件和本项目政府采购验收单，采购人</w:t>
      </w:r>
      <w:r>
        <w:rPr>
          <w:rFonts w:hint="eastAsia" w:ascii="宋体" w:hAnsi="宋体" w:cs="宋体"/>
          <w:color w:val="auto"/>
          <w:sz w:val="24"/>
          <w:szCs w:val="24"/>
          <w:highlight w:val="none"/>
          <w:lang w:eastAsia="zh-CN"/>
        </w:rPr>
        <w:t>自收到成交供应商提供的完整的付款材料之日起，</w:t>
      </w:r>
      <w:r>
        <w:rPr>
          <w:rFonts w:hint="eastAsia" w:ascii="宋体" w:hAnsi="宋体" w:cs="宋体"/>
          <w:color w:val="auto"/>
          <w:sz w:val="24"/>
          <w:szCs w:val="24"/>
          <w:highlight w:val="none"/>
          <w:lang w:val="en-US" w:eastAsia="zh-CN"/>
        </w:rPr>
        <w:t>尽快</w:t>
      </w:r>
      <w:r>
        <w:rPr>
          <w:rFonts w:hint="eastAsia" w:ascii="宋体" w:hAnsi="宋体" w:cs="宋体"/>
          <w:color w:val="auto"/>
          <w:sz w:val="24"/>
          <w:szCs w:val="24"/>
          <w:highlight w:val="none"/>
          <w:lang w:eastAsia="zh-CN"/>
        </w:rPr>
        <w:t>完成项目的付款</w:t>
      </w:r>
      <w:r>
        <w:rPr>
          <w:rFonts w:hint="eastAsia" w:ascii="宋体" w:hAnsi="宋体" w:cs="宋体"/>
          <w:color w:val="auto"/>
          <w:sz w:val="24"/>
          <w:szCs w:val="24"/>
          <w:highlight w:val="none"/>
        </w:rPr>
        <w:t>。</w:t>
      </w:r>
    </w:p>
    <w:p w14:paraId="20D52AFE">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5、质量保证和售后服务要求。</w:t>
      </w:r>
    </w:p>
    <w:p w14:paraId="3704CBF4">
      <w:pPr>
        <w:adjustRightInd w:val="0"/>
        <w:spacing w:line="360" w:lineRule="auto"/>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质量保证期：自本项目最终验收合格之日起不少于</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年的免费质量保证期（费用包含在本项目响应报价中）</w:t>
      </w:r>
      <w:r>
        <w:rPr>
          <w:rFonts w:hint="eastAsia" w:ascii="宋体" w:hAnsi="宋体" w:cs="宋体"/>
          <w:color w:val="auto"/>
          <w:sz w:val="24"/>
          <w:szCs w:val="24"/>
          <w:highlight w:val="none"/>
          <w:lang w:eastAsia="zh-CN"/>
        </w:rPr>
        <w:t>。</w:t>
      </w:r>
    </w:p>
    <w:p w14:paraId="042B75B7">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约定服务期自本项目所有产品安装调试并初次验收合格之日起算，在约定服务期内，如果设备发生故障，成交供应商要调查故障原因并免费修复直至满足设备性能的要求，或者更换整机或部分有缺陷的组件和材料；约定服务期内成交供应商应对由于设计、工艺或材料的缺陷而发生的任何不足和故障负责任。约定服务期内提供及时的升级服务</w:t>
      </w:r>
      <w:r>
        <w:rPr>
          <w:rFonts w:hint="eastAsia" w:ascii="宋体" w:hAnsi="宋体" w:cs="宋体"/>
          <w:color w:val="auto"/>
          <w:sz w:val="24"/>
          <w:szCs w:val="24"/>
          <w:highlight w:val="none"/>
        </w:rPr>
        <w:t>。</w:t>
      </w:r>
    </w:p>
    <w:p w14:paraId="75C831E1">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）约定服务期期满后，成交供应商继续为采购人提供专业维修及软件升级服务，由此发生的相关服务和备品备件费用由采购人承担</w:t>
      </w:r>
      <w:r>
        <w:rPr>
          <w:rFonts w:hint="eastAsia" w:ascii="宋体" w:hAnsi="宋体" w:cs="宋体"/>
          <w:color w:val="auto"/>
          <w:sz w:val="24"/>
          <w:szCs w:val="24"/>
          <w:highlight w:val="none"/>
        </w:rPr>
        <w:t>。</w:t>
      </w:r>
    </w:p>
    <w:p w14:paraId="1ABFBBA5">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）提供7×24小时售后服务热线；在接到采购人通知维修后服务随时响应。若运用通讯工具不能解决问题，必须在48小时之内到达现场予以解决</w:t>
      </w:r>
      <w:r>
        <w:rPr>
          <w:rFonts w:hint="eastAsia" w:ascii="宋体" w:hAnsi="宋体" w:cs="宋体"/>
          <w:color w:val="auto"/>
          <w:sz w:val="24"/>
          <w:szCs w:val="24"/>
          <w:highlight w:val="none"/>
        </w:rPr>
        <w:t>。</w:t>
      </w:r>
      <w:r>
        <w:rPr>
          <w:rFonts w:hint="eastAsia" w:ascii="宋体" w:hAnsi="宋体" w:eastAsia="宋体" w:cs="宋体"/>
          <w:color w:val="auto"/>
          <w:sz w:val="24"/>
          <w:szCs w:val="24"/>
          <w:highlight w:val="none"/>
          <w:lang w:eastAsia="zh-CN"/>
        </w:rPr>
        <w:t>成交供应商</w:t>
      </w:r>
      <w:r>
        <w:rPr>
          <w:rFonts w:hint="eastAsia" w:ascii="宋体" w:hAnsi="宋体" w:cs="宋体"/>
          <w:color w:val="auto"/>
          <w:sz w:val="24"/>
          <w:szCs w:val="24"/>
          <w:highlight w:val="none"/>
        </w:rPr>
        <w:t>拒绝提供维修，</w:t>
      </w:r>
      <w:r>
        <w:rPr>
          <w:rFonts w:hint="eastAsia" w:ascii="宋体" w:hAnsi="宋体" w:eastAsia="宋体" w:cs="宋体"/>
          <w:color w:val="auto"/>
          <w:sz w:val="24"/>
          <w:szCs w:val="24"/>
          <w:highlight w:val="none"/>
          <w:lang w:eastAsia="zh-CN"/>
        </w:rPr>
        <w:t>采购人</w:t>
      </w:r>
      <w:r>
        <w:rPr>
          <w:rFonts w:hint="eastAsia" w:ascii="宋体" w:hAnsi="宋体" w:cs="宋体"/>
          <w:color w:val="auto"/>
          <w:sz w:val="24"/>
          <w:szCs w:val="24"/>
          <w:highlight w:val="none"/>
        </w:rPr>
        <w:t>有权另行委托第三方维修，所产生的维修成本概由</w:t>
      </w:r>
      <w:r>
        <w:rPr>
          <w:rFonts w:hint="eastAsia" w:ascii="宋体" w:hAnsi="宋体" w:eastAsia="宋体" w:cs="宋体"/>
          <w:color w:val="auto"/>
          <w:sz w:val="24"/>
          <w:szCs w:val="24"/>
          <w:highlight w:val="none"/>
          <w:lang w:eastAsia="zh-CN"/>
        </w:rPr>
        <w:t>成交供应商</w:t>
      </w:r>
      <w:r>
        <w:rPr>
          <w:rFonts w:hint="eastAsia" w:ascii="宋体" w:hAnsi="宋体" w:cs="宋体"/>
          <w:color w:val="auto"/>
          <w:sz w:val="24"/>
          <w:szCs w:val="24"/>
          <w:highlight w:val="none"/>
        </w:rPr>
        <w:t>承担，此外，</w:t>
      </w:r>
      <w:r>
        <w:rPr>
          <w:rFonts w:hint="eastAsia" w:ascii="宋体" w:hAnsi="宋体" w:eastAsia="宋体" w:cs="宋体"/>
          <w:color w:val="auto"/>
          <w:sz w:val="24"/>
          <w:szCs w:val="24"/>
          <w:highlight w:val="none"/>
          <w:lang w:eastAsia="zh-CN"/>
        </w:rPr>
        <w:t>成交供应商</w:t>
      </w:r>
      <w:r>
        <w:rPr>
          <w:rFonts w:hint="eastAsia" w:ascii="宋体" w:hAnsi="宋体" w:cs="宋体"/>
          <w:color w:val="auto"/>
          <w:sz w:val="24"/>
          <w:szCs w:val="24"/>
          <w:highlight w:val="none"/>
        </w:rPr>
        <w:t>还应承担违约责任。</w:t>
      </w:r>
    </w:p>
    <w:p w14:paraId="27AD505E">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lang w:eastAsia="zh-CN"/>
        </w:rPr>
        <w:t>）成交供应商的其它售后服务承诺属于本合同的一部分，如果有不同约定的，以服务水平和层级更高的为准。</w:t>
      </w:r>
    </w:p>
    <w:p w14:paraId="1D3F5E4A">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6、安装调试及货物验收</w:t>
      </w:r>
    </w:p>
    <w:p w14:paraId="083C59AF">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成交供应商应按合同约定按时交货并通知采购人对货物开箱时进行开箱验收</w:t>
      </w:r>
      <w:r>
        <w:rPr>
          <w:rFonts w:hint="eastAsia" w:ascii="宋体" w:hAnsi="宋体" w:cs="宋体"/>
          <w:color w:val="auto"/>
          <w:sz w:val="24"/>
          <w:szCs w:val="24"/>
          <w:highlight w:val="none"/>
        </w:rPr>
        <w:t>。</w:t>
      </w:r>
    </w:p>
    <w:p w14:paraId="3B6C1F02">
      <w:pPr>
        <w:adjustRightInd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成交供应商应根据合同、招（投）标文件等相关资料的要求完成项目产品的安装、调试，同时成交供应商需对采购人用户单位人员进行技术和操作的免费培训（培训地点为采购人所在地）。仪器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r>
        <w:rPr>
          <w:rFonts w:hint="eastAsia" w:ascii="宋体" w:hAnsi="宋体" w:eastAsia="宋体" w:cs="宋体"/>
          <w:color w:val="auto"/>
          <w:kern w:val="0"/>
          <w:sz w:val="24"/>
          <w:szCs w:val="24"/>
          <w:highlight w:val="none"/>
          <w:lang w:eastAsia="zh-CN"/>
        </w:rPr>
        <w:t>。</w:t>
      </w:r>
    </w:p>
    <w:p w14:paraId="12406937">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r>
        <w:rPr>
          <w:rFonts w:hint="eastAsia" w:ascii="宋体" w:hAnsi="宋体" w:cs="宋体"/>
          <w:color w:val="auto"/>
          <w:sz w:val="24"/>
          <w:szCs w:val="24"/>
          <w:highlight w:val="none"/>
        </w:rPr>
        <w:t>。</w:t>
      </w:r>
    </w:p>
    <w:p w14:paraId="4D12CCC4">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7、验收依据：《产品检验通用技术要求》和相关的中国国家标准；</w:t>
      </w:r>
    </w:p>
    <w:p w14:paraId="7D38FE13">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359CAE06">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9、知识产权</w:t>
      </w:r>
    </w:p>
    <w:p w14:paraId="792BFE1D">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成交供应商须保障采购人在使用该产品及所属服务或其任何一部分时不受到第三方关于侵犯专利权、商标权或工业设计权等知识产权的指控。如果任何第三方提出侵权指控与采购人无关，</w:t>
      </w:r>
      <w:r>
        <w:rPr>
          <w:rFonts w:hint="eastAsia" w:ascii="宋体" w:hAnsi="宋体" w:cs="宋体"/>
          <w:color w:val="auto"/>
          <w:sz w:val="24"/>
          <w:szCs w:val="24"/>
          <w:highlight w:val="none"/>
          <w:lang w:eastAsia="zh-CN"/>
        </w:rPr>
        <w:t>供应商</w:t>
      </w:r>
      <w:r>
        <w:rPr>
          <w:rFonts w:hint="eastAsia" w:ascii="宋体" w:hAnsi="宋体" w:cs="宋体"/>
          <w:color w:val="auto"/>
          <w:sz w:val="24"/>
          <w:szCs w:val="24"/>
          <w:highlight w:val="none"/>
        </w:rPr>
        <w:t>须与第三方交涉并承担可能发生的责任与一切费用。如采购人因此而遭致损失的，成交供应商应赔偿该损失。</w:t>
      </w:r>
    </w:p>
    <w:p w14:paraId="1894C788">
      <w:pPr>
        <w:pStyle w:val="11"/>
        <w:numPr>
          <w:ilvl w:val="0"/>
          <w:numId w:val="0"/>
        </w:numPr>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10、履约风险及措施</w:t>
      </w:r>
    </w:p>
    <w:p w14:paraId="49DEBB7C">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（1）供应商</w:t>
      </w:r>
      <w:r>
        <w:rPr>
          <w:rFonts w:hint="default" w:ascii="宋体" w:hAnsi="宋体" w:eastAsia="宋体" w:cs="宋体"/>
          <w:color w:val="auto"/>
          <w:sz w:val="24"/>
          <w:szCs w:val="24"/>
          <w:highlight w:val="none"/>
          <w:lang w:val="en-US" w:eastAsia="zh-CN"/>
        </w:rPr>
        <w:t>未能按照本合同约定交货的，则每逾期一天，按照合同总价的</w:t>
      </w:r>
      <w:r>
        <w:rPr>
          <w:rFonts w:hint="eastAsia" w:ascii="宋体" w:hAnsi="宋体" w:cs="宋体"/>
          <w:color w:val="auto"/>
          <w:sz w:val="24"/>
          <w:szCs w:val="24"/>
          <w:highlight w:val="none"/>
          <w:lang w:val="en-US" w:eastAsia="zh-CN"/>
        </w:rPr>
        <w:t>5</w:t>
      </w:r>
      <w:r>
        <w:rPr>
          <w:rFonts w:hint="default" w:ascii="宋体" w:hAnsi="宋体" w:eastAsia="宋体" w:cs="宋体"/>
          <w:color w:val="auto"/>
          <w:sz w:val="24"/>
          <w:szCs w:val="24"/>
          <w:highlight w:val="none"/>
          <w:lang w:val="en-US" w:eastAsia="zh-CN"/>
        </w:rPr>
        <w:t>‰向</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支付违约金，最高延期赔偿金不超过本合同总价款的20%。</w:t>
      </w:r>
    </w:p>
    <w:p w14:paraId="58C7EF37">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（2）供应商</w:t>
      </w:r>
      <w:r>
        <w:rPr>
          <w:rFonts w:hint="default" w:ascii="宋体" w:hAnsi="宋体" w:eastAsia="宋体" w:cs="宋体"/>
          <w:color w:val="auto"/>
          <w:sz w:val="24"/>
          <w:szCs w:val="24"/>
          <w:highlight w:val="none"/>
          <w:lang w:val="en-US" w:eastAsia="zh-CN"/>
        </w:rPr>
        <w:t>提供的服务或产品未达到本合同约定的技术、质量及其他任何要求，且经验收不合格的或</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明确告知</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无法交付合同约定产品或提供合同约定的服务的，</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应当承担违约责任，并应按本合同总金额的30%向</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支付违约金。</w:t>
      </w:r>
    </w:p>
    <w:p w14:paraId="093F2798">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（3）供应商</w:t>
      </w:r>
      <w:r>
        <w:rPr>
          <w:rFonts w:hint="default" w:ascii="宋体" w:hAnsi="宋体" w:eastAsia="宋体" w:cs="宋体"/>
          <w:color w:val="auto"/>
          <w:sz w:val="24"/>
          <w:szCs w:val="24"/>
          <w:highlight w:val="none"/>
          <w:lang w:val="en-US" w:eastAsia="zh-CN"/>
        </w:rPr>
        <w:t>未能按照本合同约定按期交货的，则逾期超过 1 个月，或虽未逾期但经两次申请仍然未能通过验收合格的，</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可单方通知</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解除合同，解除合同通知送达</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当日合同立即终止。</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解除合同通知发送至</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指定电子邮箱系统即视为已送达。</w:t>
      </w:r>
    </w:p>
    <w:p w14:paraId="50AFDF4E">
      <w:pPr>
        <w:pStyle w:val="11"/>
        <w:spacing w:line="360" w:lineRule="auto"/>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注：以上商务要求均须完全满足，否则视为无效响应。</w:t>
      </w:r>
    </w:p>
    <w:p w14:paraId="4AE186E9">
      <w:bookmarkStart w:id="0" w:name="_GoBack"/>
      <w:bookmarkEnd w:id="0"/>
    </w:p>
    <w:sectPr>
      <w:footerReference r:id="rId3" w:type="default"/>
      <w:pgSz w:w="11906" w:h="16838"/>
      <w:pgMar w:top="1440" w:right="1797" w:bottom="1440" w:left="1797"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02"/>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83CE3">
    <w:pPr>
      <w:pStyle w:val="7"/>
      <w:framePr w:wrap="around" w:vAnchor="text" w:hAnchor="margin" w:xAlign="center" w:y="1"/>
      <w:rPr>
        <w:rStyle w:val="10"/>
      </w:rPr>
    </w:pPr>
    <w:r>
      <w:rPr>
        <w:rStyle w:val="10"/>
      </w:rPr>
      <w:fldChar w:fldCharType="begin"/>
    </w:r>
    <w:r>
      <w:rPr>
        <w:rStyle w:val="10"/>
      </w:rPr>
      <w:instrText xml:space="preserve">PAGE  </w:instrText>
    </w:r>
    <w:r>
      <w:rPr>
        <w:rStyle w:val="10"/>
      </w:rPr>
      <w:fldChar w:fldCharType="separate"/>
    </w:r>
    <w:r>
      <w:rPr>
        <w:rStyle w:val="10"/>
      </w:rPr>
      <w:t>54</w:t>
    </w:r>
    <w:r>
      <w:rPr>
        <w:rStyle w:val="10"/>
      </w:rPr>
      <w:fldChar w:fldCharType="end"/>
    </w:r>
  </w:p>
  <w:p w14:paraId="0DAC5F18">
    <w:pPr>
      <w:pStyle w:val="7"/>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C7BF8E"/>
    <w:multiLevelType w:val="singleLevel"/>
    <w:tmpl w:val="E0C7BF8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CE33E5"/>
    <w:rsid w:val="275C5DD5"/>
    <w:rsid w:val="318930A6"/>
    <w:rsid w:val="3C1F03B8"/>
    <w:rsid w:val="5A2D0343"/>
    <w:rsid w:val="70CE33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6">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5"/>
    <w:qFormat/>
    <w:uiPriority w:val="0"/>
    <w:pPr>
      <w:tabs>
        <w:tab w:val="left" w:pos="0"/>
        <w:tab w:val="left" w:pos="993"/>
        <w:tab w:val="left" w:pos="1134"/>
      </w:tabs>
      <w:ind w:firstLine="420" w:firstLineChars="200"/>
    </w:pPr>
    <w:rPr>
      <w:rFonts w:ascii="Calibri" w:hAnsi="Calibri" w:eastAsia="宋体"/>
    </w:rPr>
  </w:style>
  <w:style w:type="paragraph" w:styleId="3">
    <w:name w:val="Body Text Indent"/>
    <w:basedOn w:val="1"/>
    <w:next w:val="4"/>
    <w:qFormat/>
    <w:uiPriority w:val="0"/>
    <w:pPr>
      <w:ind w:firstLine="645"/>
    </w:pPr>
    <w:rPr>
      <w:rFonts w:ascii="Arial" w:hAnsi="Arial" w:eastAsia="仿宋_GB2312"/>
      <w:sz w:val="28"/>
    </w:rPr>
  </w:style>
  <w:style w:type="paragraph" w:styleId="4">
    <w:name w:val="envelope return"/>
    <w:basedOn w:val="1"/>
    <w:qFormat/>
    <w:uiPriority w:val="0"/>
    <w:pPr>
      <w:snapToGrid w:val="0"/>
    </w:pPr>
    <w:rPr>
      <w:rFonts w:ascii="Arial" w:hAnsi="Arial"/>
    </w:rPr>
  </w:style>
  <w:style w:type="paragraph" w:styleId="5">
    <w:name w:val="Body Text"/>
    <w:basedOn w:val="1"/>
    <w:next w:val="1"/>
    <w:unhideWhenUsed/>
    <w:qFormat/>
    <w:uiPriority w:val="99"/>
    <w:pPr>
      <w:spacing w:after="120"/>
    </w:pPr>
  </w:style>
  <w:style w:type="paragraph" w:styleId="7">
    <w:name w:val="footer"/>
    <w:basedOn w:val="1"/>
    <w:qFormat/>
    <w:uiPriority w:val="0"/>
    <w:pPr>
      <w:tabs>
        <w:tab w:val="center" w:pos="4153"/>
        <w:tab w:val="right" w:pos="8306"/>
      </w:tabs>
      <w:snapToGrid w:val="0"/>
      <w:jc w:val="left"/>
    </w:pPr>
    <w:rPr>
      <w:sz w:val="18"/>
    </w:rPr>
  </w:style>
  <w:style w:type="character" w:styleId="10">
    <w:name w:val="page number"/>
    <w:basedOn w:val="9"/>
    <w:qFormat/>
    <w:uiPriority w:val="0"/>
  </w:style>
  <w:style w:type="paragraph" w:customStyle="1" w:styleId="11">
    <w:name w:val="_Style 3"/>
    <w:qFormat/>
    <w:uiPriority w:val="1"/>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2026-06-05T09:28:00Z</dcterms:created>
  <dc:creator>LENOVO</dc:creator>
  <cp:lastModifiedBy>LENOVO</cp:lastModifiedBy>
  <dcterms:modified xsi:type="dcterms:W3CDTF">2026-06-05T09:28:36Z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EA28D96AE9B94F0FB58F51074B48DB13_11</vt:lpwstr>
  </property>
</Properties>
</file>