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3B4353">
      <w:pPr>
        <w:widowControl w:val="0"/>
        <w:spacing w:before="78" w:after="240" w:afterLines="100" w:line="220" w:lineRule="auto"/>
        <w:jc w:val="center"/>
        <w:outlineLvl w:val="1"/>
        <w:rPr>
          <w:rFonts w:ascii="宋体" w:hAnsi="宋体" w:eastAsia="宋体" w:cs="宋体"/>
          <w:color w:val="auto"/>
          <w:spacing w:val="-2"/>
          <w:sz w:val="28"/>
          <w:szCs w:val="28"/>
          <w:lang w:eastAsia="zh-CN"/>
        </w:rPr>
      </w:pPr>
      <w:r>
        <w:rPr>
          <w:rFonts w:hint="eastAsia" w:ascii="宋体" w:hAnsi="宋体" w:eastAsia="宋体" w:cs="宋体"/>
          <w:color w:val="auto"/>
          <w:spacing w:val="-2"/>
          <w:sz w:val="28"/>
          <w:szCs w:val="28"/>
          <w:highlight w:val="white"/>
          <w:lang w:eastAsia="zh-CN"/>
        </w:rPr>
        <w:t>技术规格（工程需求）</w:t>
      </w:r>
    </w:p>
    <w:p w14:paraId="2492D74A">
      <w:pPr>
        <w:widowControl w:val="0"/>
        <w:spacing w:line="460" w:lineRule="exact"/>
        <w:ind w:left="-422" w:leftChars="-201" w:firstLine="566" w:firstLineChars="235"/>
        <w:jc w:val="center"/>
        <w:rPr>
          <w:rFonts w:hint="eastAsia" w:ascii="宋体" w:hAnsi="宋体" w:eastAsia="宋体" w:cs="宋体"/>
          <w:b/>
          <w:color w:val="auto"/>
          <w:sz w:val="24"/>
          <w:szCs w:val="24"/>
          <w:highlight w:val="white"/>
          <w:lang w:eastAsia="zh-CN"/>
        </w:rPr>
      </w:pPr>
    </w:p>
    <w:p w14:paraId="785FA326">
      <w:pPr>
        <w:spacing w:line="360" w:lineRule="auto"/>
        <w:ind w:firstLine="480" w:firstLineChars="200"/>
        <w:rPr>
          <w:rFonts w:hint="eastAsia" w:ascii="宋体" w:hAnsi="宋体" w:cs="仿宋"/>
          <w:b/>
          <w:bCs/>
          <w:color w:val="auto"/>
          <w:sz w:val="24"/>
          <w:lang w:eastAsia="zh-CN"/>
        </w:rPr>
      </w:pPr>
      <w:r>
        <w:rPr>
          <w:rFonts w:hint="eastAsia" w:ascii="宋体" w:hAnsi="宋体" w:cs="仿宋"/>
          <w:b/>
          <w:bCs/>
          <w:color w:val="auto"/>
          <w:sz w:val="24"/>
          <w:lang w:eastAsia="zh-CN"/>
        </w:rPr>
        <w:t>1、项目概况：</w:t>
      </w:r>
    </w:p>
    <w:p w14:paraId="68775183">
      <w:pPr>
        <w:spacing w:line="360" w:lineRule="auto"/>
        <w:ind w:firstLine="480" w:firstLineChars="200"/>
        <w:rPr>
          <w:rFonts w:hint="eastAsia" w:ascii="宋体" w:hAnsi="宋体" w:cs="仿宋"/>
          <w:color w:val="auto"/>
          <w:sz w:val="24"/>
          <w:lang w:eastAsia="zh-CN"/>
        </w:rPr>
      </w:pPr>
      <w:r>
        <w:rPr>
          <w:rFonts w:hint="eastAsia" w:ascii="宋体" w:hAnsi="宋体" w:cs="仿宋"/>
          <w:color w:val="auto"/>
          <w:sz w:val="24"/>
          <w:lang w:eastAsia="zh-CN"/>
        </w:rPr>
        <w:t>工程名称：上海路校区十二大楼修缮工程采购项目</w:t>
      </w:r>
    </w:p>
    <w:p w14:paraId="7D575620">
      <w:pPr>
        <w:spacing w:line="360" w:lineRule="auto"/>
        <w:ind w:firstLine="480" w:firstLineChars="200"/>
        <w:rPr>
          <w:rFonts w:hint="eastAsia" w:ascii="宋体" w:hAnsi="宋体" w:cs="仿宋"/>
          <w:color w:val="auto"/>
          <w:sz w:val="24"/>
          <w:lang w:eastAsia="zh-CN"/>
        </w:rPr>
      </w:pPr>
      <w:r>
        <w:rPr>
          <w:rFonts w:hint="eastAsia" w:ascii="宋体" w:hAnsi="宋体" w:cs="仿宋"/>
          <w:color w:val="auto"/>
          <w:sz w:val="24"/>
          <w:lang w:eastAsia="zh-CN"/>
        </w:rPr>
        <w:t>工程地点：本工程位于江西省南昌市</w:t>
      </w:r>
    </w:p>
    <w:p w14:paraId="60A50063">
      <w:pPr>
        <w:spacing w:line="360" w:lineRule="auto"/>
        <w:ind w:firstLine="480" w:firstLineChars="200"/>
        <w:rPr>
          <w:rFonts w:hint="eastAsia" w:ascii="宋体" w:hAnsi="宋体" w:cs="仿宋"/>
          <w:color w:val="auto"/>
          <w:sz w:val="24"/>
          <w:lang w:eastAsia="zh-CN"/>
        </w:rPr>
      </w:pPr>
      <w:r>
        <w:rPr>
          <w:rFonts w:hint="eastAsia" w:ascii="宋体" w:hAnsi="宋体" w:cs="仿宋"/>
          <w:color w:val="auto"/>
          <w:sz w:val="24"/>
          <w:lang w:eastAsia="zh-CN"/>
        </w:rPr>
        <w:t>工程范围：本项目为南昌航空大学十二大楼修缮工程，位于南昌市上海路，装修内容为：十二大楼地面墙面及天棚改造、卫生间改造、水电安装等。</w:t>
      </w:r>
    </w:p>
    <w:p w14:paraId="5E1909DF">
      <w:pPr>
        <w:spacing w:line="360" w:lineRule="auto"/>
        <w:ind w:firstLine="480" w:firstLineChars="200"/>
        <w:rPr>
          <w:rFonts w:hint="eastAsia" w:ascii="宋体" w:hAnsi="宋体" w:cs="仿宋"/>
          <w:b/>
          <w:bCs/>
          <w:color w:val="auto"/>
          <w:sz w:val="24"/>
          <w:lang w:eastAsia="zh-CN"/>
        </w:rPr>
      </w:pPr>
      <w:r>
        <w:rPr>
          <w:rFonts w:hint="eastAsia" w:ascii="宋体" w:hAnsi="宋体" w:cs="仿宋"/>
          <w:b/>
          <w:bCs/>
          <w:color w:val="auto"/>
          <w:sz w:val="24"/>
          <w:lang w:eastAsia="zh-CN"/>
        </w:rPr>
        <w:t>2、编制依据：</w:t>
      </w:r>
    </w:p>
    <w:p w14:paraId="6DBF75C0">
      <w:pPr>
        <w:spacing w:line="360" w:lineRule="auto"/>
        <w:ind w:firstLine="480" w:firstLineChars="200"/>
        <w:rPr>
          <w:rFonts w:hint="eastAsia" w:ascii="宋体" w:hAnsi="宋体" w:cs="仿宋"/>
          <w:color w:val="auto"/>
          <w:sz w:val="24"/>
          <w:lang w:eastAsia="zh-CN"/>
        </w:rPr>
      </w:pPr>
      <w:r>
        <w:rPr>
          <w:rFonts w:hint="eastAsia" w:ascii="宋体" w:hAnsi="宋体" w:cs="仿宋"/>
          <w:color w:val="auto"/>
          <w:sz w:val="24"/>
          <w:lang w:eastAsia="zh-CN"/>
        </w:rPr>
        <w:t>（1）本预算依据采购人提供的施工图纸及要求，执行</w:t>
      </w:r>
      <w:r>
        <w:rPr>
          <w:rFonts w:hint="eastAsia" w:ascii="宋体" w:hAnsi="宋体" w:eastAsia="宋体" w:cs="宋体"/>
          <w:color w:val="auto"/>
          <w:sz w:val="24"/>
          <w:lang w:eastAsia="zh-CN"/>
        </w:rPr>
        <w:t>《建设工程工程量清单计价标准》</w:t>
      </w:r>
      <w:r>
        <w:rPr>
          <w:rFonts w:hint="eastAsia" w:ascii="宋体" w:hAnsi="宋体" w:cs="仿宋"/>
          <w:color w:val="auto"/>
          <w:sz w:val="24"/>
          <w:lang w:eastAsia="zh-CN"/>
        </w:rPr>
        <w:t>GB/T50500-2024,套用《江西省市政工程消耗量定额及统一基价表》(2017版)、《江西省园林绿化工程消耗量定额及统一基价表》（2023 版），取费依据《江西省建筑与装饰、通用安装、市政工程费用定额（试行）》（2017版）。</w:t>
      </w:r>
    </w:p>
    <w:p w14:paraId="22008806">
      <w:pPr>
        <w:spacing w:line="360" w:lineRule="auto"/>
        <w:ind w:firstLine="480" w:firstLineChars="200"/>
        <w:rPr>
          <w:rFonts w:hint="eastAsia" w:ascii="宋体" w:hAnsi="宋体" w:cs="仿宋"/>
          <w:color w:val="auto"/>
          <w:sz w:val="24"/>
          <w:lang w:eastAsia="zh-CN"/>
        </w:rPr>
      </w:pPr>
      <w:r>
        <w:rPr>
          <w:rFonts w:hint="eastAsia" w:ascii="宋体" w:hAnsi="宋体" w:cs="仿宋"/>
          <w:color w:val="auto"/>
          <w:sz w:val="24"/>
          <w:lang w:eastAsia="zh-CN"/>
        </w:rPr>
        <w:t>（2）本工程主要材料价格依据《江西省造价信息》2026年第3期南昌市材料价格调整，南昌市信息价中没有的材料执行市场价。</w:t>
      </w:r>
    </w:p>
    <w:p w14:paraId="368D7771">
      <w:pPr>
        <w:spacing w:line="360" w:lineRule="auto"/>
        <w:ind w:firstLine="480" w:firstLineChars="200"/>
        <w:rPr>
          <w:rFonts w:hint="eastAsia" w:ascii="宋体" w:hAnsi="宋体" w:cs="仿宋"/>
          <w:color w:val="auto"/>
          <w:sz w:val="24"/>
          <w:lang w:eastAsia="zh-CN"/>
        </w:rPr>
      </w:pPr>
      <w:r>
        <w:rPr>
          <w:rFonts w:hint="eastAsia" w:ascii="宋体" w:hAnsi="宋体" w:cs="仿宋"/>
          <w:color w:val="auto"/>
          <w:sz w:val="24"/>
          <w:lang w:eastAsia="zh-CN"/>
        </w:rPr>
        <w:t>（3）增值税执行《江西省建筑业营改增后现行建设工程计价规则和依据调整办法》（试行）规定的9%费率进行调整。</w:t>
      </w:r>
    </w:p>
    <w:p w14:paraId="2275B4E7">
      <w:pPr>
        <w:spacing w:line="360" w:lineRule="auto"/>
        <w:ind w:firstLine="480" w:firstLineChars="200"/>
        <w:rPr>
          <w:rFonts w:hint="eastAsia" w:ascii="宋体" w:hAnsi="宋体" w:cs="仿宋"/>
          <w:b/>
          <w:bCs/>
          <w:color w:val="auto"/>
          <w:sz w:val="24"/>
          <w:lang w:eastAsia="zh-CN"/>
        </w:rPr>
      </w:pPr>
      <w:r>
        <w:rPr>
          <w:rFonts w:hint="eastAsia" w:ascii="宋体" w:hAnsi="宋体" w:cs="仿宋"/>
          <w:b/>
          <w:bCs/>
          <w:color w:val="auto"/>
          <w:sz w:val="24"/>
          <w:lang w:eastAsia="zh-CN"/>
        </w:rPr>
        <w:t>3、计量说明：</w:t>
      </w:r>
    </w:p>
    <w:p w14:paraId="40930A4C">
      <w:pPr>
        <w:spacing w:line="360" w:lineRule="auto"/>
        <w:ind w:firstLine="480" w:firstLineChars="200"/>
        <w:rPr>
          <w:rFonts w:hint="eastAsia" w:ascii="宋体" w:hAnsi="宋体" w:cs="仿宋"/>
          <w:color w:val="auto"/>
          <w:sz w:val="24"/>
          <w:lang w:eastAsia="zh-CN"/>
        </w:rPr>
      </w:pPr>
      <w:r>
        <w:rPr>
          <w:rFonts w:hint="eastAsia" w:ascii="宋体" w:hAnsi="宋体" w:cs="仿宋"/>
          <w:color w:val="auto"/>
          <w:sz w:val="24"/>
          <w:lang w:eastAsia="zh-CN"/>
        </w:rPr>
        <w:t>（1）</w:t>
      </w:r>
      <w:r>
        <w:rPr>
          <w:rStyle w:val="7"/>
          <w:b w:val="0"/>
          <w:color w:val="auto"/>
          <w:lang w:eastAsia="zh-CN"/>
        </w:rPr>
        <w:t>本工程渣土外运运距由投标人自行勘察现场并综合考虑，包干使用，结算时不因实际运距变化而调整</w:t>
      </w:r>
      <w:r>
        <w:rPr>
          <w:rStyle w:val="7"/>
          <w:rFonts w:hint="eastAsia"/>
          <w:b w:val="0"/>
          <w:color w:val="auto"/>
          <w:lang w:eastAsia="zh-CN"/>
        </w:rPr>
        <w:t>。</w:t>
      </w:r>
    </w:p>
    <w:p w14:paraId="39C532EC">
      <w:pPr>
        <w:spacing w:line="360" w:lineRule="auto"/>
        <w:ind w:firstLine="480" w:firstLineChars="200"/>
        <w:rPr>
          <w:rFonts w:hint="eastAsia" w:ascii="宋体" w:hAnsi="宋体" w:cs="仿宋"/>
          <w:color w:val="auto"/>
          <w:sz w:val="24"/>
          <w:lang w:eastAsia="zh-CN"/>
        </w:rPr>
      </w:pPr>
      <w:r>
        <w:rPr>
          <w:rFonts w:hint="eastAsia" w:ascii="宋体" w:hAnsi="宋体" w:cs="仿宋"/>
          <w:color w:val="auto"/>
          <w:sz w:val="24"/>
          <w:lang w:eastAsia="zh-CN"/>
        </w:rPr>
        <w:t>（2）</w:t>
      </w:r>
      <w:r>
        <w:rPr>
          <w:rFonts w:ascii="宋体" w:hAnsi="宋体" w:cs="仿宋"/>
          <w:color w:val="auto"/>
          <w:sz w:val="24"/>
          <w:lang w:eastAsia="zh-CN"/>
        </w:rPr>
        <w:t>因暂未提供原结构设计图，本预算中涉及结构梁影响的工程量</w:t>
      </w:r>
      <w:r>
        <w:rPr>
          <w:rFonts w:hint="eastAsia" w:ascii="宋体" w:hAnsi="宋体" w:cs="仿宋"/>
          <w:color w:val="auto"/>
          <w:sz w:val="24"/>
          <w:lang w:eastAsia="zh-CN"/>
        </w:rPr>
        <w:t>。</w:t>
      </w:r>
    </w:p>
    <w:p w14:paraId="591AE152">
      <w:pPr>
        <w:spacing w:line="360" w:lineRule="auto"/>
        <w:ind w:firstLine="480" w:firstLineChars="200"/>
        <w:rPr>
          <w:rFonts w:hint="eastAsia" w:ascii="宋体" w:hAnsi="宋体" w:cs="仿宋"/>
          <w:color w:val="auto"/>
          <w:sz w:val="24"/>
          <w:lang w:eastAsia="zh-CN"/>
        </w:rPr>
      </w:pPr>
      <w:r>
        <w:rPr>
          <w:rFonts w:hint="eastAsia" w:ascii="宋体" w:hAnsi="宋体" w:cs="仿宋"/>
          <w:color w:val="auto"/>
          <w:sz w:val="24"/>
          <w:lang w:eastAsia="zh-CN"/>
        </w:rPr>
        <w:t>（3）卫生间暂不考虑窗帘，卫生间窗户玻璃为磨砂玻璃；</w:t>
      </w:r>
    </w:p>
    <w:p w14:paraId="0DCAB34E">
      <w:pPr>
        <w:spacing w:line="360" w:lineRule="auto"/>
        <w:ind w:firstLine="480" w:firstLineChars="200"/>
        <w:rPr>
          <w:rFonts w:hint="eastAsia" w:ascii="宋体" w:hAnsi="宋体" w:cs="仿宋"/>
          <w:color w:val="auto"/>
          <w:sz w:val="24"/>
          <w:lang w:eastAsia="zh-CN"/>
        </w:rPr>
      </w:pPr>
      <w:r>
        <w:rPr>
          <w:rFonts w:hint="eastAsia" w:ascii="宋体" w:hAnsi="宋体" w:cs="仿宋"/>
          <w:color w:val="auto"/>
          <w:sz w:val="24"/>
          <w:lang w:eastAsia="zh-CN"/>
        </w:rPr>
        <w:t>（4）层高按建筑里面图尺寸考虑，结构板厚度按150mm考虑；</w:t>
      </w:r>
    </w:p>
    <w:p w14:paraId="68DC4D64">
      <w:pPr>
        <w:spacing w:line="360" w:lineRule="auto"/>
        <w:ind w:firstLine="480" w:firstLineChars="200"/>
        <w:rPr>
          <w:rFonts w:hint="eastAsia" w:ascii="宋体" w:hAnsi="宋体" w:cs="仿宋"/>
          <w:color w:val="auto"/>
          <w:sz w:val="24"/>
          <w:lang w:eastAsia="zh-CN"/>
        </w:rPr>
      </w:pPr>
      <w:r>
        <w:rPr>
          <w:rFonts w:hint="eastAsia" w:ascii="宋体" w:hAnsi="宋体" w:cs="仿宋"/>
          <w:color w:val="auto"/>
          <w:sz w:val="24"/>
          <w:lang w:eastAsia="zh-CN"/>
        </w:rPr>
        <w:t>（5）应急照明按图纸计算第四、五层；</w:t>
      </w:r>
    </w:p>
    <w:p w14:paraId="4AF32F0A">
      <w:pPr>
        <w:spacing w:line="360" w:lineRule="auto"/>
        <w:ind w:firstLine="480" w:firstLineChars="200"/>
        <w:rPr>
          <w:rFonts w:hint="eastAsia" w:ascii="宋体" w:hAnsi="宋体" w:cs="仿宋"/>
          <w:color w:val="auto"/>
          <w:sz w:val="24"/>
          <w:lang w:eastAsia="zh-CN"/>
        </w:rPr>
      </w:pPr>
      <w:r>
        <w:rPr>
          <w:rFonts w:hint="eastAsia" w:ascii="宋体" w:hAnsi="宋体" w:cs="仿宋"/>
          <w:color w:val="auto"/>
          <w:sz w:val="24"/>
          <w:lang w:eastAsia="zh-CN"/>
        </w:rPr>
        <w:t>（6）三楼房间不考虑装修及安装，仅考虑电线电缆接到入户箱；</w:t>
      </w:r>
    </w:p>
    <w:p w14:paraId="3B47F376">
      <w:pPr>
        <w:spacing w:line="360" w:lineRule="auto"/>
        <w:ind w:firstLine="480" w:firstLineChars="200"/>
        <w:rPr>
          <w:rFonts w:hint="eastAsia" w:ascii="宋体" w:hAnsi="宋体" w:cs="仿宋"/>
          <w:color w:val="auto"/>
          <w:sz w:val="24"/>
          <w:lang w:eastAsia="zh-CN"/>
        </w:rPr>
      </w:pPr>
      <w:r>
        <w:rPr>
          <w:rFonts w:hint="eastAsia" w:ascii="宋体" w:hAnsi="宋体" w:cs="仿宋"/>
          <w:color w:val="auto"/>
          <w:sz w:val="24"/>
          <w:lang w:eastAsia="zh-CN"/>
        </w:rPr>
        <w:t>（7）弱电仅考虑桥架、开槽、布管费用，穿线及面板设备不在本次预算范围内；</w:t>
      </w:r>
    </w:p>
    <w:p w14:paraId="0E6625BB">
      <w:pPr>
        <w:spacing w:line="360" w:lineRule="auto"/>
        <w:ind w:firstLine="480" w:firstLineChars="200"/>
        <w:rPr>
          <w:rFonts w:ascii="宋体" w:hAnsi="宋体" w:cs="仿宋"/>
          <w:color w:val="auto"/>
          <w:sz w:val="24"/>
          <w:lang w:eastAsia="zh-CN"/>
        </w:rPr>
      </w:pPr>
      <w:r>
        <w:rPr>
          <w:rFonts w:hint="eastAsia" w:ascii="宋体" w:hAnsi="宋体" w:cs="仿宋"/>
          <w:color w:val="auto"/>
          <w:sz w:val="24"/>
          <w:lang w:eastAsia="zh-CN"/>
        </w:rPr>
        <w:t>（8）监控系统不在本次预算范围内；</w:t>
      </w:r>
    </w:p>
    <w:p w14:paraId="03295AB6">
      <w:pPr>
        <w:spacing w:line="360" w:lineRule="auto"/>
        <w:ind w:firstLine="480" w:firstLineChars="200"/>
        <w:rPr>
          <w:rFonts w:ascii="宋体" w:hAnsi="宋体" w:cs="仿宋"/>
          <w:color w:val="auto"/>
          <w:sz w:val="24"/>
          <w:lang w:eastAsia="zh-CN"/>
        </w:rPr>
      </w:pPr>
      <w:r>
        <w:rPr>
          <w:rFonts w:hint="eastAsia" w:ascii="宋体" w:hAnsi="宋体" w:cs="仿宋"/>
          <w:color w:val="auto"/>
          <w:sz w:val="24"/>
          <w:lang w:eastAsia="zh-CN"/>
        </w:rPr>
        <w:t>（9）暂列金按150000元整（不含税）计取。</w:t>
      </w:r>
    </w:p>
    <w:p w14:paraId="3CD66276">
      <w:pPr>
        <w:spacing w:line="360" w:lineRule="auto"/>
        <w:ind w:firstLine="480" w:firstLineChars="200"/>
        <w:rPr>
          <w:rFonts w:hint="eastAsia" w:ascii="宋体" w:hAnsi="宋体" w:cs="仿宋"/>
          <w:b/>
          <w:bCs/>
          <w:color w:val="auto"/>
          <w:sz w:val="24"/>
          <w:lang w:eastAsia="zh"/>
        </w:rPr>
      </w:pPr>
      <w:r>
        <w:rPr>
          <w:rFonts w:hint="eastAsia" w:ascii="宋体" w:hAnsi="宋体" w:cs="仿宋"/>
          <w:b/>
          <w:bCs/>
          <w:color w:val="auto"/>
          <w:sz w:val="24"/>
          <w:lang w:eastAsia="zh-CN"/>
        </w:rPr>
        <w:t>4、</w:t>
      </w:r>
      <w:r>
        <w:rPr>
          <w:rFonts w:hint="eastAsia" w:ascii="宋体" w:hAnsi="宋体" w:cs="仿宋"/>
          <w:b/>
          <w:bCs/>
          <w:color w:val="auto"/>
          <w:sz w:val="24"/>
          <w:lang w:eastAsia="zh"/>
        </w:rPr>
        <w:t>特别事项说明</w:t>
      </w:r>
    </w:p>
    <w:p w14:paraId="188F51D1">
      <w:pPr>
        <w:spacing w:line="360" w:lineRule="auto"/>
        <w:ind w:firstLine="480" w:firstLineChars="200"/>
        <w:rPr>
          <w:rFonts w:hint="eastAsia" w:ascii="宋体" w:hAnsi="宋体" w:cs="仿宋"/>
          <w:color w:val="auto"/>
          <w:sz w:val="24"/>
          <w:lang w:eastAsia="zh-CN"/>
        </w:rPr>
      </w:pPr>
      <w:r>
        <w:rPr>
          <w:rFonts w:hint="eastAsia" w:ascii="宋体" w:hAnsi="宋体" w:cs="仿宋"/>
          <w:color w:val="auto"/>
          <w:sz w:val="24"/>
          <w:lang w:eastAsia="zh-CN"/>
        </w:rPr>
        <w:t>本工程量清单中"工作内容"和"项目特征"是对该项目主要内容的描述，未详细叙及之处在该项目计价组价时均应包括</w:t>
      </w:r>
      <w:r>
        <w:rPr>
          <w:rFonts w:hint="eastAsia" w:ascii="宋体" w:hAnsi="宋体" w:eastAsia="宋体" w:cs="宋体"/>
          <w:color w:val="auto"/>
          <w:sz w:val="24"/>
          <w:lang w:eastAsia="zh-CN"/>
        </w:rPr>
        <w:t>《建设工程工程量清单计价标准》</w:t>
      </w:r>
      <w:r>
        <w:rPr>
          <w:rFonts w:hint="eastAsia" w:ascii="宋体" w:hAnsi="宋体" w:cs="仿宋"/>
          <w:color w:val="auto"/>
          <w:sz w:val="24"/>
          <w:lang w:eastAsia="zh-CN"/>
        </w:rPr>
        <w:t>GB/T50500-2024规定、工程《设计施工图》相关设计要求、施工工艺以及施工质量检验验收标准（规范）规定等所包含的全部工作内容。</w:t>
      </w:r>
    </w:p>
    <w:p w14:paraId="0B8FD41D">
      <w:pPr>
        <w:spacing w:line="360" w:lineRule="auto"/>
        <w:ind w:firstLine="480" w:firstLineChars="200"/>
        <w:rPr>
          <w:rFonts w:ascii="宋体" w:hAnsi="宋体" w:cs="仿宋"/>
          <w:b/>
          <w:bCs/>
          <w:color w:val="auto"/>
          <w:sz w:val="24"/>
          <w:lang w:eastAsia="zh-CN"/>
        </w:rPr>
      </w:pPr>
      <w:r>
        <w:rPr>
          <w:rFonts w:hint="eastAsia" w:ascii="宋体" w:hAnsi="宋体" w:cs="仿宋"/>
          <w:b/>
          <w:bCs/>
          <w:color w:val="auto"/>
          <w:sz w:val="24"/>
          <w:lang w:eastAsia="zh-CN"/>
        </w:rPr>
        <w:t>5、预算主材计价品牌一览表</w:t>
      </w:r>
    </w:p>
    <w:tbl>
      <w:tblPr>
        <w:tblStyle w:val="5"/>
        <w:tblW w:w="8229" w:type="dxa"/>
        <w:tblInd w:w="15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91"/>
        <w:gridCol w:w="2151"/>
        <w:gridCol w:w="5387"/>
      </w:tblGrid>
      <w:tr w14:paraId="61BACC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691" w:type="dxa"/>
            <w:noWrap w:val="0"/>
            <w:vAlign w:val="center"/>
          </w:tcPr>
          <w:p w14:paraId="51D04FF7">
            <w:pPr>
              <w:tabs>
                <w:tab w:val="left" w:pos="420"/>
              </w:tabs>
              <w:spacing w:line="360" w:lineRule="auto"/>
              <w:ind w:right="-271" w:rightChars="-129"/>
              <w:rPr>
                <w:rFonts w:hint="eastAsia" w:ascii="宋体" w:hAnsi="宋体" w:cs="仿宋"/>
                <w:b/>
                <w:bCs/>
                <w:color w:val="auto"/>
              </w:rPr>
            </w:pPr>
            <w:r>
              <w:rPr>
                <w:rFonts w:hint="eastAsia" w:ascii="宋体" w:hAnsi="宋体" w:cs="仿宋"/>
                <w:b/>
                <w:bCs/>
                <w:color w:val="auto"/>
              </w:rPr>
              <w:t>序号</w:t>
            </w:r>
          </w:p>
        </w:tc>
        <w:tc>
          <w:tcPr>
            <w:tcW w:w="2151" w:type="dxa"/>
            <w:noWrap w:val="0"/>
            <w:vAlign w:val="center"/>
          </w:tcPr>
          <w:p w14:paraId="130A7C31">
            <w:pPr>
              <w:spacing w:line="360" w:lineRule="auto"/>
              <w:jc w:val="center"/>
              <w:rPr>
                <w:rFonts w:hint="eastAsia" w:ascii="宋体" w:hAnsi="宋体" w:cs="仿宋"/>
                <w:b/>
                <w:bCs/>
                <w:color w:val="auto"/>
              </w:rPr>
            </w:pPr>
            <w:r>
              <w:rPr>
                <w:rFonts w:hint="eastAsia" w:ascii="宋体" w:hAnsi="宋体" w:cs="仿宋"/>
                <w:b/>
                <w:bCs/>
                <w:color w:val="auto"/>
              </w:rPr>
              <w:t>材料名称</w:t>
            </w:r>
          </w:p>
        </w:tc>
        <w:tc>
          <w:tcPr>
            <w:tcW w:w="5387" w:type="dxa"/>
            <w:noWrap w:val="0"/>
            <w:vAlign w:val="center"/>
          </w:tcPr>
          <w:p w14:paraId="5D143784">
            <w:pPr>
              <w:spacing w:line="360" w:lineRule="auto"/>
              <w:jc w:val="center"/>
              <w:rPr>
                <w:rFonts w:hint="eastAsia" w:ascii="宋体" w:hAnsi="宋体" w:cs="仿宋"/>
                <w:b/>
                <w:bCs/>
                <w:color w:val="auto"/>
              </w:rPr>
            </w:pPr>
            <w:r>
              <w:rPr>
                <w:rFonts w:hint="eastAsia" w:ascii="宋体" w:hAnsi="宋体" w:cs="仿宋"/>
                <w:b/>
                <w:bCs/>
                <w:color w:val="auto"/>
              </w:rPr>
              <w:t>品牌型号</w:t>
            </w:r>
          </w:p>
        </w:tc>
      </w:tr>
      <w:tr w14:paraId="2B1854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9" w:hRule="atLeast"/>
        </w:trPr>
        <w:tc>
          <w:tcPr>
            <w:tcW w:w="691" w:type="dxa"/>
            <w:noWrap w:val="0"/>
            <w:vAlign w:val="center"/>
          </w:tcPr>
          <w:p w14:paraId="02D4A504">
            <w:pPr>
              <w:spacing w:line="360" w:lineRule="auto"/>
              <w:jc w:val="center"/>
              <w:rPr>
                <w:rFonts w:hint="eastAsia" w:ascii="宋体" w:hAnsi="宋体" w:cs="仿宋"/>
                <w:color w:val="auto"/>
              </w:rPr>
            </w:pPr>
            <w:r>
              <w:rPr>
                <w:rFonts w:hint="eastAsia" w:ascii="宋体" w:hAnsi="宋体" w:cs="仿宋"/>
                <w:color w:val="auto"/>
              </w:rPr>
              <w:t>1</w:t>
            </w:r>
          </w:p>
        </w:tc>
        <w:tc>
          <w:tcPr>
            <w:tcW w:w="2151" w:type="dxa"/>
            <w:noWrap/>
            <w:vAlign w:val="center"/>
          </w:tcPr>
          <w:p w14:paraId="7976AC55">
            <w:pPr>
              <w:spacing w:line="360" w:lineRule="auto"/>
              <w:jc w:val="center"/>
              <w:rPr>
                <w:rFonts w:hint="eastAsia" w:ascii="宋体" w:hAnsi="宋体" w:cs="仿宋"/>
                <w:color w:val="auto"/>
                <w:lang w:eastAsia="zh-CN"/>
              </w:rPr>
            </w:pPr>
            <w:r>
              <w:rPr>
                <w:rFonts w:hint="eastAsia" w:ascii="宋体" w:hAnsi="宋体" w:cs="仿宋"/>
                <w:color w:val="auto"/>
                <w:lang w:eastAsia="zh-CN"/>
              </w:rPr>
              <w:t>一代抗倍特板</w:t>
            </w:r>
          </w:p>
          <w:p w14:paraId="111C4AF9">
            <w:pPr>
              <w:spacing w:line="360" w:lineRule="auto"/>
              <w:jc w:val="center"/>
              <w:rPr>
                <w:rFonts w:hint="eastAsia" w:ascii="宋体" w:hAnsi="宋体" w:cs="仿宋"/>
                <w:color w:val="auto"/>
                <w:lang w:eastAsia="zh-CN"/>
              </w:rPr>
            </w:pPr>
            <w:r>
              <w:rPr>
                <w:rFonts w:hint="eastAsia" w:ascii="宋体" w:hAnsi="宋体" w:cs="仿宋"/>
                <w:color w:val="auto"/>
                <w:lang w:eastAsia="zh-CN"/>
              </w:rPr>
              <w:t>（牛皮纸制作）</w:t>
            </w:r>
          </w:p>
        </w:tc>
        <w:tc>
          <w:tcPr>
            <w:tcW w:w="5387" w:type="dxa"/>
            <w:noWrap w:val="0"/>
            <w:vAlign w:val="center"/>
          </w:tcPr>
          <w:p w14:paraId="796A1D7A">
            <w:pPr>
              <w:spacing w:line="360" w:lineRule="auto"/>
              <w:rPr>
                <w:rFonts w:hint="eastAsia" w:ascii="宋体" w:hAnsi="宋体" w:cs="仿宋"/>
                <w:color w:val="auto"/>
                <w:lang w:eastAsia="zh-CN"/>
              </w:rPr>
            </w:pPr>
            <w:r>
              <w:rPr>
                <w:rFonts w:hint="eastAsia" w:ascii="宋体" w:hAnsi="宋体" w:cs="仿宋"/>
                <w:color w:val="auto"/>
                <w:lang w:eastAsia="zh-CN"/>
              </w:rPr>
              <w:t>中天、天润、温菲尔德或同等质量品牌</w:t>
            </w:r>
          </w:p>
        </w:tc>
      </w:tr>
      <w:tr w14:paraId="6FAC39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91" w:type="dxa"/>
            <w:noWrap w:val="0"/>
            <w:vAlign w:val="center"/>
          </w:tcPr>
          <w:p w14:paraId="3122FA2E">
            <w:pPr>
              <w:spacing w:line="360" w:lineRule="auto"/>
              <w:jc w:val="center"/>
              <w:rPr>
                <w:rFonts w:hint="eastAsia" w:ascii="宋体" w:hAnsi="宋体" w:cs="仿宋"/>
                <w:color w:val="auto"/>
              </w:rPr>
            </w:pPr>
            <w:r>
              <w:rPr>
                <w:rFonts w:hint="eastAsia" w:ascii="宋体" w:hAnsi="宋体" w:cs="仿宋"/>
                <w:color w:val="auto"/>
              </w:rPr>
              <w:t>2</w:t>
            </w:r>
          </w:p>
        </w:tc>
        <w:tc>
          <w:tcPr>
            <w:tcW w:w="2151" w:type="dxa"/>
            <w:noWrap w:val="0"/>
            <w:vAlign w:val="center"/>
          </w:tcPr>
          <w:p w14:paraId="4CA275A5">
            <w:pPr>
              <w:spacing w:line="360" w:lineRule="auto"/>
              <w:jc w:val="center"/>
              <w:rPr>
                <w:rFonts w:hint="eastAsia" w:ascii="宋体" w:hAnsi="宋体" w:cs="仿宋"/>
                <w:color w:val="auto"/>
              </w:rPr>
            </w:pPr>
            <w:r>
              <w:rPr>
                <w:rFonts w:hint="eastAsia" w:ascii="宋体" w:hAnsi="宋体" w:cs="仿宋"/>
                <w:color w:val="auto"/>
              </w:rPr>
              <w:t>铝合金窗</w:t>
            </w:r>
          </w:p>
        </w:tc>
        <w:tc>
          <w:tcPr>
            <w:tcW w:w="5387" w:type="dxa"/>
            <w:noWrap w:val="0"/>
            <w:vAlign w:val="center"/>
          </w:tcPr>
          <w:p w14:paraId="506A8B43">
            <w:pPr>
              <w:spacing w:line="360" w:lineRule="auto"/>
              <w:rPr>
                <w:rFonts w:hint="eastAsia" w:ascii="宋体" w:hAnsi="宋体" w:cs="仿宋"/>
                <w:color w:val="auto"/>
                <w:lang w:eastAsia="zh-CN"/>
              </w:rPr>
            </w:pPr>
            <w:r>
              <w:rPr>
                <w:rFonts w:hint="eastAsia" w:ascii="宋体" w:hAnsi="宋体" w:cs="仿宋"/>
                <w:color w:val="auto"/>
                <w:lang w:eastAsia="zh-CN"/>
              </w:rPr>
              <w:t>凤铝、坚美、亚铝，兴发或同等质量品牌</w:t>
            </w:r>
          </w:p>
        </w:tc>
      </w:tr>
      <w:tr w14:paraId="5F1EE5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3" w:hRule="atLeast"/>
        </w:trPr>
        <w:tc>
          <w:tcPr>
            <w:tcW w:w="691" w:type="dxa"/>
            <w:noWrap w:val="0"/>
            <w:vAlign w:val="center"/>
          </w:tcPr>
          <w:p w14:paraId="6DB92227">
            <w:pPr>
              <w:spacing w:line="360" w:lineRule="auto"/>
              <w:jc w:val="center"/>
              <w:rPr>
                <w:rFonts w:hint="eastAsia" w:ascii="宋体" w:hAnsi="宋体" w:cs="仿宋"/>
                <w:color w:val="auto"/>
              </w:rPr>
            </w:pPr>
            <w:r>
              <w:rPr>
                <w:rFonts w:hint="eastAsia" w:ascii="宋体" w:hAnsi="宋体" w:cs="仿宋"/>
                <w:color w:val="auto"/>
              </w:rPr>
              <w:t>3</w:t>
            </w:r>
          </w:p>
        </w:tc>
        <w:tc>
          <w:tcPr>
            <w:tcW w:w="2151" w:type="dxa"/>
            <w:noWrap w:val="0"/>
            <w:vAlign w:val="center"/>
          </w:tcPr>
          <w:p w14:paraId="43F0A2AA">
            <w:pPr>
              <w:spacing w:line="360" w:lineRule="auto"/>
              <w:jc w:val="center"/>
              <w:rPr>
                <w:rFonts w:hint="eastAsia" w:ascii="宋体" w:hAnsi="宋体" w:cs="仿宋"/>
                <w:color w:val="auto"/>
              </w:rPr>
            </w:pPr>
            <w:r>
              <w:rPr>
                <w:rFonts w:hint="eastAsia" w:ascii="宋体" w:hAnsi="宋体" w:cs="仿宋"/>
                <w:color w:val="auto"/>
              </w:rPr>
              <w:t>瓷砖</w:t>
            </w:r>
          </w:p>
        </w:tc>
        <w:tc>
          <w:tcPr>
            <w:tcW w:w="5387" w:type="dxa"/>
            <w:noWrap w:val="0"/>
            <w:vAlign w:val="center"/>
          </w:tcPr>
          <w:p w14:paraId="426DBB2A">
            <w:pPr>
              <w:spacing w:line="360" w:lineRule="auto"/>
              <w:rPr>
                <w:rFonts w:hint="eastAsia" w:ascii="宋体" w:hAnsi="宋体" w:cs="仿宋"/>
                <w:color w:val="auto"/>
                <w:lang w:eastAsia="zh-CN"/>
              </w:rPr>
            </w:pPr>
            <w:r>
              <w:rPr>
                <w:rFonts w:hint="eastAsia" w:ascii="宋体" w:hAnsi="宋体" w:cs="仿宋"/>
                <w:color w:val="auto"/>
                <w:lang w:eastAsia="zh-CN"/>
              </w:rPr>
              <w:t>马可波罗、诺贝尔、东鹏或同等质量品牌</w:t>
            </w:r>
          </w:p>
        </w:tc>
      </w:tr>
      <w:tr w14:paraId="64AA60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5" w:hRule="atLeast"/>
        </w:trPr>
        <w:tc>
          <w:tcPr>
            <w:tcW w:w="691" w:type="dxa"/>
            <w:noWrap w:val="0"/>
            <w:vAlign w:val="center"/>
          </w:tcPr>
          <w:p w14:paraId="1A470293">
            <w:pPr>
              <w:spacing w:line="360" w:lineRule="auto"/>
              <w:jc w:val="center"/>
              <w:rPr>
                <w:rFonts w:hint="eastAsia" w:ascii="宋体" w:hAnsi="宋体" w:cs="仿宋"/>
                <w:color w:val="auto"/>
              </w:rPr>
            </w:pPr>
            <w:r>
              <w:rPr>
                <w:rFonts w:hint="eastAsia" w:ascii="宋体" w:hAnsi="宋体" w:cs="仿宋"/>
                <w:color w:val="auto"/>
              </w:rPr>
              <w:t>4</w:t>
            </w:r>
          </w:p>
        </w:tc>
        <w:tc>
          <w:tcPr>
            <w:tcW w:w="2151" w:type="dxa"/>
            <w:noWrap w:val="0"/>
            <w:vAlign w:val="center"/>
          </w:tcPr>
          <w:p w14:paraId="633CDDE2">
            <w:pPr>
              <w:spacing w:line="360" w:lineRule="auto"/>
              <w:jc w:val="center"/>
              <w:rPr>
                <w:rFonts w:hint="eastAsia" w:ascii="宋体" w:hAnsi="宋体" w:cs="仿宋"/>
                <w:color w:val="auto"/>
              </w:rPr>
            </w:pPr>
            <w:r>
              <w:rPr>
                <w:rFonts w:hint="eastAsia" w:ascii="宋体" w:hAnsi="宋体" w:cs="仿宋"/>
                <w:color w:val="auto"/>
              </w:rPr>
              <w:t>洁具</w:t>
            </w:r>
          </w:p>
        </w:tc>
        <w:tc>
          <w:tcPr>
            <w:tcW w:w="5387" w:type="dxa"/>
            <w:noWrap w:val="0"/>
            <w:vAlign w:val="center"/>
          </w:tcPr>
          <w:p w14:paraId="5F631C50">
            <w:pPr>
              <w:spacing w:line="360" w:lineRule="auto"/>
              <w:rPr>
                <w:rFonts w:hint="eastAsia" w:ascii="宋体" w:hAnsi="宋体" w:cs="仿宋"/>
                <w:color w:val="auto"/>
                <w:lang w:eastAsia="zh-CN"/>
              </w:rPr>
            </w:pPr>
            <w:r>
              <w:rPr>
                <w:rFonts w:hint="eastAsia" w:ascii="宋体" w:hAnsi="宋体" w:cs="仿宋"/>
                <w:color w:val="auto"/>
                <w:lang w:eastAsia="zh-CN"/>
              </w:rPr>
              <w:t>九牧、恒洁、箭牌或同等质量品牌</w:t>
            </w:r>
          </w:p>
        </w:tc>
      </w:tr>
      <w:tr w14:paraId="34B9B3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trPr>
        <w:tc>
          <w:tcPr>
            <w:tcW w:w="691" w:type="dxa"/>
            <w:noWrap w:val="0"/>
            <w:vAlign w:val="center"/>
          </w:tcPr>
          <w:p w14:paraId="220932D6">
            <w:pPr>
              <w:spacing w:line="360" w:lineRule="auto"/>
              <w:jc w:val="center"/>
              <w:rPr>
                <w:rFonts w:hint="eastAsia" w:ascii="宋体" w:hAnsi="宋体" w:cs="仿宋"/>
                <w:color w:val="auto"/>
              </w:rPr>
            </w:pPr>
            <w:r>
              <w:rPr>
                <w:rFonts w:hint="eastAsia" w:ascii="宋体" w:hAnsi="宋体" w:cs="仿宋"/>
                <w:color w:val="auto"/>
              </w:rPr>
              <w:t>5</w:t>
            </w:r>
          </w:p>
        </w:tc>
        <w:tc>
          <w:tcPr>
            <w:tcW w:w="2151" w:type="dxa"/>
            <w:noWrap w:val="0"/>
            <w:vAlign w:val="center"/>
          </w:tcPr>
          <w:p w14:paraId="5AEA4A9C">
            <w:pPr>
              <w:spacing w:line="360" w:lineRule="auto"/>
              <w:jc w:val="center"/>
              <w:rPr>
                <w:rFonts w:hint="eastAsia" w:ascii="宋体" w:hAnsi="宋体" w:cs="仿宋"/>
                <w:color w:val="auto"/>
              </w:rPr>
            </w:pPr>
            <w:r>
              <w:rPr>
                <w:rFonts w:hint="eastAsia" w:ascii="宋体" w:hAnsi="宋体" w:cs="仿宋"/>
                <w:color w:val="auto"/>
              </w:rPr>
              <w:t>防水</w:t>
            </w:r>
          </w:p>
        </w:tc>
        <w:tc>
          <w:tcPr>
            <w:tcW w:w="5387" w:type="dxa"/>
            <w:noWrap w:val="0"/>
            <w:vAlign w:val="center"/>
          </w:tcPr>
          <w:p w14:paraId="5A70DC11">
            <w:pPr>
              <w:spacing w:line="360" w:lineRule="auto"/>
              <w:rPr>
                <w:rFonts w:hint="eastAsia" w:ascii="宋体" w:hAnsi="宋体" w:cs="仿宋"/>
                <w:color w:val="auto"/>
                <w:lang w:eastAsia="zh-CN"/>
              </w:rPr>
            </w:pPr>
            <w:r>
              <w:rPr>
                <w:rFonts w:hint="eastAsia" w:ascii="宋体" w:hAnsi="宋体" w:cs="仿宋"/>
                <w:color w:val="auto"/>
                <w:lang w:eastAsia="zh-CN"/>
              </w:rPr>
              <w:t>东方雨虹、科顺、卓宝或同等质量品牌</w:t>
            </w:r>
          </w:p>
        </w:tc>
      </w:tr>
      <w:tr w14:paraId="2814B3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2" w:hRule="atLeast"/>
        </w:trPr>
        <w:tc>
          <w:tcPr>
            <w:tcW w:w="691" w:type="dxa"/>
            <w:noWrap w:val="0"/>
            <w:vAlign w:val="center"/>
          </w:tcPr>
          <w:p w14:paraId="36629D03">
            <w:pPr>
              <w:spacing w:line="360" w:lineRule="auto"/>
              <w:jc w:val="center"/>
              <w:rPr>
                <w:rFonts w:hint="eastAsia" w:ascii="宋体" w:hAnsi="宋体" w:cs="仿宋"/>
                <w:color w:val="auto"/>
              </w:rPr>
            </w:pPr>
            <w:r>
              <w:rPr>
                <w:rFonts w:hint="eastAsia" w:ascii="宋体" w:hAnsi="宋体" w:cs="仿宋"/>
                <w:color w:val="auto"/>
              </w:rPr>
              <w:t>6</w:t>
            </w:r>
          </w:p>
        </w:tc>
        <w:tc>
          <w:tcPr>
            <w:tcW w:w="2151" w:type="dxa"/>
            <w:noWrap w:val="0"/>
            <w:vAlign w:val="center"/>
          </w:tcPr>
          <w:p w14:paraId="2401C6D1">
            <w:pPr>
              <w:spacing w:line="360" w:lineRule="auto"/>
              <w:jc w:val="center"/>
              <w:rPr>
                <w:rFonts w:hint="eastAsia" w:ascii="宋体" w:hAnsi="宋体" w:cs="仿宋"/>
                <w:color w:val="auto"/>
              </w:rPr>
            </w:pPr>
            <w:r>
              <w:rPr>
                <w:rFonts w:hint="eastAsia" w:ascii="宋体" w:hAnsi="宋体" w:cs="仿宋"/>
                <w:color w:val="auto"/>
              </w:rPr>
              <w:t>灯具</w:t>
            </w:r>
          </w:p>
        </w:tc>
        <w:tc>
          <w:tcPr>
            <w:tcW w:w="5387" w:type="dxa"/>
            <w:noWrap w:val="0"/>
            <w:vAlign w:val="center"/>
          </w:tcPr>
          <w:p w14:paraId="05160903">
            <w:pPr>
              <w:spacing w:line="360" w:lineRule="auto"/>
              <w:rPr>
                <w:rFonts w:hint="eastAsia" w:ascii="宋体" w:hAnsi="宋体" w:cs="仿宋"/>
                <w:color w:val="auto"/>
                <w:lang w:eastAsia="zh-CN"/>
              </w:rPr>
            </w:pPr>
            <w:r>
              <w:rPr>
                <w:rFonts w:hint="eastAsia" w:ascii="宋体" w:hAnsi="宋体" w:cs="仿宋"/>
                <w:color w:val="auto"/>
                <w:lang w:eastAsia="zh-CN"/>
              </w:rPr>
              <w:t>欧普、雷士、飞利浦或同等质量品牌</w:t>
            </w:r>
          </w:p>
        </w:tc>
      </w:tr>
      <w:tr w14:paraId="0DD15C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trPr>
        <w:tc>
          <w:tcPr>
            <w:tcW w:w="691" w:type="dxa"/>
            <w:noWrap w:val="0"/>
            <w:vAlign w:val="center"/>
          </w:tcPr>
          <w:p w14:paraId="543BE56F">
            <w:pPr>
              <w:spacing w:line="360" w:lineRule="auto"/>
              <w:jc w:val="center"/>
              <w:rPr>
                <w:rFonts w:hint="eastAsia" w:ascii="宋体" w:hAnsi="宋体" w:cs="仿宋"/>
                <w:color w:val="auto"/>
              </w:rPr>
            </w:pPr>
            <w:r>
              <w:rPr>
                <w:rFonts w:hint="eastAsia" w:ascii="宋体" w:hAnsi="宋体" w:cs="仿宋"/>
                <w:color w:val="auto"/>
              </w:rPr>
              <w:t>7</w:t>
            </w:r>
          </w:p>
        </w:tc>
        <w:tc>
          <w:tcPr>
            <w:tcW w:w="2151" w:type="dxa"/>
            <w:noWrap w:val="0"/>
            <w:vAlign w:val="center"/>
          </w:tcPr>
          <w:p w14:paraId="6067194E">
            <w:pPr>
              <w:spacing w:line="360" w:lineRule="auto"/>
              <w:jc w:val="center"/>
              <w:rPr>
                <w:rFonts w:hint="eastAsia" w:ascii="宋体" w:hAnsi="宋体" w:cs="仿宋"/>
                <w:color w:val="auto"/>
              </w:rPr>
            </w:pPr>
            <w:r>
              <w:rPr>
                <w:rFonts w:hint="eastAsia" w:ascii="宋体" w:hAnsi="宋体" w:cs="仿宋"/>
                <w:color w:val="auto"/>
              </w:rPr>
              <w:t>电线</w:t>
            </w:r>
          </w:p>
        </w:tc>
        <w:tc>
          <w:tcPr>
            <w:tcW w:w="5387" w:type="dxa"/>
            <w:noWrap w:val="0"/>
            <w:vAlign w:val="center"/>
          </w:tcPr>
          <w:p w14:paraId="02F3C27E">
            <w:pPr>
              <w:spacing w:line="360" w:lineRule="auto"/>
              <w:rPr>
                <w:rFonts w:hint="eastAsia" w:ascii="宋体" w:hAnsi="宋体" w:cs="仿宋"/>
                <w:color w:val="auto"/>
                <w:lang w:eastAsia="zh-CN"/>
              </w:rPr>
            </w:pPr>
            <w:r>
              <w:rPr>
                <w:rFonts w:hint="eastAsia" w:ascii="宋体" w:hAnsi="宋体" w:cs="仿宋"/>
                <w:color w:val="auto"/>
                <w:lang w:eastAsia="zh-CN"/>
              </w:rPr>
              <w:t>太平洋、赣昌、金龙羽或同等质量品牌</w:t>
            </w:r>
          </w:p>
        </w:tc>
      </w:tr>
      <w:tr w14:paraId="57F522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691" w:type="dxa"/>
            <w:noWrap w:val="0"/>
            <w:vAlign w:val="center"/>
          </w:tcPr>
          <w:p w14:paraId="7A483318">
            <w:pPr>
              <w:spacing w:line="360" w:lineRule="auto"/>
              <w:jc w:val="center"/>
              <w:rPr>
                <w:rFonts w:hint="eastAsia" w:ascii="宋体" w:hAnsi="宋体" w:cs="仿宋"/>
                <w:color w:val="auto"/>
              </w:rPr>
            </w:pPr>
            <w:r>
              <w:rPr>
                <w:rFonts w:hint="eastAsia" w:ascii="宋体" w:hAnsi="宋体" w:cs="仿宋"/>
                <w:color w:val="auto"/>
              </w:rPr>
              <w:t>8</w:t>
            </w:r>
          </w:p>
        </w:tc>
        <w:tc>
          <w:tcPr>
            <w:tcW w:w="2151" w:type="dxa"/>
            <w:noWrap w:val="0"/>
            <w:vAlign w:val="center"/>
          </w:tcPr>
          <w:p w14:paraId="0E006B0D">
            <w:pPr>
              <w:spacing w:line="360" w:lineRule="auto"/>
              <w:jc w:val="center"/>
              <w:rPr>
                <w:rFonts w:hint="eastAsia" w:ascii="宋体" w:hAnsi="宋体" w:cs="仿宋"/>
                <w:color w:val="auto"/>
              </w:rPr>
            </w:pPr>
            <w:r>
              <w:rPr>
                <w:rFonts w:hint="eastAsia" w:ascii="宋体" w:hAnsi="宋体" w:cs="仿宋"/>
                <w:color w:val="auto"/>
              </w:rPr>
              <w:t>面板</w:t>
            </w:r>
          </w:p>
        </w:tc>
        <w:tc>
          <w:tcPr>
            <w:tcW w:w="5387" w:type="dxa"/>
            <w:noWrap w:val="0"/>
            <w:vAlign w:val="center"/>
          </w:tcPr>
          <w:p w14:paraId="2961F525">
            <w:pPr>
              <w:spacing w:line="360" w:lineRule="auto"/>
              <w:rPr>
                <w:rFonts w:hint="eastAsia" w:ascii="宋体" w:hAnsi="宋体" w:cs="仿宋"/>
                <w:color w:val="auto"/>
                <w:lang w:eastAsia="zh-CN"/>
              </w:rPr>
            </w:pPr>
            <w:r>
              <w:rPr>
                <w:rFonts w:hint="eastAsia" w:ascii="宋体" w:hAnsi="宋体" w:cs="仿宋"/>
                <w:color w:val="auto"/>
                <w:lang w:eastAsia="zh-CN"/>
              </w:rPr>
              <w:t>施耐德、TCL、飞利浦或同等质量品牌</w:t>
            </w:r>
          </w:p>
        </w:tc>
      </w:tr>
    </w:tbl>
    <w:p w14:paraId="2D6D023C">
      <w:pPr>
        <w:pStyle w:val="8"/>
        <w:spacing w:line="360" w:lineRule="auto"/>
        <w:ind w:firstLine="482" w:firstLineChars="200"/>
        <w:jc w:val="left"/>
        <w:rPr>
          <w:rFonts w:ascii="宋体" w:hAnsi="宋体" w:eastAsia="宋体" w:cs="仿宋"/>
          <w:b/>
          <w:bCs/>
          <w:sz w:val="24"/>
        </w:rPr>
      </w:pPr>
      <w:r>
        <w:rPr>
          <w:rFonts w:hint="eastAsia" w:ascii="宋体" w:hAnsi="宋体" w:eastAsia="宋体" w:cs="仿宋"/>
          <w:b/>
          <w:bCs/>
          <w:sz w:val="24"/>
        </w:rPr>
        <w:t>1、用于本工程的主要材料品质不得低于磋商文件及设计规定质量等级要求。供应商须承诺本项目拟采用的主材具体品牌（供应商每项主材只可填写一个品牌，不接受单项主材多个品牌），否则响应无效。</w:t>
      </w:r>
    </w:p>
    <w:p w14:paraId="52AFD958">
      <w:pPr>
        <w:pStyle w:val="8"/>
        <w:spacing w:line="360" w:lineRule="auto"/>
        <w:ind w:firstLine="482" w:firstLineChars="200"/>
        <w:jc w:val="left"/>
        <w:rPr>
          <w:rFonts w:ascii="宋体" w:hAnsi="宋体" w:eastAsia="宋体" w:cs="仿宋"/>
          <w:b/>
          <w:bCs/>
          <w:sz w:val="24"/>
          <w:u w:val="single"/>
        </w:rPr>
      </w:pPr>
      <w:r>
        <w:rPr>
          <w:rFonts w:hint="eastAsia" w:ascii="宋体" w:hAnsi="宋体" w:eastAsia="宋体" w:cs="仿宋"/>
          <w:b/>
          <w:bCs/>
          <w:sz w:val="24"/>
          <w:u w:val="single"/>
        </w:rPr>
        <w:t>评审依据：供应商在响应文件中提供承诺函（格式见下表“主材拟用品牌一览表”）并加盖供应商公章佐证，未提供或未按要求提供者响应无效。</w:t>
      </w:r>
    </w:p>
    <w:p w14:paraId="3D2AFBE9">
      <w:pPr>
        <w:spacing w:line="360" w:lineRule="auto"/>
        <w:ind w:firstLine="480" w:firstLineChars="200"/>
        <w:rPr>
          <w:rFonts w:ascii="宋体" w:hAnsi="宋体" w:cs="仿宋"/>
          <w:b/>
          <w:bCs/>
          <w:color w:val="auto"/>
          <w:sz w:val="24"/>
          <w:lang w:eastAsia="zh-CN"/>
        </w:rPr>
      </w:pPr>
      <w:r>
        <w:rPr>
          <w:rFonts w:hint="eastAsia" w:ascii="宋体" w:hAnsi="宋体" w:cs="仿宋"/>
          <w:b/>
          <w:bCs/>
          <w:color w:val="auto"/>
          <w:sz w:val="24"/>
          <w:lang w:eastAsia="zh-CN"/>
        </w:rPr>
        <w:t>2、如供应商因不可抗力原因无法采购响应文件中承诺的品牌，经采购人许可，可采用</w:t>
      </w:r>
      <w:r>
        <w:rPr>
          <w:rFonts w:ascii="宋体" w:hAnsi="宋体" w:cs="仿宋"/>
          <w:b/>
          <w:bCs/>
          <w:color w:val="auto"/>
          <w:sz w:val="24"/>
          <w:lang w:eastAsia="zh-CN"/>
        </w:rPr>
        <w:t>不低于承诺品牌的同等档次</w:t>
      </w:r>
      <w:r>
        <w:rPr>
          <w:rFonts w:hint="eastAsia" w:ascii="宋体" w:hAnsi="宋体" w:cs="仿宋"/>
          <w:b/>
          <w:bCs/>
          <w:color w:val="auto"/>
          <w:sz w:val="24"/>
          <w:lang w:eastAsia="zh-CN"/>
        </w:rPr>
        <w:t>的品牌替代。</w:t>
      </w:r>
    </w:p>
    <w:p w14:paraId="7A13AE64">
      <w:pPr>
        <w:spacing w:line="360" w:lineRule="auto"/>
        <w:ind w:firstLine="480" w:firstLineChars="200"/>
        <w:rPr>
          <w:rFonts w:hint="eastAsia" w:ascii="宋体" w:hAnsi="宋体" w:cs="仿宋"/>
          <w:b/>
          <w:bCs/>
          <w:color w:val="auto"/>
          <w:sz w:val="24"/>
          <w:u w:val="single"/>
          <w:lang w:eastAsia="zh-CN"/>
        </w:rPr>
      </w:pPr>
      <w:r>
        <w:rPr>
          <w:rFonts w:hint="eastAsia" w:ascii="宋体" w:hAnsi="宋体" w:cs="仿宋"/>
          <w:b/>
          <w:bCs/>
          <w:color w:val="auto"/>
          <w:sz w:val="24"/>
          <w:u w:val="single"/>
          <w:lang w:eastAsia="zh-CN"/>
        </w:rPr>
        <w:t>评审依据：响应文件中提供承诺函并加盖供应商公章佐证，未提供或未按要求提供者响应无效。</w:t>
      </w:r>
    </w:p>
    <w:p w14:paraId="28C7CF79">
      <w:pPr>
        <w:pStyle w:val="3"/>
        <w:spacing w:line="360" w:lineRule="auto"/>
        <w:jc w:val="both"/>
        <w:rPr>
          <w:rFonts w:hint="eastAsia" w:ascii="宋体" w:hAnsi="宋体"/>
          <w:color w:val="auto"/>
          <w:lang w:eastAsia="zh-CN"/>
        </w:rPr>
      </w:pPr>
      <w:r>
        <w:rPr>
          <w:rFonts w:hint="eastAsia" w:ascii="宋体" w:hAnsi="宋体" w:cs="仿宋"/>
          <w:b/>
          <w:bCs/>
          <w:color w:val="auto"/>
          <w:sz w:val="24"/>
          <w:lang w:eastAsia="zh-CN"/>
        </w:rPr>
        <w:t>格式：主材拟用品牌一览表</w:t>
      </w:r>
    </w:p>
    <w:tbl>
      <w:tblPr>
        <w:tblStyle w:val="5"/>
        <w:tblW w:w="8229" w:type="dxa"/>
        <w:tblInd w:w="15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91"/>
        <w:gridCol w:w="2276"/>
        <w:gridCol w:w="5262"/>
      </w:tblGrid>
      <w:tr w14:paraId="66BF63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691" w:type="dxa"/>
            <w:noWrap w:val="0"/>
            <w:vAlign w:val="center"/>
          </w:tcPr>
          <w:p w14:paraId="2106E9D0">
            <w:pPr>
              <w:tabs>
                <w:tab w:val="left" w:pos="420"/>
              </w:tabs>
              <w:spacing w:line="360" w:lineRule="auto"/>
              <w:ind w:right="-271" w:rightChars="-129"/>
              <w:rPr>
                <w:rFonts w:hint="eastAsia" w:ascii="宋体" w:hAnsi="宋体" w:cs="仿宋"/>
                <w:b/>
                <w:bCs/>
                <w:color w:val="auto"/>
              </w:rPr>
            </w:pPr>
            <w:r>
              <w:rPr>
                <w:rFonts w:hint="eastAsia" w:ascii="宋体" w:hAnsi="宋体" w:cs="仿宋"/>
                <w:b/>
                <w:bCs/>
                <w:color w:val="auto"/>
              </w:rPr>
              <w:t>序号</w:t>
            </w:r>
          </w:p>
        </w:tc>
        <w:tc>
          <w:tcPr>
            <w:tcW w:w="2276" w:type="dxa"/>
            <w:noWrap w:val="0"/>
            <w:vAlign w:val="center"/>
          </w:tcPr>
          <w:p w14:paraId="40E3D5CF">
            <w:pPr>
              <w:spacing w:line="360" w:lineRule="auto"/>
              <w:jc w:val="center"/>
              <w:rPr>
                <w:rFonts w:hint="eastAsia" w:ascii="宋体" w:hAnsi="宋体" w:cs="仿宋"/>
                <w:b/>
                <w:bCs/>
                <w:color w:val="auto"/>
              </w:rPr>
            </w:pPr>
            <w:r>
              <w:rPr>
                <w:rFonts w:hint="eastAsia" w:ascii="宋体" w:hAnsi="宋体" w:cs="仿宋"/>
                <w:b/>
                <w:bCs/>
                <w:color w:val="auto"/>
              </w:rPr>
              <w:t>材料名称</w:t>
            </w:r>
          </w:p>
        </w:tc>
        <w:tc>
          <w:tcPr>
            <w:tcW w:w="5262" w:type="dxa"/>
            <w:noWrap w:val="0"/>
            <w:vAlign w:val="center"/>
          </w:tcPr>
          <w:p w14:paraId="42FD2DA9">
            <w:pPr>
              <w:spacing w:line="360" w:lineRule="auto"/>
              <w:jc w:val="center"/>
              <w:rPr>
                <w:rFonts w:hint="eastAsia" w:ascii="宋体" w:hAnsi="宋体" w:cs="仿宋"/>
                <w:b/>
                <w:bCs/>
                <w:color w:val="auto"/>
              </w:rPr>
            </w:pPr>
            <w:r>
              <w:rPr>
                <w:rFonts w:hint="eastAsia" w:ascii="宋体" w:hAnsi="宋体" w:cs="仿宋"/>
                <w:b/>
                <w:bCs/>
                <w:color w:val="auto"/>
              </w:rPr>
              <w:t>品牌型号</w:t>
            </w:r>
          </w:p>
        </w:tc>
      </w:tr>
      <w:tr w14:paraId="77D955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9" w:hRule="atLeast"/>
        </w:trPr>
        <w:tc>
          <w:tcPr>
            <w:tcW w:w="691" w:type="dxa"/>
            <w:noWrap w:val="0"/>
            <w:vAlign w:val="center"/>
          </w:tcPr>
          <w:p w14:paraId="0D9F01AA">
            <w:pPr>
              <w:spacing w:line="360" w:lineRule="auto"/>
              <w:jc w:val="center"/>
              <w:rPr>
                <w:rFonts w:hint="eastAsia" w:ascii="宋体" w:hAnsi="宋体" w:cs="仿宋"/>
                <w:color w:val="auto"/>
              </w:rPr>
            </w:pPr>
            <w:r>
              <w:rPr>
                <w:rFonts w:hint="eastAsia" w:ascii="宋体" w:hAnsi="宋体" w:cs="仿宋"/>
                <w:color w:val="auto"/>
              </w:rPr>
              <w:t>1</w:t>
            </w:r>
          </w:p>
        </w:tc>
        <w:tc>
          <w:tcPr>
            <w:tcW w:w="2276" w:type="dxa"/>
            <w:noWrap/>
            <w:vAlign w:val="center"/>
          </w:tcPr>
          <w:p w14:paraId="65B9D74E">
            <w:pPr>
              <w:spacing w:line="360" w:lineRule="auto"/>
              <w:jc w:val="center"/>
              <w:rPr>
                <w:rFonts w:hint="eastAsia" w:ascii="宋体" w:hAnsi="宋体" w:cs="仿宋"/>
                <w:color w:val="auto"/>
                <w:lang w:eastAsia="zh-CN"/>
              </w:rPr>
            </w:pPr>
            <w:r>
              <w:rPr>
                <w:rFonts w:hint="eastAsia" w:ascii="宋体" w:hAnsi="宋体" w:cs="仿宋"/>
                <w:color w:val="auto"/>
                <w:lang w:eastAsia="zh-CN"/>
              </w:rPr>
              <w:t>一代抗倍特板</w:t>
            </w:r>
          </w:p>
          <w:p w14:paraId="64F559AB">
            <w:pPr>
              <w:spacing w:line="360" w:lineRule="auto"/>
              <w:jc w:val="center"/>
              <w:rPr>
                <w:rFonts w:hint="eastAsia" w:ascii="宋体" w:hAnsi="宋体" w:cs="仿宋"/>
                <w:color w:val="auto"/>
                <w:lang w:eastAsia="zh-CN"/>
              </w:rPr>
            </w:pPr>
            <w:r>
              <w:rPr>
                <w:rFonts w:hint="eastAsia" w:ascii="宋体" w:hAnsi="宋体" w:cs="仿宋"/>
                <w:color w:val="auto"/>
                <w:lang w:eastAsia="zh-CN"/>
              </w:rPr>
              <w:t>（牛皮纸制作）</w:t>
            </w:r>
          </w:p>
        </w:tc>
        <w:tc>
          <w:tcPr>
            <w:tcW w:w="5262" w:type="dxa"/>
            <w:noWrap w:val="0"/>
            <w:vAlign w:val="center"/>
          </w:tcPr>
          <w:p w14:paraId="4D0BEB8F">
            <w:pPr>
              <w:spacing w:line="360" w:lineRule="auto"/>
              <w:rPr>
                <w:rFonts w:hint="eastAsia" w:ascii="宋体" w:hAnsi="宋体" w:cs="仿宋"/>
                <w:color w:val="auto"/>
                <w:lang w:eastAsia="zh-CN"/>
              </w:rPr>
            </w:pPr>
          </w:p>
        </w:tc>
      </w:tr>
      <w:tr w14:paraId="798EF5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91" w:type="dxa"/>
            <w:noWrap w:val="0"/>
            <w:vAlign w:val="center"/>
          </w:tcPr>
          <w:p w14:paraId="56F7FEE8">
            <w:pPr>
              <w:spacing w:line="360" w:lineRule="auto"/>
              <w:jc w:val="center"/>
              <w:rPr>
                <w:rFonts w:hint="eastAsia" w:ascii="宋体" w:hAnsi="宋体" w:cs="仿宋"/>
                <w:color w:val="auto"/>
              </w:rPr>
            </w:pPr>
            <w:r>
              <w:rPr>
                <w:rFonts w:hint="eastAsia" w:ascii="宋体" w:hAnsi="宋体" w:cs="仿宋"/>
                <w:color w:val="auto"/>
              </w:rPr>
              <w:t>2</w:t>
            </w:r>
          </w:p>
        </w:tc>
        <w:tc>
          <w:tcPr>
            <w:tcW w:w="2276" w:type="dxa"/>
            <w:noWrap w:val="0"/>
            <w:vAlign w:val="center"/>
          </w:tcPr>
          <w:p w14:paraId="6F73F435">
            <w:pPr>
              <w:spacing w:line="360" w:lineRule="auto"/>
              <w:jc w:val="center"/>
              <w:rPr>
                <w:rFonts w:hint="eastAsia" w:ascii="宋体" w:hAnsi="宋体" w:cs="仿宋"/>
                <w:color w:val="auto"/>
              </w:rPr>
            </w:pPr>
            <w:r>
              <w:rPr>
                <w:rFonts w:hint="eastAsia" w:ascii="宋体" w:hAnsi="宋体" w:cs="仿宋"/>
                <w:color w:val="auto"/>
              </w:rPr>
              <w:t>铝合金窗</w:t>
            </w:r>
          </w:p>
        </w:tc>
        <w:tc>
          <w:tcPr>
            <w:tcW w:w="5262" w:type="dxa"/>
            <w:noWrap w:val="0"/>
            <w:vAlign w:val="center"/>
          </w:tcPr>
          <w:p w14:paraId="1D2DF35B">
            <w:pPr>
              <w:spacing w:line="360" w:lineRule="auto"/>
              <w:rPr>
                <w:rFonts w:hint="eastAsia" w:ascii="宋体" w:hAnsi="宋体" w:cs="仿宋"/>
                <w:color w:val="auto"/>
              </w:rPr>
            </w:pPr>
          </w:p>
        </w:tc>
      </w:tr>
      <w:tr w14:paraId="0483C0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3" w:hRule="atLeast"/>
        </w:trPr>
        <w:tc>
          <w:tcPr>
            <w:tcW w:w="691" w:type="dxa"/>
            <w:noWrap w:val="0"/>
            <w:vAlign w:val="center"/>
          </w:tcPr>
          <w:p w14:paraId="37FE47E9">
            <w:pPr>
              <w:spacing w:line="360" w:lineRule="auto"/>
              <w:jc w:val="center"/>
              <w:rPr>
                <w:rFonts w:hint="eastAsia" w:ascii="宋体" w:hAnsi="宋体" w:cs="仿宋"/>
                <w:color w:val="auto"/>
              </w:rPr>
            </w:pPr>
            <w:r>
              <w:rPr>
                <w:rFonts w:hint="eastAsia" w:ascii="宋体" w:hAnsi="宋体" w:cs="仿宋"/>
                <w:color w:val="auto"/>
              </w:rPr>
              <w:t>3</w:t>
            </w:r>
          </w:p>
        </w:tc>
        <w:tc>
          <w:tcPr>
            <w:tcW w:w="2276" w:type="dxa"/>
            <w:noWrap w:val="0"/>
            <w:vAlign w:val="center"/>
          </w:tcPr>
          <w:p w14:paraId="70388EDF">
            <w:pPr>
              <w:spacing w:line="360" w:lineRule="auto"/>
              <w:jc w:val="center"/>
              <w:rPr>
                <w:rFonts w:hint="eastAsia" w:ascii="宋体" w:hAnsi="宋体" w:cs="仿宋"/>
                <w:color w:val="auto"/>
              </w:rPr>
            </w:pPr>
            <w:r>
              <w:rPr>
                <w:rFonts w:hint="eastAsia" w:ascii="宋体" w:hAnsi="宋体" w:cs="仿宋"/>
                <w:color w:val="auto"/>
              </w:rPr>
              <w:t>瓷砖</w:t>
            </w:r>
          </w:p>
        </w:tc>
        <w:tc>
          <w:tcPr>
            <w:tcW w:w="5262" w:type="dxa"/>
            <w:noWrap w:val="0"/>
            <w:vAlign w:val="center"/>
          </w:tcPr>
          <w:p w14:paraId="0ED008F7">
            <w:pPr>
              <w:spacing w:line="360" w:lineRule="auto"/>
              <w:rPr>
                <w:rFonts w:hint="eastAsia" w:ascii="宋体" w:hAnsi="宋体" w:cs="仿宋"/>
                <w:color w:val="auto"/>
              </w:rPr>
            </w:pPr>
          </w:p>
        </w:tc>
      </w:tr>
      <w:tr w14:paraId="505417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5" w:hRule="atLeast"/>
        </w:trPr>
        <w:tc>
          <w:tcPr>
            <w:tcW w:w="691" w:type="dxa"/>
            <w:noWrap w:val="0"/>
            <w:vAlign w:val="center"/>
          </w:tcPr>
          <w:p w14:paraId="2F66C77B">
            <w:pPr>
              <w:spacing w:line="360" w:lineRule="auto"/>
              <w:jc w:val="center"/>
              <w:rPr>
                <w:rFonts w:hint="eastAsia" w:ascii="宋体" w:hAnsi="宋体" w:cs="仿宋"/>
                <w:color w:val="auto"/>
              </w:rPr>
            </w:pPr>
            <w:r>
              <w:rPr>
                <w:rFonts w:hint="eastAsia" w:ascii="宋体" w:hAnsi="宋体" w:cs="仿宋"/>
                <w:color w:val="auto"/>
              </w:rPr>
              <w:t>4</w:t>
            </w:r>
          </w:p>
        </w:tc>
        <w:tc>
          <w:tcPr>
            <w:tcW w:w="2276" w:type="dxa"/>
            <w:noWrap w:val="0"/>
            <w:vAlign w:val="center"/>
          </w:tcPr>
          <w:p w14:paraId="467577DB">
            <w:pPr>
              <w:spacing w:line="360" w:lineRule="auto"/>
              <w:jc w:val="center"/>
              <w:rPr>
                <w:rFonts w:hint="eastAsia" w:ascii="宋体" w:hAnsi="宋体" w:cs="仿宋"/>
                <w:color w:val="auto"/>
              </w:rPr>
            </w:pPr>
            <w:r>
              <w:rPr>
                <w:rFonts w:hint="eastAsia" w:ascii="宋体" w:hAnsi="宋体" w:cs="仿宋"/>
                <w:color w:val="auto"/>
              </w:rPr>
              <w:t>洁具</w:t>
            </w:r>
          </w:p>
        </w:tc>
        <w:tc>
          <w:tcPr>
            <w:tcW w:w="5262" w:type="dxa"/>
            <w:noWrap w:val="0"/>
            <w:vAlign w:val="center"/>
          </w:tcPr>
          <w:p w14:paraId="6033E735">
            <w:pPr>
              <w:spacing w:line="360" w:lineRule="auto"/>
              <w:rPr>
                <w:rFonts w:hint="eastAsia" w:ascii="宋体" w:hAnsi="宋体" w:cs="仿宋"/>
                <w:color w:val="auto"/>
              </w:rPr>
            </w:pPr>
          </w:p>
        </w:tc>
      </w:tr>
      <w:tr w14:paraId="0A24D1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trPr>
        <w:tc>
          <w:tcPr>
            <w:tcW w:w="691" w:type="dxa"/>
            <w:noWrap w:val="0"/>
            <w:vAlign w:val="center"/>
          </w:tcPr>
          <w:p w14:paraId="4D76B785">
            <w:pPr>
              <w:spacing w:line="360" w:lineRule="auto"/>
              <w:jc w:val="center"/>
              <w:rPr>
                <w:rFonts w:hint="eastAsia" w:ascii="宋体" w:hAnsi="宋体" w:cs="仿宋"/>
                <w:color w:val="auto"/>
              </w:rPr>
            </w:pPr>
            <w:r>
              <w:rPr>
                <w:rFonts w:hint="eastAsia" w:ascii="宋体" w:hAnsi="宋体" w:cs="仿宋"/>
                <w:color w:val="auto"/>
              </w:rPr>
              <w:t>5</w:t>
            </w:r>
          </w:p>
        </w:tc>
        <w:tc>
          <w:tcPr>
            <w:tcW w:w="2276" w:type="dxa"/>
            <w:noWrap w:val="0"/>
            <w:vAlign w:val="center"/>
          </w:tcPr>
          <w:p w14:paraId="4F67ACE7">
            <w:pPr>
              <w:spacing w:line="360" w:lineRule="auto"/>
              <w:jc w:val="center"/>
              <w:rPr>
                <w:rFonts w:hint="eastAsia" w:ascii="宋体" w:hAnsi="宋体" w:cs="仿宋"/>
                <w:color w:val="auto"/>
              </w:rPr>
            </w:pPr>
            <w:r>
              <w:rPr>
                <w:rFonts w:hint="eastAsia" w:ascii="宋体" w:hAnsi="宋体" w:cs="仿宋"/>
                <w:color w:val="auto"/>
              </w:rPr>
              <w:t>防水</w:t>
            </w:r>
          </w:p>
        </w:tc>
        <w:tc>
          <w:tcPr>
            <w:tcW w:w="5262" w:type="dxa"/>
            <w:noWrap w:val="0"/>
            <w:vAlign w:val="center"/>
          </w:tcPr>
          <w:p w14:paraId="26A5DB0E">
            <w:pPr>
              <w:spacing w:line="360" w:lineRule="auto"/>
              <w:rPr>
                <w:rFonts w:hint="eastAsia" w:ascii="宋体" w:hAnsi="宋体" w:cs="仿宋"/>
                <w:color w:val="auto"/>
              </w:rPr>
            </w:pPr>
          </w:p>
        </w:tc>
      </w:tr>
      <w:tr w14:paraId="48D30C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2" w:hRule="atLeast"/>
        </w:trPr>
        <w:tc>
          <w:tcPr>
            <w:tcW w:w="691" w:type="dxa"/>
            <w:noWrap w:val="0"/>
            <w:vAlign w:val="center"/>
          </w:tcPr>
          <w:p w14:paraId="5770738C">
            <w:pPr>
              <w:spacing w:line="360" w:lineRule="auto"/>
              <w:jc w:val="center"/>
              <w:rPr>
                <w:rFonts w:hint="eastAsia" w:ascii="宋体" w:hAnsi="宋体" w:cs="仿宋"/>
                <w:color w:val="auto"/>
              </w:rPr>
            </w:pPr>
            <w:r>
              <w:rPr>
                <w:rFonts w:hint="eastAsia" w:ascii="宋体" w:hAnsi="宋体" w:cs="仿宋"/>
                <w:color w:val="auto"/>
              </w:rPr>
              <w:t>6</w:t>
            </w:r>
          </w:p>
        </w:tc>
        <w:tc>
          <w:tcPr>
            <w:tcW w:w="2276" w:type="dxa"/>
            <w:noWrap w:val="0"/>
            <w:vAlign w:val="center"/>
          </w:tcPr>
          <w:p w14:paraId="2BC2918C">
            <w:pPr>
              <w:spacing w:line="360" w:lineRule="auto"/>
              <w:jc w:val="center"/>
              <w:rPr>
                <w:rFonts w:hint="eastAsia" w:ascii="宋体" w:hAnsi="宋体" w:cs="仿宋"/>
                <w:color w:val="auto"/>
              </w:rPr>
            </w:pPr>
            <w:r>
              <w:rPr>
                <w:rFonts w:hint="eastAsia" w:ascii="宋体" w:hAnsi="宋体" w:cs="仿宋"/>
                <w:color w:val="auto"/>
              </w:rPr>
              <w:t>灯具</w:t>
            </w:r>
          </w:p>
        </w:tc>
        <w:tc>
          <w:tcPr>
            <w:tcW w:w="5262" w:type="dxa"/>
            <w:noWrap w:val="0"/>
            <w:vAlign w:val="center"/>
          </w:tcPr>
          <w:p w14:paraId="4D4E9108">
            <w:pPr>
              <w:spacing w:line="360" w:lineRule="auto"/>
              <w:rPr>
                <w:rFonts w:hint="eastAsia" w:ascii="宋体" w:hAnsi="宋体" w:cs="仿宋"/>
                <w:color w:val="auto"/>
              </w:rPr>
            </w:pPr>
          </w:p>
        </w:tc>
      </w:tr>
      <w:tr w14:paraId="5D5A8C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trPr>
        <w:tc>
          <w:tcPr>
            <w:tcW w:w="691" w:type="dxa"/>
            <w:noWrap w:val="0"/>
            <w:vAlign w:val="center"/>
          </w:tcPr>
          <w:p w14:paraId="15BC176D">
            <w:pPr>
              <w:spacing w:line="360" w:lineRule="auto"/>
              <w:jc w:val="center"/>
              <w:rPr>
                <w:rFonts w:hint="eastAsia" w:ascii="宋体" w:hAnsi="宋体" w:cs="仿宋"/>
                <w:color w:val="auto"/>
              </w:rPr>
            </w:pPr>
            <w:r>
              <w:rPr>
                <w:rFonts w:hint="eastAsia" w:ascii="宋体" w:hAnsi="宋体" w:cs="仿宋"/>
                <w:color w:val="auto"/>
              </w:rPr>
              <w:t>7</w:t>
            </w:r>
          </w:p>
        </w:tc>
        <w:tc>
          <w:tcPr>
            <w:tcW w:w="2276" w:type="dxa"/>
            <w:noWrap w:val="0"/>
            <w:vAlign w:val="center"/>
          </w:tcPr>
          <w:p w14:paraId="01BAD46D">
            <w:pPr>
              <w:spacing w:line="360" w:lineRule="auto"/>
              <w:jc w:val="center"/>
              <w:rPr>
                <w:rFonts w:hint="eastAsia" w:ascii="宋体" w:hAnsi="宋体" w:cs="仿宋"/>
                <w:color w:val="auto"/>
              </w:rPr>
            </w:pPr>
            <w:r>
              <w:rPr>
                <w:rFonts w:hint="eastAsia" w:ascii="宋体" w:hAnsi="宋体" w:cs="仿宋"/>
                <w:color w:val="auto"/>
              </w:rPr>
              <w:t>电线</w:t>
            </w:r>
          </w:p>
        </w:tc>
        <w:tc>
          <w:tcPr>
            <w:tcW w:w="5262" w:type="dxa"/>
            <w:noWrap w:val="0"/>
            <w:vAlign w:val="center"/>
          </w:tcPr>
          <w:p w14:paraId="20F876D6">
            <w:pPr>
              <w:spacing w:line="360" w:lineRule="auto"/>
              <w:rPr>
                <w:rFonts w:hint="eastAsia" w:ascii="宋体" w:hAnsi="宋体" w:cs="仿宋"/>
                <w:color w:val="auto"/>
              </w:rPr>
            </w:pPr>
          </w:p>
        </w:tc>
      </w:tr>
      <w:tr w14:paraId="147B86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691" w:type="dxa"/>
            <w:noWrap w:val="0"/>
            <w:vAlign w:val="center"/>
          </w:tcPr>
          <w:p w14:paraId="10832F15">
            <w:pPr>
              <w:spacing w:line="360" w:lineRule="auto"/>
              <w:jc w:val="center"/>
              <w:rPr>
                <w:rFonts w:hint="eastAsia" w:ascii="宋体" w:hAnsi="宋体" w:cs="仿宋"/>
                <w:color w:val="auto"/>
              </w:rPr>
            </w:pPr>
            <w:r>
              <w:rPr>
                <w:rFonts w:hint="eastAsia" w:ascii="宋体" w:hAnsi="宋体" w:cs="仿宋"/>
                <w:color w:val="auto"/>
              </w:rPr>
              <w:t>8</w:t>
            </w:r>
          </w:p>
        </w:tc>
        <w:tc>
          <w:tcPr>
            <w:tcW w:w="2276" w:type="dxa"/>
            <w:noWrap w:val="0"/>
            <w:vAlign w:val="center"/>
          </w:tcPr>
          <w:p w14:paraId="2D1682B1">
            <w:pPr>
              <w:spacing w:line="360" w:lineRule="auto"/>
              <w:jc w:val="center"/>
              <w:rPr>
                <w:rFonts w:hint="eastAsia" w:ascii="宋体" w:hAnsi="宋体" w:cs="仿宋"/>
                <w:color w:val="auto"/>
              </w:rPr>
            </w:pPr>
            <w:r>
              <w:rPr>
                <w:rFonts w:hint="eastAsia" w:ascii="宋体" w:hAnsi="宋体" w:cs="仿宋"/>
                <w:color w:val="auto"/>
              </w:rPr>
              <w:t>面板</w:t>
            </w:r>
          </w:p>
        </w:tc>
        <w:tc>
          <w:tcPr>
            <w:tcW w:w="5262" w:type="dxa"/>
            <w:noWrap w:val="0"/>
            <w:vAlign w:val="center"/>
          </w:tcPr>
          <w:p w14:paraId="0C4830AE">
            <w:pPr>
              <w:spacing w:line="360" w:lineRule="auto"/>
              <w:rPr>
                <w:rFonts w:hint="eastAsia" w:ascii="宋体" w:hAnsi="宋体" w:cs="仿宋"/>
                <w:color w:val="auto"/>
              </w:rPr>
            </w:pPr>
          </w:p>
        </w:tc>
      </w:tr>
    </w:tbl>
    <w:p w14:paraId="70625B73">
      <w:pPr>
        <w:spacing w:line="360" w:lineRule="auto"/>
        <w:ind w:left="164" w:leftChars="78" w:firstLine="240" w:firstLineChars="100"/>
        <w:rPr>
          <w:rFonts w:hint="eastAsia" w:ascii="宋体" w:hAnsi="宋体" w:cs="仿宋"/>
          <w:b/>
          <w:bCs/>
          <w:color w:val="auto"/>
          <w:sz w:val="24"/>
          <w:lang w:eastAsia="zh-CN"/>
        </w:rPr>
      </w:pPr>
      <w:r>
        <w:rPr>
          <w:rFonts w:hint="eastAsia" w:ascii="宋体" w:hAnsi="宋体" w:cs="仿宋"/>
          <w:b/>
          <w:bCs/>
          <w:color w:val="auto"/>
          <w:sz w:val="24"/>
          <w:lang w:eastAsia="zh-CN"/>
        </w:rPr>
        <w:t>7、本项目</w:t>
      </w:r>
      <w:bookmarkStart w:id="0" w:name="_Hlk173421834"/>
      <w:r>
        <w:rPr>
          <w:rFonts w:hint="eastAsia" w:ascii="宋体" w:hAnsi="宋体" w:cs="仿宋"/>
          <w:b/>
          <w:bCs/>
          <w:color w:val="auto"/>
          <w:sz w:val="24"/>
          <w:lang w:eastAsia="zh-CN"/>
        </w:rPr>
        <w:t>工程量清单</w:t>
      </w:r>
      <w:bookmarkEnd w:id="0"/>
      <w:r>
        <w:rPr>
          <w:rFonts w:hint="eastAsia" w:ascii="宋体" w:hAnsi="宋体" w:cs="仿宋"/>
          <w:b/>
          <w:bCs/>
          <w:color w:val="auto"/>
          <w:sz w:val="24"/>
          <w:lang w:eastAsia="zh-CN"/>
        </w:rPr>
        <w:t>详见附件及图纸（以电子版形式提供，供应商自行下载）</w:t>
      </w:r>
    </w:p>
    <w:p w14:paraId="086F6AF5">
      <w:pPr>
        <w:spacing w:line="360" w:lineRule="auto"/>
        <w:ind w:left="164" w:leftChars="78" w:firstLine="240" w:firstLineChars="100"/>
        <w:rPr>
          <w:rFonts w:hint="eastAsia" w:ascii="宋体" w:hAnsi="宋体" w:cs="仿宋"/>
          <w:b/>
          <w:bCs/>
          <w:color w:val="auto"/>
          <w:sz w:val="24"/>
        </w:rPr>
      </w:pPr>
      <w:r>
        <w:rPr>
          <w:rFonts w:hint="eastAsia" w:ascii="宋体" w:hAnsi="宋体" w:cs="仿宋"/>
          <w:b/>
          <w:bCs/>
          <w:color w:val="auto"/>
          <w:sz w:val="24"/>
        </w:rPr>
        <w:t>8、工程要求</w:t>
      </w:r>
    </w:p>
    <w:tbl>
      <w:tblPr>
        <w:tblStyle w:val="5"/>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37"/>
        <w:gridCol w:w="1658"/>
        <w:gridCol w:w="6471"/>
      </w:tblGrid>
      <w:tr w14:paraId="42525E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jc w:val="center"/>
        </w:trPr>
        <w:tc>
          <w:tcPr>
            <w:tcW w:w="467" w:type="pct"/>
            <w:noWrap w:val="0"/>
            <w:vAlign w:val="center"/>
          </w:tcPr>
          <w:p w14:paraId="363B5144">
            <w:pPr>
              <w:spacing w:line="360" w:lineRule="auto"/>
              <w:jc w:val="center"/>
              <w:rPr>
                <w:rFonts w:ascii="宋体" w:hAnsi="宋体" w:cs="仿宋"/>
                <w:b/>
                <w:color w:val="auto"/>
                <w:sz w:val="24"/>
              </w:rPr>
            </w:pPr>
            <w:r>
              <w:rPr>
                <w:rFonts w:hint="eastAsia" w:ascii="宋体" w:hAnsi="宋体" w:cs="仿宋"/>
                <w:b/>
                <w:color w:val="auto"/>
                <w:sz w:val="24"/>
              </w:rPr>
              <w:t>序号</w:t>
            </w:r>
          </w:p>
        </w:tc>
        <w:tc>
          <w:tcPr>
            <w:tcW w:w="924" w:type="pct"/>
            <w:noWrap w:val="0"/>
            <w:vAlign w:val="center"/>
          </w:tcPr>
          <w:p w14:paraId="01D1E41A">
            <w:pPr>
              <w:spacing w:line="360" w:lineRule="auto"/>
              <w:jc w:val="center"/>
              <w:rPr>
                <w:rFonts w:ascii="宋体" w:hAnsi="宋体" w:cs="仿宋"/>
                <w:b/>
                <w:color w:val="auto"/>
                <w:sz w:val="24"/>
              </w:rPr>
            </w:pPr>
            <w:r>
              <w:rPr>
                <w:rFonts w:hint="eastAsia" w:ascii="宋体" w:hAnsi="宋体" w:cs="仿宋"/>
                <w:b/>
                <w:color w:val="auto"/>
                <w:sz w:val="24"/>
              </w:rPr>
              <w:t>项目明细</w:t>
            </w:r>
          </w:p>
        </w:tc>
        <w:tc>
          <w:tcPr>
            <w:tcW w:w="3607" w:type="pct"/>
            <w:noWrap w:val="0"/>
            <w:vAlign w:val="center"/>
          </w:tcPr>
          <w:p w14:paraId="17F0685B">
            <w:pPr>
              <w:spacing w:line="360" w:lineRule="auto"/>
              <w:jc w:val="center"/>
              <w:rPr>
                <w:rFonts w:ascii="宋体" w:hAnsi="宋体" w:cs="仿宋"/>
                <w:b/>
                <w:color w:val="auto"/>
                <w:sz w:val="24"/>
              </w:rPr>
            </w:pPr>
            <w:r>
              <w:rPr>
                <w:rFonts w:hint="eastAsia" w:ascii="宋体" w:hAnsi="宋体" w:cs="仿宋"/>
                <w:b/>
                <w:color w:val="auto"/>
                <w:sz w:val="24"/>
              </w:rPr>
              <w:t>主要技术参数</w:t>
            </w:r>
          </w:p>
        </w:tc>
      </w:tr>
      <w:tr w14:paraId="6D1F68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467" w:type="pct"/>
            <w:noWrap w:val="0"/>
            <w:vAlign w:val="center"/>
          </w:tcPr>
          <w:p w14:paraId="2D5558DB">
            <w:pPr>
              <w:spacing w:line="360" w:lineRule="auto"/>
              <w:jc w:val="center"/>
              <w:rPr>
                <w:rFonts w:ascii="宋体" w:hAnsi="宋体" w:cs="仿宋"/>
                <w:color w:val="auto"/>
                <w:sz w:val="24"/>
              </w:rPr>
            </w:pPr>
            <w:r>
              <w:rPr>
                <w:rFonts w:hint="eastAsia" w:ascii="宋体" w:hAnsi="宋体" w:cs="仿宋"/>
                <w:color w:val="auto"/>
                <w:sz w:val="24"/>
              </w:rPr>
              <w:t>1</w:t>
            </w:r>
          </w:p>
        </w:tc>
        <w:tc>
          <w:tcPr>
            <w:tcW w:w="924" w:type="pct"/>
            <w:noWrap w:val="0"/>
            <w:vAlign w:val="center"/>
          </w:tcPr>
          <w:p w14:paraId="679F7AFC">
            <w:pPr>
              <w:spacing w:line="360" w:lineRule="auto"/>
              <w:jc w:val="center"/>
              <w:rPr>
                <w:rFonts w:ascii="宋体" w:hAnsi="宋体" w:cs="仿宋"/>
                <w:color w:val="auto"/>
                <w:sz w:val="24"/>
              </w:rPr>
            </w:pPr>
            <w:r>
              <w:rPr>
                <w:rFonts w:hint="eastAsia" w:ascii="宋体" w:hAnsi="宋体" w:cs="仿宋"/>
                <w:color w:val="auto"/>
                <w:sz w:val="24"/>
              </w:rPr>
              <w:t>质量要求</w:t>
            </w:r>
          </w:p>
        </w:tc>
        <w:tc>
          <w:tcPr>
            <w:tcW w:w="3607" w:type="pct"/>
            <w:noWrap w:val="0"/>
            <w:vAlign w:val="top"/>
          </w:tcPr>
          <w:p w14:paraId="61A5ED18">
            <w:pPr>
              <w:pStyle w:val="9"/>
              <w:tabs>
                <w:tab w:val="left" w:pos="5217"/>
              </w:tabs>
              <w:spacing w:line="360" w:lineRule="auto"/>
              <w:ind w:firstLine="480" w:firstLineChars="200"/>
              <w:rPr>
                <w:rFonts w:hint="eastAsia" w:cs="仿宋"/>
                <w:color w:val="auto"/>
                <w:sz w:val="24"/>
                <w:lang w:val="en-US" w:eastAsia="zh-CN"/>
              </w:rPr>
            </w:pPr>
            <w:r>
              <w:rPr>
                <w:rFonts w:hint="eastAsia" w:cs="仿宋"/>
                <w:color w:val="auto"/>
                <w:sz w:val="24"/>
                <w:lang w:eastAsia="zh-CN"/>
              </w:rPr>
              <w:t>1.质量标准：应符合国家工程质量验收标准，供应商应以现行的国家验收规范和质量评定标准、设计施工图纸、施工说明书、设备说明书等技术文件为依据进行施工。</w:t>
            </w:r>
          </w:p>
          <w:p w14:paraId="79787B8C">
            <w:pPr>
              <w:pStyle w:val="9"/>
              <w:tabs>
                <w:tab w:val="left" w:pos="5217"/>
              </w:tabs>
              <w:spacing w:line="360" w:lineRule="auto"/>
              <w:ind w:firstLine="480" w:firstLineChars="200"/>
              <w:rPr>
                <w:rFonts w:hint="eastAsia" w:cs="仿宋"/>
                <w:color w:val="auto"/>
                <w:sz w:val="24"/>
                <w:lang w:eastAsia="zh-CN"/>
              </w:rPr>
            </w:pPr>
            <w:r>
              <w:rPr>
                <w:rFonts w:hint="eastAsia" w:cs="仿宋"/>
                <w:color w:val="auto"/>
                <w:sz w:val="24"/>
                <w:lang w:val="en-US" w:eastAsia="zh-CN"/>
              </w:rPr>
              <w:t>2</w:t>
            </w:r>
            <w:r>
              <w:rPr>
                <w:rFonts w:hint="eastAsia" w:cs="仿宋"/>
                <w:color w:val="auto"/>
                <w:sz w:val="24"/>
                <w:lang w:eastAsia="zh-CN"/>
              </w:rPr>
              <w:t>施工要求：</w:t>
            </w:r>
          </w:p>
          <w:p w14:paraId="47107DB8">
            <w:pPr>
              <w:pStyle w:val="9"/>
              <w:tabs>
                <w:tab w:val="left" w:pos="5217"/>
              </w:tabs>
              <w:spacing w:line="360" w:lineRule="auto"/>
              <w:ind w:firstLine="480" w:firstLineChars="200"/>
              <w:rPr>
                <w:rFonts w:hint="eastAsia" w:cs="仿宋"/>
                <w:color w:val="auto"/>
                <w:sz w:val="24"/>
                <w:lang w:val="en-US" w:eastAsia="zh-CN"/>
              </w:rPr>
            </w:pPr>
            <w:r>
              <w:rPr>
                <w:rFonts w:hint="eastAsia" w:cs="仿宋"/>
                <w:color w:val="auto"/>
                <w:sz w:val="24"/>
                <w:lang w:val="en-US" w:eastAsia="zh-CN"/>
              </w:rPr>
              <w:t>2.</w:t>
            </w:r>
            <w:r>
              <w:rPr>
                <w:rFonts w:cs="仿宋"/>
                <w:color w:val="auto"/>
                <w:sz w:val="24"/>
                <w:lang w:val="en-US" w:eastAsia="zh-CN"/>
              </w:rPr>
              <w:t>1、</w:t>
            </w:r>
            <w:r>
              <w:rPr>
                <w:b/>
                <w:color w:val="auto"/>
                <w:sz w:val="24"/>
              </w:rPr>
              <w:t>工程质量必须符合国家现行验收规范及合同约定。因供应商原因导致质量不合格的，必须无偿返工直至合格；无法修复或返工后仍不合格的，采购人有权拒绝接收该部分工程，不予支付相应款项，并有权解除合同，由此造成的一切损失由供应商承担。</w:t>
            </w:r>
          </w:p>
          <w:p w14:paraId="1B78112D">
            <w:pPr>
              <w:pStyle w:val="9"/>
              <w:tabs>
                <w:tab w:val="left" w:pos="5217"/>
              </w:tabs>
              <w:spacing w:line="360" w:lineRule="auto"/>
              <w:ind w:firstLine="480" w:firstLineChars="200"/>
              <w:rPr>
                <w:rFonts w:hint="eastAsia" w:cs="仿宋"/>
                <w:color w:val="auto"/>
                <w:sz w:val="24"/>
                <w:lang w:val="en-US" w:eastAsia="zh-CN"/>
              </w:rPr>
            </w:pPr>
            <w:r>
              <w:rPr>
                <w:rFonts w:hint="eastAsia" w:cs="仿宋"/>
                <w:color w:val="auto"/>
                <w:sz w:val="24"/>
                <w:lang w:val="en-US" w:eastAsia="zh-CN"/>
              </w:rPr>
              <w:t>2.2.供应商每道工序施工完成并自检合格后，应及时通知监理单位及采购人现场验收，上道工序验收合格后方可进行下道工序施工。隐蔽工程必须严格执行前述验收流程，严禁未验先隐蔽、未签字擅自施工，凡未按规定履行隐蔽验收程序的，一律不计入工程结算范围。</w:t>
            </w:r>
          </w:p>
          <w:p w14:paraId="51C5BA9C">
            <w:pPr>
              <w:pStyle w:val="9"/>
              <w:tabs>
                <w:tab w:val="left" w:pos="5217"/>
              </w:tabs>
              <w:spacing w:line="360" w:lineRule="auto"/>
              <w:ind w:firstLine="480" w:firstLineChars="200"/>
              <w:rPr>
                <w:rFonts w:hint="eastAsia" w:cs="仿宋"/>
                <w:color w:val="auto"/>
                <w:sz w:val="24"/>
                <w:lang w:val="en-US" w:eastAsia="zh-CN"/>
              </w:rPr>
            </w:pPr>
            <w:r>
              <w:rPr>
                <w:rFonts w:hint="eastAsia" w:cs="仿宋"/>
                <w:color w:val="auto"/>
                <w:sz w:val="24"/>
                <w:lang w:val="en-US" w:eastAsia="zh-CN"/>
              </w:rPr>
              <w:t>2.3供应商如果出现质量事故，必须在第一时间上报采购人，同时按照国家有关规定进行处理。因供应商原因造成的质量事故责任由供应商负责，由此产生的材料损失及工程重做、返修、返工等一切费用均由供应商承担，并应向采购人赔偿损失，赔偿数额据实计算。</w:t>
            </w:r>
          </w:p>
          <w:p w14:paraId="7EC5C38D">
            <w:pPr>
              <w:pStyle w:val="9"/>
              <w:tabs>
                <w:tab w:val="left" w:pos="5217"/>
              </w:tabs>
              <w:spacing w:line="360" w:lineRule="auto"/>
              <w:ind w:firstLine="480" w:firstLineChars="200"/>
              <w:rPr>
                <w:rFonts w:hint="eastAsia" w:cs="仿宋"/>
                <w:color w:val="auto"/>
                <w:sz w:val="24"/>
                <w:lang w:val="en-US" w:eastAsia="zh-CN"/>
              </w:rPr>
            </w:pPr>
            <w:r>
              <w:rPr>
                <w:rFonts w:hint="eastAsia" w:ascii="Times New Roman" w:hAnsi="Times New Roman"/>
                <w:color w:val="auto"/>
                <w:sz w:val="24"/>
                <w:szCs w:val="24"/>
                <w:lang w:val="en-US" w:eastAsia="zh-CN" w:bidi="ar-SA"/>
              </w:rPr>
              <w:t>2.4</w:t>
            </w:r>
            <w:r>
              <w:rPr>
                <w:rFonts w:ascii="Times New Roman" w:hAnsi="Times New Roman"/>
                <w:color w:val="auto"/>
                <w:sz w:val="24"/>
                <w:szCs w:val="24"/>
                <w:lang w:val="en-US" w:eastAsia="zh-CN" w:bidi="ar-SA"/>
              </w:rPr>
              <w:t>施工中供应商不得擅自对工程设计进行变更。因供应商擅自变更设计、偷工减料或施工不当引起的设计变更及返工，所发生的全部费用由供应商承担，延误的工期不予顺延；造成质量事故的，供应商还应承担相应的法律责任及赔偿责任。</w:t>
            </w:r>
          </w:p>
          <w:p w14:paraId="5A9B889B">
            <w:pPr>
              <w:pStyle w:val="9"/>
              <w:tabs>
                <w:tab w:val="left" w:pos="5217"/>
              </w:tabs>
              <w:spacing w:line="360" w:lineRule="auto"/>
              <w:ind w:firstLine="480" w:firstLineChars="200"/>
              <w:rPr>
                <w:rFonts w:hint="eastAsia" w:cs="仿宋"/>
                <w:color w:val="auto"/>
                <w:sz w:val="24"/>
                <w:lang w:val="en-US" w:eastAsia="zh-CN" w:bidi="ar-SA"/>
              </w:rPr>
            </w:pPr>
            <w:r>
              <w:rPr>
                <w:rFonts w:hint="eastAsia" w:cs="仿宋"/>
                <w:color w:val="auto"/>
                <w:sz w:val="24"/>
                <w:lang w:val="en-US" w:eastAsia="zh-CN"/>
              </w:rPr>
              <w:t>2.5</w:t>
            </w:r>
            <w:r>
              <w:rPr>
                <w:b/>
                <w:color w:val="auto"/>
                <w:sz w:val="24"/>
              </w:rPr>
              <w:t>本工程严格执行工程质量终身责任制。供应商的项目负责人对工程质量承担终身责任。本工程缺陷责任期为 24 个月，自竣工验收合格之日起计算。在缺陷责任期内，成交供应商应按合同约定承担保修责任。</w:t>
            </w:r>
          </w:p>
        </w:tc>
      </w:tr>
      <w:tr w14:paraId="5CC865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4" w:hRule="atLeast"/>
          <w:jc w:val="center"/>
        </w:trPr>
        <w:tc>
          <w:tcPr>
            <w:tcW w:w="467" w:type="pct"/>
            <w:noWrap w:val="0"/>
            <w:vAlign w:val="center"/>
          </w:tcPr>
          <w:p w14:paraId="1707D447">
            <w:pPr>
              <w:spacing w:line="360" w:lineRule="auto"/>
              <w:jc w:val="center"/>
              <w:rPr>
                <w:rFonts w:ascii="宋体" w:hAnsi="宋体" w:cs="仿宋"/>
                <w:color w:val="auto"/>
                <w:sz w:val="24"/>
              </w:rPr>
            </w:pPr>
            <w:r>
              <w:rPr>
                <w:rFonts w:hint="eastAsia" w:ascii="宋体" w:hAnsi="宋体" w:cs="仿宋"/>
                <w:color w:val="auto"/>
                <w:sz w:val="24"/>
              </w:rPr>
              <w:t>2</w:t>
            </w:r>
          </w:p>
        </w:tc>
        <w:tc>
          <w:tcPr>
            <w:tcW w:w="924" w:type="pct"/>
            <w:noWrap w:val="0"/>
            <w:vAlign w:val="center"/>
          </w:tcPr>
          <w:p w14:paraId="5577F619">
            <w:pPr>
              <w:spacing w:line="360" w:lineRule="auto"/>
              <w:jc w:val="center"/>
              <w:rPr>
                <w:rFonts w:ascii="宋体" w:hAnsi="宋体" w:cs="仿宋"/>
                <w:color w:val="auto"/>
                <w:sz w:val="24"/>
              </w:rPr>
            </w:pPr>
            <w:r>
              <w:rPr>
                <w:rFonts w:hint="eastAsia" w:ascii="宋体" w:hAnsi="宋体" w:cs="仿宋"/>
                <w:color w:val="auto"/>
                <w:sz w:val="24"/>
              </w:rPr>
              <w:t>人员要求</w:t>
            </w:r>
          </w:p>
        </w:tc>
        <w:tc>
          <w:tcPr>
            <w:tcW w:w="3607" w:type="pct"/>
            <w:noWrap w:val="0"/>
            <w:vAlign w:val="top"/>
          </w:tcPr>
          <w:p w14:paraId="45806F01">
            <w:pPr>
              <w:pStyle w:val="10"/>
              <w:autoSpaceDE w:val="0"/>
              <w:autoSpaceDN w:val="0"/>
              <w:adjustRightInd w:val="0"/>
              <w:spacing w:line="360" w:lineRule="auto"/>
              <w:ind w:firstLine="482"/>
              <w:rPr>
                <w:rFonts w:hint="eastAsia" w:ascii="宋体" w:hAnsi="宋体" w:cs="仿宋"/>
                <w:b/>
                <w:bCs/>
                <w:kern w:val="0"/>
                <w:sz w:val="24"/>
              </w:rPr>
            </w:pPr>
            <w:r>
              <w:rPr>
                <w:rFonts w:hint="eastAsia" w:ascii="宋体" w:hAnsi="宋体" w:cs="仿宋"/>
                <w:b/>
                <w:bCs/>
                <w:kern w:val="0"/>
                <w:sz w:val="24"/>
              </w:rPr>
              <w:t>1.工程预计在6月份开工，供应商须派项目经理、管理人员、施工班组开工建设，其中管理人员须包含施工员、质量员（或质检员）、专职安全生产管理员，以上人员须为本单位在职人员。</w:t>
            </w:r>
          </w:p>
          <w:p w14:paraId="10DED630">
            <w:pPr>
              <w:spacing w:line="360" w:lineRule="auto"/>
              <w:rPr>
                <w:rFonts w:hint="eastAsia" w:ascii="宋体" w:hAnsi="宋体" w:cs="仿宋"/>
                <w:color w:val="auto"/>
                <w:sz w:val="24"/>
                <w:lang w:eastAsia="zh-CN"/>
              </w:rPr>
            </w:pPr>
            <w:r>
              <w:rPr>
                <w:rFonts w:hint="eastAsia" w:ascii="宋体" w:hAnsi="宋体" w:cs="仿宋"/>
                <w:b/>
                <w:bCs/>
                <w:color w:val="auto"/>
                <w:sz w:val="24"/>
                <w:lang w:eastAsia="zh-CN"/>
              </w:rPr>
              <w:t>评审依据：响应文件中提供①拟派本项目的人员一览表②施工员、质量员（或质检员）、专职安全生产管理员均须持有效的岗位证书或培训证书，专职安全生产管理员可提供建设行政主管部门核发的经年检合格有效的安全生产考核合格证书 C 证替代岗位证书（证书上的单位名称须与供应商名称一致），③以上人员须提供磋商前6个月内任意1个月供应商为其缴纳的社保缴纳证明材料，否则响应无效。</w:t>
            </w:r>
          </w:p>
          <w:p w14:paraId="602CF4A6">
            <w:pPr>
              <w:pStyle w:val="9"/>
              <w:tabs>
                <w:tab w:val="left" w:pos="5217"/>
              </w:tabs>
              <w:spacing w:line="360" w:lineRule="auto"/>
              <w:ind w:firstLine="480" w:firstLineChars="200"/>
              <w:rPr>
                <w:rFonts w:hint="eastAsia" w:cs="仿宋"/>
                <w:color w:val="auto"/>
                <w:sz w:val="24"/>
                <w:lang w:val="en-US" w:eastAsia="zh-CN" w:bidi="ar-SA"/>
              </w:rPr>
            </w:pPr>
            <w:r>
              <w:rPr>
                <w:rFonts w:hint="eastAsia" w:cs="仿宋"/>
                <w:color w:val="auto"/>
                <w:sz w:val="24"/>
                <w:lang w:val="en-US" w:eastAsia="zh-CN" w:bidi="ar-SA"/>
              </w:rPr>
              <w:t>本项目为装饰装修改造工程，施工过程涉及装饰装修、油漆、门窗安装、木工、防水等作业内容，供应商应配备相应技能水平的作业人员。</w:t>
            </w:r>
          </w:p>
          <w:p w14:paraId="22734EEA">
            <w:pPr>
              <w:spacing w:line="360" w:lineRule="auto"/>
              <w:ind w:firstLine="480" w:firstLineChars="200"/>
              <w:rPr>
                <w:rFonts w:ascii="宋体" w:hAnsi="宋体" w:cs="宋体"/>
                <w:color w:val="auto"/>
                <w:sz w:val="24"/>
                <w:lang w:eastAsia="zh-CN"/>
              </w:rPr>
            </w:pPr>
            <w:r>
              <w:rPr>
                <w:rFonts w:hint="eastAsia" w:ascii="宋体" w:hAnsi="宋体" w:cs="宋体"/>
                <w:color w:val="auto"/>
                <w:sz w:val="24"/>
                <w:lang w:eastAsia="zh-CN"/>
              </w:rPr>
              <w:t>2.供应商项目经理为项目第一负责人和工地代表，不得更换。在现场的时间不低于22天/月；每天不少于8小时。如果供应商违反上述约定，则按每天1000元人民币向采购人支付违约金；若供应商的项目经理无故不到岗，则按每天</w:t>
            </w:r>
            <w:r>
              <w:rPr>
                <w:rFonts w:ascii="宋体" w:hAnsi="宋体" w:cs="宋体"/>
                <w:color w:val="auto"/>
                <w:sz w:val="24"/>
                <w:u w:val="single"/>
                <w:lang w:eastAsia="zh-CN"/>
              </w:rPr>
              <w:t>3000</w:t>
            </w:r>
            <w:r>
              <w:rPr>
                <w:rFonts w:hint="eastAsia" w:ascii="宋体" w:hAnsi="宋体" w:cs="宋体"/>
                <w:color w:val="auto"/>
                <w:sz w:val="24"/>
                <w:lang w:eastAsia="zh-CN"/>
              </w:rPr>
              <w:t>元人民币向采购人支付违约金。</w:t>
            </w:r>
            <w:r>
              <w:rPr>
                <w:color w:val="auto"/>
                <w:sz w:val="24"/>
                <w:lang w:eastAsia="zh-CN"/>
              </w:rPr>
              <w:t>累计违约金额达到履约保证金总额的</w:t>
            </w:r>
            <w:r>
              <w:rPr>
                <w:color w:val="auto"/>
                <w:sz w:val="24"/>
                <w:u w:val="single"/>
                <w:lang w:eastAsia="zh-CN"/>
              </w:rPr>
              <w:t>30%</w:t>
            </w:r>
            <w:r>
              <w:rPr>
                <w:rFonts w:hint="eastAsia"/>
                <w:color w:val="auto"/>
                <w:sz w:val="24"/>
                <w:lang w:eastAsia="zh-CN"/>
              </w:rPr>
              <w:t>，</w:t>
            </w:r>
            <w:r>
              <w:rPr>
                <w:color w:val="auto"/>
                <w:sz w:val="24"/>
                <w:lang w:eastAsia="zh-CN"/>
              </w:rPr>
              <w:t>或情节严重的，</w:t>
            </w:r>
            <w:r>
              <w:rPr>
                <w:rFonts w:hint="eastAsia"/>
                <w:color w:val="auto"/>
                <w:sz w:val="24"/>
                <w:lang w:eastAsia="zh-CN"/>
              </w:rPr>
              <w:t>采购人</w:t>
            </w:r>
            <w:r>
              <w:rPr>
                <w:color w:val="auto"/>
                <w:sz w:val="24"/>
                <w:lang w:eastAsia="zh-CN"/>
              </w:rPr>
              <w:t>有权解除合同，并扣除相应履约保证金以弥补损失</w:t>
            </w:r>
            <w:r>
              <w:rPr>
                <w:rFonts w:hint="eastAsia" w:ascii="宋体" w:hAnsi="宋体" w:cs="宋体"/>
                <w:color w:val="auto"/>
                <w:sz w:val="24"/>
                <w:lang w:eastAsia="zh-CN"/>
              </w:rPr>
              <w:t>。</w:t>
            </w:r>
          </w:p>
          <w:p w14:paraId="46CC4E0E">
            <w:pPr>
              <w:spacing w:line="360" w:lineRule="auto"/>
              <w:ind w:firstLine="480" w:firstLineChars="200"/>
              <w:rPr>
                <w:rFonts w:ascii="宋体" w:hAnsi="宋体" w:cs="宋体"/>
                <w:color w:val="auto"/>
                <w:sz w:val="24"/>
                <w:lang w:eastAsia="zh-CN"/>
              </w:rPr>
            </w:pPr>
            <w:r>
              <w:rPr>
                <w:rFonts w:hint="eastAsia" w:ascii="宋体" w:hAnsi="宋体" w:cs="宋体"/>
                <w:color w:val="auto"/>
                <w:sz w:val="24"/>
                <w:lang w:eastAsia="zh-CN"/>
              </w:rPr>
              <w:t>3.项目经理、质量安全负责人、特殊工种等人员须持证上岗，无证人员不得上岗。采购人认为不称职的项目经理或其他主要施工管理人员，供应商需积极配合更换。</w:t>
            </w:r>
          </w:p>
        </w:tc>
      </w:tr>
      <w:tr w14:paraId="21BF6B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467" w:type="pct"/>
            <w:noWrap w:val="0"/>
            <w:vAlign w:val="center"/>
          </w:tcPr>
          <w:p w14:paraId="31BC7C42">
            <w:pPr>
              <w:spacing w:line="360" w:lineRule="auto"/>
              <w:jc w:val="center"/>
              <w:rPr>
                <w:rFonts w:ascii="宋体" w:hAnsi="宋体" w:cs="仿宋"/>
                <w:color w:val="auto"/>
                <w:sz w:val="24"/>
              </w:rPr>
            </w:pPr>
            <w:r>
              <w:rPr>
                <w:rFonts w:hint="eastAsia" w:ascii="宋体" w:hAnsi="宋体" w:cs="仿宋"/>
                <w:color w:val="auto"/>
                <w:sz w:val="24"/>
              </w:rPr>
              <w:t>3</w:t>
            </w:r>
          </w:p>
        </w:tc>
        <w:tc>
          <w:tcPr>
            <w:tcW w:w="924" w:type="pct"/>
            <w:noWrap w:val="0"/>
            <w:vAlign w:val="center"/>
          </w:tcPr>
          <w:p w14:paraId="1EDC30F5">
            <w:pPr>
              <w:spacing w:line="360" w:lineRule="auto"/>
              <w:jc w:val="center"/>
              <w:rPr>
                <w:rFonts w:ascii="宋体" w:hAnsi="宋体" w:cs="仿宋"/>
                <w:color w:val="auto"/>
                <w:sz w:val="24"/>
              </w:rPr>
            </w:pPr>
            <w:r>
              <w:rPr>
                <w:rFonts w:hint="eastAsia" w:ascii="宋体" w:hAnsi="宋体" w:cs="仿宋"/>
                <w:color w:val="auto"/>
                <w:sz w:val="24"/>
              </w:rPr>
              <w:t>材料及环保要求</w:t>
            </w:r>
          </w:p>
        </w:tc>
        <w:tc>
          <w:tcPr>
            <w:tcW w:w="3607" w:type="pct"/>
            <w:noWrap w:val="0"/>
            <w:vAlign w:val="top"/>
          </w:tcPr>
          <w:p w14:paraId="32893B3E">
            <w:pPr>
              <w:pStyle w:val="9"/>
              <w:tabs>
                <w:tab w:val="left" w:pos="5217"/>
              </w:tabs>
              <w:spacing w:line="360" w:lineRule="auto"/>
              <w:ind w:firstLine="480" w:firstLineChars="200"/>
              <w:rPr>
                <w:rFonts w:ascii="仿宋" w:hAnsi="仿宋" w:eastAsia="仿宋" w:cs="仿宋"/>
                <w:color w:val="auto"/>
                <w:sz w:val="24"/>
                <w:lang w:val="en-US" w:eastAsia="zh-CN" w:bidi="ar-SA"/>
              </w:rPr>
            </w:pPr>
            <w:r>
              <w:rPr>
                <w:rFonts w:hint="eastAsia"/>
                <w:color w:val="auto"/>
                <w:sz w:val="24"/>
                <w:szCs w:val="24"/>
                <w:lang w:val="en-US" w:eastAsia="zh-CN"/>
              </w:rPr>
              <w:t>1.</w:t>
            </w:r>
            <w:r>
              <w:rPr>
                <w:rFonts w:hint="eastAsia"/>
                <w:color w:val="auto"/>
                <w:sz w:val="24"/>
                <w:szCs w:val="24"/>
                <w:lang w:val="en-US" w:eastAsia="zh-CN" w:bidi="ar"/>
              </w:rPr>
              <w:t>为本工程提供的所有装饰、装修材料必须满足国家环保标准及相关消防要求。供应商在订货前，须提供材料样品、合格证及材料检测报告；若有承诺主材品牌的，须按供应商承诺主材品牌表提请采购人确认，经采购人确认后，方可启动材料订购工</w:t>
            </w:r>
            <w:r>
              <w:rPr>
                <w:rFonts w:hint="eastAsia"/>
                <w:color w:val="auto"/>
                <w:sz w:val="24"/>
                <w:szCs w:val="24"/>
                <w:lang w:val="en-US" w:eastAsia="zh-CN"/>
              </w:rPr>
              <w:t>作。各种材料的厚度或质量要求不允许负偏差。</w:t>
            </w:r>
          </w:p>
          <w:p w14:paraId="700EAE9B">
            <w:pPr>
              <w:pStyle w:val="9"/>
              <w:tabs>
                <w:tab w:val="left" w:pos="5217"/>
              </w:tabs>
              <w:spacing w:line="360" w:lineRule="auto"/>
              <w:ind w:firstLine="460"/>
              <w:rPr>
                <w:rFonts w:hint="eastAsia" w:cs="仿宋"/>
                <w:color w:val="auto"/>
                <w:sz w:val="24"/>
                <w:lang w:eastAsia="zh-CN"/>
              </w:rPr>
            </w:pPr>
            <w:r>
              <w:rPr>
                <w:rFonts w:hint="eastAsia"/>
                <w:color w:val="auto"/>
                <w:sz w:val="24"/>
                <w:szCs w:val="24"/>
                <w:lang w:eastAsia="zh-CN"/>
              </w:rPr>
              <w:t>2.</w:t>
            </w:r>
            <w:r>
              <w:rPr>
                <w:rFonts w:hint="eastAsia"/>
                <w:color w:val="auto"/>
                <w:sz w:val="24"/>
                <w:szCs w:val="24"/>
              </w:rPr>
              <w:t>采购人有权</w:t>
            </w:r>
            <w:r>
              <w:rPr>
                <w:rFonts w:hint="eastAsia"/>
                <w:color w:val="auto"/>
                <w:sz w:val="24"/>
                <w:szCs w:val="24"/>
                <w:lang w:val="en-US" w:eastAsia="zh-CN"/>
              </w:rPr>
              <w:t>对</w:t>
            </w:r>
            <w:r>
              <w:rPr>
                <w:rFonts w:hint="eastAsia"/>
                <w:color w:val="auto"/>
                <w:sz w:val="24"/>
                <w:szCs w:val="24"/>
              </w:rPr>
              <w:t>供应商在本项目现场所提供的材料送第三方检测机构检测</w:t>
            </w:r>
            <w:r>
              <w:rPr>
                <w:rFonts w:hint="eastAsia"/>
                <w:color w:val="auto"/>
                <w:sz w:val="24"/>
                <w:szCs w:val="24"/>
                <w:lang w:eastAsia="zh-CN"/>
              </w:rPr>
              <w:t>，</w:t>
            </w:r>
            <w:r>
              <w:rPr>
                <w:rFonts w:hint="eastAsia"/>
                <w:color w:val="auto"/>
                <w:sz w:val="24"/>
                <w:szCs w:val="24"/>
              </w:rPr>
              <w:t>检测费用由供应商承担</w:t>
            </w:r>
            <w:r>
              <w:rPr>
                <w:rFonts w:hint="eastAsia"/>
                <w:color w:val="auto"/>
                <w:sz w:val="24"/>
                <w:szCs w:val="24"/>
                <w:lang w:eastAsia="zh-CN"/>
              </w:rPr>
              <w:t>。</w:t>
            </w:r>
            <w:r>
              <w:rPr>
                <w:rFonts w:hint="eastAsia"/>
                <w:color w:val="auto"/>
                <w:sz w:val="24"/>
                <w:szCs w:val="24"/>
              </w:rPr>
              <w:t>如检测数据表明材料</w:t>
            </w:r>
            <w:r>
              <w:rPr>
                <w:rFonts w:hint="eastAsia"/>
                <w:color w:val="auto"/>
                <w:sz w:val="24"/>
                <w:szCs w:val="24"/>
                <w:lang w:val="en-US" w:eastAsia="zh-CN"/>
              </w:rPr>
              <w:t>不合格</w:t>
            </w:r>
            <w:r>
              <w:rPr>
                <w:rFonts w:hint="eastAsia"/>
                <w:color w:val="auto"/>
                <w:sz w:val="24"/>
                <w:szCs w:val="24"/>
              </w:rPr>
              <w:t>，供应商须在</w:t>
            </w:r>
            <w:r>
              <w:rPr>
                <w:rFonts w:hint="eastAsia"/>
                <w:color w:val="auto"/>
                <w:sz w:val="24"/>
                <w:szCs w:val="24"/>
                <w:lang w:val="en-US" w:eastAsia="zh-CN"/>
              </w:rPr>
              <w:t>3日</w:t>
            </w:r>
            <w:r>
              <w:rPr>
                <w:rFonts w:hint="eastAsia"/>
                <w:color w:val="auto"/>
                <w:sz w:val="24"/>
                <w:szCs w:val="24"/>
              </w:rPr>
              <w:t>内</w:t>
            </w:r>
            <w:r>
              <w:rPr>
                <w:rFonts w:hint="eastAsia"/>
                <w:color w:val="auto"/>
                <w:sz w:val="24"/>
                <w:szCs w:val="24"/>
                <w:lang w:val="en-US" w:eastAsia="zh-CN"/>
              </w:rPr>
              <w:t>更换</w:t>
            </w:r>
            <w:r>
              <w:rPr>
                <w:rFonts w:hint="eastAsia"/>
                <w:color w:val="auto"/>
                <w:sz w:val="24"/>
                <w:szCs w:val="24"/>
              </w:rPr>
              <w:t>合格材料，</w:t>
            </w:r>
            <w:r>
              <w:rPr>
                <w:rFonts w:hint="eastAsia"/>
                <w:color w:val="auto"/>
                <w:sz w:val="24"/>
                <w:szCs w:val="24"/>
                <w:lang w:val="en-US" w:eastAsia="zh-CN"/>
              </w:rPr>
              <w:t>若供应商执意使用不合格材料</w:t>
            </w:r>
            <w:r>
              <w:rPr>
                <w:rFonts w:hint="eastAsia"/>
                <w:color w:val="auto"/>
                <w:sz w:val="24"/>
                <w:szCs w:val="24"/>
              </w:rPr>
              <w:t>，</w:t>
            </w:r>
            <w:r>
              <w:rPr>
                <w:rFonts w:hint="eastAsia"/>
                <w:color w:val="auto"/>
                <w:sz w:val="24"/>
                <w:szCs w:val="24"/>
                <w:lang w:val="en-US" w:eastAsia="zh-CN"/>
              </w:rPr>
              <w:t>则该分项工程不计入结算范围，且</w:t>
            </w:r>
            <w:r>
              <w:rPr>
                <w:rFonts w:hint="eastAsia"/>
                <w:color w:val="auto"/>
                <w:sz w:val="24"/>
                <w:szCs w:val="24"/>
              </w:rPr>
              <w:t>采购人有权单方面终止合同，并不退回其履约保证金，因此造成的损失由供应商承担。</w:t>
            </w:r>
          </w:p>
        </w:tc>
      </w:tr>
      <w:tr w14:paraId="4E0B16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467" w:type="pct"/>
            <w:noWrap w:val="0"/>
            <w:vAlign w:val="center"/>
          </w:tcPr>
          <w:p w14:paraId="3CB1778E">
            <w:pPr>
              <w:spacing w:line="360" w:lineRule="auto"/>
              <w:jc w:val="center"/>
              <w:rPr>
                <w:rFonts w:hint="eastAsia" w:ascii="宋体" w:hAnsi="宋体" w:cs="仿宋"/>
                <w:color w:val="auto"/>
                <w:sz w:val="24"/>
              </w:rPr>
            </w:pPr>
            <w:r>
              <w:rPr>
                <w:rFonts w:hint="eastAsia" w:ascii="宋体" w:hAnsi="宋体" w:cs="仿宋"/>
                <w:color w:val="auto"/>
                <w:sz w:val="24"/>
              </w:rPr>
              <w:t>4</w:t>
            </w:r>
          </w:p>
        </w:tc>
        <w:tc>
          <w:tcPr>
            <w:tcW w:w="924" w:type="pct"/>
            <w:noWrap w:val="0"/>
            <w:vAlign w:val="center"/>
          </w:tcPr>
          <w:p w14:paraId="2D58AFD3">
            <w:pPr>
              <w:spacing w:line="360" w:lineRule="auto"/>
              <w:jc w:val="center"/>
              <w:rPr>
                <w:rFonts w:ascii="宋体" w:hAnsi="宋体" w:cs="仿宋"/>
                <w:color w:val="auto"/>
                <w:sz w:val="24"/>
              </w:rPr>
            </w:pPr>
            <w:r>
              <w:rPr>
                <w:rFonts w:hint="eastAsia" w:ascii="宋体" w:hAnsi="宋体" w:cs="仿宋"/>
                <w:color w:val="auto"/>
                <w:sz w:val="24"/>
              </w:rPr>
              <w:t>安全文明施工</w:t>
            </w:r>
          </w:p>
        </w:tc>
        <w:tc>
          <w:tcPr>
            <w:tcW w:w="3607" w:type="pct"/>
            <w:noWrap w:val="0"/>
            <w:vAlign w:val="top"/>
          </w:tcPr>
          <w:p w14:paraId="03685AD2">
            <w:pPr>
              <w:pStyle w:val="9"/>
              <w:spacing w:line="360" w:lineRule="auto"/>
              <w:ind w:firstLine="480"/>
              <w:rPr>
                <w:b/>
                <w:bCs/>
                <w:color w:val="auto"/>
                <w:sz w:val="24"/>
                <w:szCs w:val="24"/>
                <w:lang w:val="en-US" w:eastAsia="zh-CN" w:bidi="ar-SA"/>
              </w:rPr>
            </w:pPr>
            <w:r>
              <w:rPr>
                <w:rFonts w:hint="eastAsia"/>
                <w:b/>
                <w:bCs/>
                <w:color w:val="auto"/>
                <w:sz w:val="24"/>
                <w:szCs w:val="24"/>
                <w:lang w:val="en-US" w:eastAsia="zh-CN" w:bidi="ar-SA"/>
              </w:rPr>
              <w:t>1.安全施工</w:t>
            </w:r>
          </w:p>
          <w:p w14:paraId="390332FA">
            <w:pPr>
              <w:pStyle w:val="9"/>
              <w:spacing w:line="360" w:lineRule="auto"/>
              <w:ind w:firstLine="480"/>
              <w:rPr>
                <w:color w:val="auto"/>
                <w:sz w:val="24"/>
                <w:szCs w:val="24"/>
                <w:lang w:val="en-US" w:eastAsia="zh-CN" w:bidi="ar-SA"/>
              </w:rPr>
            </w:pPr>
            <w:r>
              <w:rPr>
                <w:rFonts w:hint="eastAsia"/>
                <w:color w:val="auto"/>
                <w:sz w:val="24"/>
                <w:szCs w:val="24"/>
                <w:lang w:val="en-US" w:eastAsia="zh-CN" w:bidi="ar-SA"/>
              </w:rPr>
              <w:t>1.供应商对本工程安全负全责，必须配备专职安全管理人员、设置安全防护设施等，保障施工现场的安全，必须为施工人员购买包括但不限于国家规定的各种保险，供应商承担相应费用。</w:t>
            </w:r>
          </w:p>
          <w:p w14:paraId="3436AEF1">
            <w:pPr>
              <w:spacing w:line="360" w:lineRule="auto"/>
              <w:ind w:firstLine="480" w:firstLineChars="200"/>
              <w:rPr>
                <w:rFonts w:cs="宋体"/>
                <w:b/>
                <w:bCs/>
                <w:color w:val="auto"/>
                <w:sz w:val="24"/>
                <w:lang w:eastAsia="zh-CN"/>
              </w:rPr>
            </w:pPr>
            <w:r>
              <w:rPr>
                <w:rFonts w:hint="eastAsia" w:cs="宋体"/>
                <w:b/>
                <w:bCs/>
                <w:color w:val="auto"/>
                <w:sz w:val="24"/>
                <w:lang w:eastAsia="zh-CN"/>
              </w:rPr>
              <w:t>2.文明施工</w:t>
            </w:r>
          </w:p>
          <w:p w14:paraId="1C13845E">
            <w:pPr>
              <w:spacing w:line="360" w:lineRule="auto"/>
              <w:ind w:firstLine="480" w:firstLineChars="200"/>
              <w:rPr>
                <w:rFonts w:cs="宋体"/>
                <w:color w:val="auto"/>
                <w:sz w:val="24"/>
                <w:lang w:eastAsia="zh-CN"/>
              </w:rPr>
            </w:pPr>
            <w:r>
              <w:rPr>
                <w:rFonts w:hint="eastAsia" w:cs="宋体"/>
                <w:color w:val="auto"/>
                <w:sz w:val="24"/>
                <w:lang w:eastAsia="zh-CN"/>
              </w:rPr>
              <w:t>2.1供应商按规定落实文明施工措施，包括设置围挡、制作安全标识标牌、做好卫生保洁、采取防尘防噪措施等，</w:t>
            </w:r>
            <w:r>
              <w:rPr>
                <w:color w:val="auto"/>
                <w:sz w:val="24"/>
                <w:lang w:eastAsia="zh-CN"/>
              </w:rPr>
              <w:t>未落实文明施工措施的，</w:t>
            </w:r>
            <w:r>
              <w:rPr>
                <w:rFonts w:hint="eastAsia"/>
                <w:color w:val="auto"/>
                <w:sz w:val="24"/>
                <w:lang w:eastAsia="zh-CN"/>
              </w:rPr>
              <w:t>采购人</w:t>
            </w:r>
            <w:r>
              <w:rPr>
                <w:color w:val="auto"/>
                <w:sz w:val="24"/>
                <w:lang w:eastAsia="zh-CN"/>
              </w:rPr>
              <w:t>有权委托第三方代为实施，所产生的费用及因此造成的工期延误损失由</w:t>
            </w:r>
            <w:r>
              <w:rPr>
                <w:rFonts w:hint="eastAsia"/>
                <w:color w:val="auto"/>
                <w:sz w:val="24"/>
                <w:lang w:eastAsia="zh-CN"/>
              </w:rPr>
              <w:t>供应商</w:t>
            </w:r>
            <w:r>
              <w:rPr>
                <w:color w:val="auto"/>
                <w:sz w:val="24"/>
                <w:lang w:eastAsia="zh-CN"/>
              </w:rPr>
              <w:t>承担，</w:t>
            </w:r>
            <w:r>
              <w:rPr>
                <w:rFonts w:hint="eastAsia"/>
                <w:color w:val="auto"/>
                <w:sz w:val="24"/>
                <w:lang w:eastAsia="zh-CN"/>
              </w:rPr>
              <w:t>采购人</w:t>
            </w:r>
            <w:r>
              <w:rPr>
                <w:color w:val="auto"/>
                <w:sz w:val="24"/>
                <w:lang w:eastAsia="zh-CN"/>
              </w:rPr>
              <w:t>可直接从工程款中扣除</w:t>
            </w:r>
            <w:r>
              <w:rPr>
                <w:rFonts w:hint="eastAsia" w:cs="宋体"/>
                <w:color w:val="auto"/>
                <w:sz w:val="24"/>
                <w:lang w:eastAsia="zh-CN"/>
              </w:rPr>
              <w:t>。</w:t>
            </w:r>
          </w:p>
          <w:p w14:paraId="528BD5DB">
            <w:pPr>
              <w:spacing w:line="360" w:lineRule="auto"/>
              <w:ind w:firstLine="480" w:firstLineChars="200"/>
              <w:rPr>
                <w:rFonts w:cs="宋体"/>
                <w:color w:val="auto"/>
                <w:sz w:val="24"/>
                <w:lang w:eastAsia="zh-CN"/>
              </w:rPr>
            </w:pPr>
            <w:r>
              <w:rPr>
                <w:rFonts w:hint="eastAsia" w:cs="宋体"/>
                <w:color w:val="auto"/>
                <w:sz w:val="24"/>
                <w:lang w:eastAsia="zh-CN"/>
              </w:rPr>
              <w:t>2.2所有拆除垃圾必须装袋运下楼，及时外运至政府指定的垃圾堆放点，禁止从高空直接抛撒、倾倒建筑垃圾。</w:t>
            </w:r>
          </w:p>
          <w:p w14:paraId="48C533F9">
            <w:pPr>
              <w:spacing w:line="360" w:lineRule="auto"/>
              <w:ind w:firstLine="480" w:firstLineChars="200"/>
              <w:rPr>
                <w:rFonts w:cs="宋体"/>
                <w:color w:val="auto"/>
                <w:sz w:val="24"/>
                <w:lang w:eastAsia="zh-CN"/>
              </w:rPr>
            </w:pPr>
            <w:r>
              <w:rPr>
                <w:rFonts w:hint="eastAsia" w:cs="宋体"/>
                <w:color w:val="auto"/>
                <w:sz w:val="24"/>
                <w:lang w:eastAsia="zh-CN"/>
              </w:rPr>
              <w:t>2.3运输工程材料的车辆在校园内应限速通行，尽量避开学生上下课和用餐人流高峰。</w:t>
            </w:r>
          </w:p>
          <w:p w14:paraId="0B5BDB23">
            <w:pPr>
              <w:spacing w:line="360" w:lineRule="auto"/>
              <w:ind w:firstLine="480" w:firstLineChars="200"/>
              <w:rPr>
                <w:rFonts w:cs="宋体"/>
                <w:color w:val="auto"/>
                <w:sz w:val="24"/>
                <w:lang w:eastAsia="zh-CN"/>
              </w:rPr>
            </w:pPr>
            <w:r>
              <w:rPr>
                <w:rFonts w:hint="eastAsia" w:cs="宋体"/>
                <w:color w:val="auto"/>
                <w:sz w:val="24"/>
                <w:lang w:eastAsia="zh-CN"/>
              </w:rPr>
              <w:t>2.4供应商须保持好施工范围及相关场地的环境卫生，施工车辆应进行除尘清洗，如有破坏财物、污染环境的情况，</w:t>
            </w:r>
            <w:r>
              <w:rPr>
                <w:rFonts w:hint="eastAsia" w:ascii="宋体" w:hAnsi="宋体" w:cs="宋体"/>
                <w:color w:val="auto"/>
                <w:sz w:val="24"/>
                <w:lang w:eastAsia="zh-CN"/>
              </w:rPr>
              <w:t>供应商须</w:t>
            </w:r>
            <w:r>
              <w:rPr>
                <w:rFonts w:hint="eastAsia" w:cs="宋体"/>
                <w:color w:val="auto"/>
                <w:sz w:val="24"/>
                <w:lang w:eastAsia="zh-CN"/>
              </w:rPr>
              <w:t>无条件及时修复。</w:t>
            </w:r>
            <w:r>
              <w:rPr>
                <w:rFonts w:ascii="宋体" w:hAnsi="宋体" w:cs="宋体"/>
                <w:color w:val="auto"/>
                <w:sz w:val="24"/>
                <w:lang w:eastAsia="zh-CN"/>
              </w:rPr>
              <w:t>若供应商逾期未整改修复，</w:t>
            </w:r>
            <w:r>
              <w:rPr>
                <w:rFonts w:hint="eastAsia" w:ascii="宋体" w:hAnsi="宋体" w:cs="宋体"/>
                <w:color w:val="auto"/>
                <w:sz w:val="24"/>
                <w:lang w:eastAsia="zh-CN"/>
              </w:rPr>
              <w:t>采购人有权</w:t>
            </w:r>
            <w:r>
              <w:rPr>
                <w:rFonts w:hint="eastAsia" w:cs="宋体"/>
                <w:color w:val="auto"/>
                <w:sz w:val="24"/>
                <w:lang w:eastAsia="zh-CN"/>
              </w:rPr>
              <w:t>安排队伍修复，</w:t>
            </w:r>
            <w:r>
              <w:rPr>
                <w:rFonts w:ascii="宋体" w:hAnsi="宋体" w:cs="宋体"/>
                <w:color w:val="auto"/>
                <w:sz w:val="24"/>
                <w:lang w:eastAsia="zh-CN"/>
              </w:rPr>
              <w:t>所产生的一切费用均由供应商承担，采购人直接在工程结算款</w:t>
            </w:r>
            <w:r>
              <w:rPr>
                <w:rFonts w:hint="eastAsia" w:ascii="宋体" w:hAnsi="宋体" w:cs="宋体"/>
                <w:color w:val="auto"/>
                <w:sz w:val="24"/>
                <w:lang w:eastAsia="zh-CN"/>
              </w:rPr>
              <w:t>、履约保证金或工程质保金中</w:t>
            </w:r>
            <w:r>
              <w:rPr>
                <w:rFonts w:ascii="宋体" w:hAnsi="宋体" w:cs="宋体"/>
                <w:color w:val="auto"/>
                <w:sz w:val="24"/>
                <w:lang w:eastAsia="zh-CN"/>
              </w:rPr>
              <w:t>扣除。</w:t>
            </w:r>
          </w:p>
          <w:p w14:paraId="4C1F3DD1">
            <w:pPr>
              <w:spacing w:line="360" w:lineRule="auto"/>
              <w:ind w:firstLine="480" w:firstLineChars="200"/>
              <w:rPr>
                <w:rFonts w:hint="eastAsia" w:cs="宋体"/>
                <w:color w:val="auto"/>
                <w:sz w:val="24"/>
                <w:lang w:eastAsia="zh-CN"/>
              </w:rPr>
            </w:pPr>
            <w:r>
              <w:rPr>
                <w:rFonts w:hint="eastAsia" w:cs="宋体"/>
                <w:color w:val="auto"/>
                <w:sz w:val="24"/>
                <w:lang w:eastAsia="zh-CN"/>
              </w:rPr>
              <w:t>2.5</w:t>
            </w:r>
            <w:r>
              <w:rPr>
                <w:rFonts w:hint="eastAsia" w:ascii="宋体" w:hAnsi="宋体" w:cs="宋体"/>
                <w:color w:val="auto"/>
                <w:sz w:val="24"/>
                <w:lang w:eastAsia="zh-CN"/>
              </w:rPr>
              <w:t>若供应商存在不文明施工行为，应按合同约定向</w:t>
            </w:r>
            <w:r>
              <w:rPr>
                <w:rFonts w:ascii="宋体" w:hAnsi="宋体" w:cs="宋体"/>
                <w:color w:val="auto"/>
                <w:sz w:val="24"/>
                <w:lang w:eastAsia="zh-CN"/>
              </w:rPr>
              <w:t>采购人</w:t>
            </w:r>
            <w:r>
              <w:rPr>
                <w:rFonts w:hint="eastAsia" w:ascii="宋体" w:hAnsi="宋体" w:cs="宋体"/>
                <w:color w:val="auto"/>
                <w:sz w:val="24"/>
                <w:lang w:eastAsia="zh-CN"/>
              </w:rPr>
              <w:t>支付违约金，标准为</w:t>
            </w:r>
            <w:r>
              <w:rPr>
                <w:rFonts w:ascii="宋体" w:hAnsi="宋体" w:cs="宋体"/>
                <w:color w:val="auto"/>
                <w:sz w:val="24"/>
                <w:lang w:eastAsia="zh-CN"/>
              </w:rPr>
              <w:t>5000</w:t>
            </w:r>
            <w:r>
              <w:rPr>
                <w:rFonts w:hint="eastAsia" w:ascii="宋体" w:hAnsi="宋体" w:cs="宋体"/>
                <w:color w:val="auto"/>
                <w:sz w:val="24"/>
                <w:lang w:eastAsia="zh-CN"/>
              </w:rPr>
              <w:t>元</w:t>
            </w:r>
            <w:r>
              <w:rPr>
                <w:rFonts w:ascii="宋体" w:hAnsi="宋体" w:cs="宋体"/>
                <w:color w:val="auto"/>
                <w:sz w:val="24"/>
                <w:lang w:eastAsia="zh-CN"/>
              </w:rPr>
              <w:t>/</w:t>
            </w:r>
            <w:r>
              <w:rPr>
                <w:rFonts w:hint="eastAsia" w:ascii="宋体" w:hAnsi="宋体" w:cs="宋体"/>
                <w:color w:val="auto"/>
                <w:sz w:val="24"/>
                <w:lang w:eastAsia="zh-CN"/>
              </w:rPr>
              <w:t>次。该违约金可直接从工程进度款或结算款中扣除。</w:t>
            </w:r>
          </w:p>
        </w:tc>
      </w:tr>
      <w:tr w14:paraId="1A2A63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jc w:val="center"/>
        </w:trPr>
        <w:tc>
          <w:tcPr>
            <w:tcW w:w="467" w:type="pct"/>
            <w:noWrap w:val="0"/>
            <w:vAlign w:val="center"/>
          </w:tcPr>
          <w:p w14:paraId="4C910C3E">
            <w:pPr>
              <w:spacing w:line="360" w:lineRule="auto"/>
              <w:jc w:val="center"/>
              <w:rPr>
                <w:rFonts w:hint="eastAsia" w:ascii="宋体" w:hAnsi="宋体" w:cs="仿宋"/>
                <w:color w:val="auto"/>
                <w:sz w:val="24"/>
              </w:rPr>
            </w:pPr>
            <w:r>
              <w:rPr>
                <w:rFonts w:hint="eastAsia" w:ascii="宋体" w:hAnsi="宋体" w:cs="仿宋"/>
                <w:color w:val="auto"/>
                <w:sz w:val="24"/>
              </w:rPr>
              <w:t>5</w:t>
            </w:r>
          </w:p>
        </w:tc>
        <w:tc>
          <w:tcPr>
            <w:tcW w:w="924" w:type="pct"/>
            <w:noWrap w:val="0"/>
            <w:vAlign w:val="center"/>
          </w:tcPr>
          <w:p w14:paraId="62088C13">
            <w:pPr>
              <w:spacing w:line="360" w:lineRule="auto"/>
              <w:jc w:val="center"/>
              <w:rPr>
                <w:rFonts w:ascii="宋体" w:hAnsi="宋体" w:cs="仿宋"/>
                <w:color w:val="auto"/>
                <w:sz w:val="24"/>
              </w:rPr>
            </w:pPr>
            <w:r>
              <w:rPr>
                <w:rFonts w:hint="eastAsia" w:ascii="宋体" w:hAnsi="宋体" w:cs="仿宋"/>
                <w:color w:val="auto"/>
                <w:sz w:val="24"/>
              </w:rPr>
              <w:t>其他要求</w:t>
            </w:r>
          </w:p>
        </w:tc>
        <w:tc>
          <w:tcPr>
            <w:tcW w:w="3607" w:type="pct"/>
            <w:noWrap w:val="0"/>
            <w:vAlign w:val="top"/>
          </w:tcPr>
          <w:p w14:paraId="3A90D413">
            <w:pPr>
              <w:spacing w:line="360" w:lineRule="auto"/>
              <w:ind w:firstLine="480" w:firstLineChars="200"/>
              <w:rPr>
                <w:rFonts w:hint="eastAsia" w:ascii="宋体" w:hAnsi="宋体" w:cs="仿宋"/>
                <w:color w:val="auto"/>
                <w:sz w:val="24"/>
                <w:lang w:eastAsia="zh-CN"/>
              </w:rPr>
            </w:pPr>
            <w:r>
              <w:rPr>
                <w:rFonts w:hint="eastAsia" w:ascii="宋体" w:hAnsi="宋体" w:cs="仿宋"/>
                <w:color w:val="auto"/>
                <w:sz w:val="24"/>
                <w:lang w:eastAsia="zh-CN"/>
              </w:rPr>
              <w:t>1、本项目采用固定单价合同计价模式，材料不调差，合同单价为综合单价，已包含人工、材料、机械、安装、检测、验收及配套全部费用，除工程量清单另有明确约定外，项目总价已涵盖成交供应商为完成本合同工程，需承担的合同明示、隐含的全部责任、义务及常规风险等一切相关费用。</w:t>
            </w:r>
          </w:p>
          <w:p w14:paraId="4C6FD9B8">
            <w:pPr>
              <w:spacing w:line="360" w:lineRule="auto"/>
              <w:ind w:firstLine="480" w:firstLineChars="200"/>
              <w:rPr>
                <w:rFonts w:ascii="宋体" w:hAnsi="宋体" w:cs="仿宋"/>
                <w:color w:val="auto"/>
                <w:sz w:val="24"/>
                <w:lang w:eastAsia="zh-CN"/>
              </w:rPr>
            </w:pPr>
            <w:r>
              <w:rPr>
                <w:rFonts w:hint="eastAsia" w:ascii="宋体" w:hAnsi="宋体" w:cs="宋体"/>
                <w:color w:val="auto"/>
                <w:sz w:val="24"/>
                <w:lang w:eastAsia="zh-CN"/>
              </w:rPr>
              <w:t>2、</w:t>
            </w:r>
            <w:r>
              <w:rPr>
                <w:rFonts w:hint="eastAsia" w:ascii="宋体" w:hAnsi="宋体" w:cs="仿宋"/>
                <w:color w:val="auto"/>
                <w:sz w:val="24"/>
                <w:lang w:eastAsia="zh-CN"/>
              </w:rPr>
              <w:t>采购人如发现成交供应商以他人的名义响应、串通投标、以行贿手段谋取成交或者以其他弄虚作假方式骗取成交的以及所提供的资料有虚假的，由此造成的一切损失由成交供应商自行承担，同时磋商保证金或履约保证金不再返还,未付合同价款不再支付,</w:t>
            </w:r>
            <w:r>
              <w:rPr>
                <w:rFonts w:ascii="宋体" w:hAnsi="宋体" w:cs="仿宋"/>
                <w:color w:val="auto"/>
                <w:sz w:val="24"/>
                <w:lang w:eastAsia="zh-CN"/>
              </w:rPr>
              <w:t>采购人将相关情况报送本级财政部门，由财政部门依法列入不良行为记录名单，在一至三年内禁止参加政府采购活动</w:t>
            </w:r>
          </w:p>
        </w:tc>
      </w:tr>
    </w:tbl>
    <w:p w14:paraId="7031C93E">
      <w:pPr>
        <w:spacing w:line="360" w:lineRule="auto"/>
        <w:ind w:firstLine="480" w:firstLineChars="200"/>
        <w:rPr>
          <w:rFonts w:ascii="宋体" w:hAnsi="宋体" w:eastAsia="宋体" w:cs="仿宋"/>
          <w:color w:val="auto"/>
          <w:sz w:val="24"/>
          <w:lang w:eastAsia="zh-CN"/>
        </w:rPr>
      </w:pPr>
    </w:p>
    <w:p w14:paraId="29FDC578">
      <w:r>
        <w:rPr>
          <w:rFonts w:hint="eastAsia" w:ascii="宋体" w:hAnsi="宋体" w:eastAsia="宋体" w:cs="宋体"/>
          <w:b/>
          <w:color w:val="auto"/>
          <w:sz w:val="24"/>
          <w:szCs w:val="24"/>
          <w:highlight w:val="white"/>
          <w:lang w:eastAsia="zh-CN"/>
        </w:rPr>
        <w:t>注：以上技术规格（工程需求）条款为必须满足或优于项，否则作无效磋商响应处理。</w:t>
      </w:r>
      <w:bookmarkStart w:id="1" w:name="_GoBack"/>
      <w:bookmarkEnd w:id="1"/>
    </w:p>
    <w:sectPr>
      <w:pgSz w:w="11906" w:h="16838"/>
      <w:pgMar w:top="1440" w:right="1576" w:bottom="1440" w:left="1576"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0000000000000000000"/>
    <w:charset w:val="86"/>
    <w:family w:val="auto"/>
    <w:pitch w:val="default"/>
    <w:sig w:usb0="00000000" w:usb1="00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6966A6A"/>
    <w:rsid w:val="1CBD28EE"/>
    <w:rsid w:val="76966A6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6">
    <w:name w:val="Default Paragraph Font"/>
    <w:semiHidden/>
    <w:qFormat/>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Body Text"/>
    <w:basedOn w:val="1"/>
    <w:next w:val="1"/>
    <w:qFormat/>
    <w:uiPriority w:val="0"/>
    <w:rPr>
      <w:rFonts w:ascii="仿宋" w:hAnsi="仿宋" w:eastAsia="仿宋" w:cs="Times New Roman"/>
      <w:sz w:val="30"/>
      <w:szCs w:val="30"/>
    </w:rPr>
  </w:style>
  <w:style w:type="paragraph" w:styleId="3">
    <w:name w:val="footer"/>
    <w:basedOn w:val="1"/>
    <w:qFormat/>
    <w:uiPriority w:val="99"/>
    <w:pPr>
      <w:tabs>
        <w:tab w:val="center" w:pos="4153"/>
        <w:tab w:val="right" w:pos="8306"/>
      </w:tabs>
    </w:pPr>
    <w:rPr>
      <w:rFonts w:cs="Times New Roman"/>
      <w:sz w:val="18"/>
    </w:rPr>
  </w:style>
  <w:style w:type="paragraph" w:styleId="4">
    <w:name w:val="Body Text First Indent"/>
    <w:basedOn w:val="2"/>
    <w:qFormat/>
    <w:uiPriority w:val="0"/>
    <w:pPr>
      <w:ind w:firstLine="420" w:firstLineChars="100"/>
    </w:pPr>
    <w:rPr>
      <w:rFonts w:ascii="Times New Roman" w:hAnsi="Times New Roman" w:eastAsia="宋体"/>
      <w:snapToGrid/>
      <w:color w:val="auto"/>
      <w:sz w:val="20"/>
      <w:szCs w:val="20"/>
    </w:rPr>
  </w:style>
  <w:style w:type="character" w:styleId="7">
    <w:name w:val="Strong"/>
    <w:qFormat/>
    <w:uiPriority w:val="0"/>
    <w:rPr>
      <w:b/>
    </w:rPr>
  </w:style>
  <w:style w:type="paragraph" w:customStyle="1" w:styleId="8">
    <w:name w:val="_Style 56"/>
    <w:basedOn w:val="2"/>
    <w:next w:val="4"/>
    <w:unhideWhenUsed/>
    <w:qFormat/>
    <w:uiPriority w:val="99"/>
    <w:pPr>
      <w:widowControl w:val="0"/>
      <w:kinsoku/>
      <w:snapToGrid/>
      <w:ind w:firstLine="420" w:firstLineChars="100"/>
      <w:jc w:val="center"/>
    </w:pPr>
    <w:rPr>
      <w:rFonts w:ascii="Times New Roman" w:hAnsi="Times New Roman" w:eastAsia="仿宋_GB2312" w:cs="Times New Roman"/>
      <w:snapToGrid/>
      <w:color w:val="auto"/>
      <w:kern w:val="2"/>
      <w:sz w:val="32"/>
      <w:szCs w:val="32"/>
      <w:lang w:eastAsia="zh-CN"/>
    </w:rPr>
  </w:style>
  <w:style w:type="paragraph" w:customStyle="1" w:styleId="9">
    <w:name w:val="Body text|1"/>
    <w:basedOn w:val="1"/>
    <w:qFormat/>
    <w:uiPriority w:val="0"/>
    <w:pPr>
      <w:widowControl w:val="0"/>
      <w:spacing w:line="432" w:lineRule="auto"/>
      <w:ind w:firstLine="400"/>
    </w:pPr>
    <w:rPr>
      <w:rFonts w:ascii="宋体" w:hAnsi="宋体" w:eastAsia="宋体" w:cs="宋体"/>
      <w:sz w:val="30"/>
      <w:szCs w:val="30"/>
      <w:lang w:val="zh-TW" w:eastAsia="zh-TW" w:bidi="zh-TW"/>
    </w:rPr>
  </w:style>
  <w:style w:type="paragraph" w:customStyle="1" w:styleId="10">
    <w:name w:val="列表段落1"/>
    <w:basedOn w:val="1"/>
    <w:qFormat/>
    <w:uiPriority w:val="34"/>
    <w:pPr>
      <w:widowControl w:val="0"/>
      <w:kinsoku/>
      <w:autoSpaceDE/>
      <w:autoSpaceDN/>
      <w:adjustRightInd/>
      <w:snapToGrid/>
      <w:ind w:firstLine="420" w:firstLineChars="200"/>
      <w:jc w:val="both"/>
      <w:textAlignment w:val="auto"/>
    </w:pPr>
    <w:rPr>
      <w:rFonts w:ascii="Times New Roman" w:hAnsi="Times New Roman" w:eastAsia="宋体" w:cs="Times New Roman"/>
      <w:snapToGrid/>
      <w:color w:val="auto"/>
      <w:kern w:val="2"/>
      <w:szCs w:val="24"/>
      <w:lang w:eastAsia="zh-CN"/>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1934</Words>
  <Characters>1999</Characters>
  <Lines>0</Lines>
  <Paragraphs>0</Paragraphs>
  <TotalTime>0</TotalTime>
  <ScaleCrop>false</ScaleCrop>
  <LinksUpToDate>false</LinksUpToDate>
  <CharactersWithSpaces>2002</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2026-05-21T08:58:00Z</dcterms:created>
  <dc:creator>Administrator</dc:creator>
  <cp:lastModifiedBy>Administrator</cp:lastModifiedBy>
  <dcterms:modified xsi:type="dcterms:W3CDTF">2026-06-05T08:12:08Z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BC4404A46E41453F8F70E3335500423E_11</vt:lpwstr>
  </property>
  <property fmtid="{D5CDD505-2E9C-101B-9397-08002B2CF9AE}" pid="4" name="KSOTemplateDocerSaveRecord">
    <vt:lpwstr>eyJoZGlkIjoiMGE5MmMzMjVmNmQ5ZDM5ZDg3YjMyMmNjZDlhNmZlM2UiLCJ1c2VySWQiOiI1OTEyMDM3OTQifQ==</vt:lpwstr>
  </property>
</Properties>
</file>