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9AAD49">
      <w:pPr>
        <w:pageBreakBefore w:val="0"/>
        <w:widowControl w:val="0"/>
        <w:wordWrap/>
        <w:overflowPunct/>
        <w:topLinePunct w:val="0"/>
        <w:bidi w:val="0"/>
        <w:spacing w:before="63" w:line="224" w:lineRule="auto"/>
        <w:jc w:val="center"/>
        <w:rPr>
          <w:rFonts w:hint="eastAsia" w:ascii="宋体" w:hAnsi="宋体" w:eastAsia="宋体" w:cs="宋体"/>
          <w:color w:val="auto"/>
          <w:spacing w:val="9"/>
          <w:sz w:val="48"/>
          <w:szCs w:val="48"/>
          <w:highlight w:val="none"/>
          <w:lang w:eastAsia="zh-CN"/>
          <w14:textOutline w14:w="5791" w14:cap="sq" w14:cmpd="sng" w14:algn="ctr">
            <w14:solidFill>
              <w14:srgbClr w14:val="000000"/>
            </w14:solidFill>
            <w14:prstDash w14:val="solid"/>
            <w14:bevel/>
          </w14:textOutline>
        </w:rPr>
      </w:pPr>
      <w:r>
        <w:rPr>
          <w:rFonts w:hint="eastAsia" w:ascii="宋体" w:hAnsi="宋体" w:eastAsia="宋体" w:cs="宋体"/>
          <w:color w:val="auto"/>
          <w:spacing w:val="9"/>
          <w:sz w:val="48"/>
          <w:szCs w:val="48"/>
          <w:highlight w:val="none"/>
          <w:lang w:eastAsia="zh-CN"/>
          <w14:textOutline w14:w="5791" w14:cap="sq" w14:cmpd="sng" w14:algn="ctr">
            <w14:solidFill>
              <w14:srgbClr w14:val="000000"/>
            </w14:solidFill>
            <w14:prstDash w14:val="solid"/>
            <w14:bevel/>
          </w14:textOutline>
        </w:rPr>
        <w:t>采购需求</w:t>
      </w:r>
    </w:p>
    <w:p w14:paraId="1845A75D">
      <w:pPr>
        <w:pageBreakBefore w:val="0"/>
        <w:widowControl w:val="0"/>
        <w:wordWrap/>
        <w:overflowPunct/>
        <w:topLinePunct w:val="0"/>
        <w:bidi w:val="0"/>
        <w:spacing w:before="63" w:line="224" w:lineRule="auto"/>
        <w:jc w:val="center"/>
        <w:rPr>
          <w:rFonts w:hint="eastAsia" w:ascii="宋体" w:hAnsi="宋体" w:eastAsia="宋体" w:cs="宋体"/>
          <w:color w:val="auto"/>
          <w:spacing w:val="9"/>
          <w:sz w:val="48"/>
          <w:szCs w:val="48"/>
          <w:highlight w:val="none"/>
          <w:lang w:eastAsia="zh-CN"/>
          <w14:textOutline w14:w="5791" w14:cap="sq" w14:cmpd="sng" w14:algn="ctr">
            <w14:solidFill>
              <w14:srgbClr w14:val="000000"/>
            </w14:solidFill>
            <w14:prstDash w14:val="solid"/>
            <w14:bevel/>
          </w14:textOutline>
        </w:rPr>
      </w:pPr>
    </w:p>
    <w:p w14:paraId="39647FF4">
      <w:pPr>
        <w:pageBreakBefore w:val="0"/>
        <w:widowControl w:val="0"/>
        <w:wordWrap/>
        <w:overflowPunct/>
        <w:topLinePunct w:val="0"/>
        <w:bidi w:val="0"/>
        <w:spacing w:before="63" w:line="224" w:lineRule="auto"/>
        <w:jc w:val="center"/>
        <w:rPr>
          <w:rFonts w:hint="eastAsia" w:ascii="宋体" w:hAnsi="宋体" w:eastAsia="宋体" w:cs="宋体"/>
          <w:color w:val="auto"/>
          <w:spacing w:val="9"/>
          <w:sz w:val="48"/>
          <w:szCs w:val="48"/>
          <w:highlight w:val="none"/>
          <w:lang w:eastAsia="zh-CN"/>
          <w14:textOutline w14:w="5791" w14:cap="sq" w14:cmpd="sng" w14:algn="ctr">
            <w14:solidFill>
              <w14:srgbClr w14:val="000000"/>
            </w14:solidFill>
            <w14:prstDash w14:val="solid"/>
            <w14:bevel/>
          </w14:textOutline>
        </w:rPr>
      </w:pPr>
    </w:p>
    <w:p w14:paraId="04C376B3">
      <w:pPr>
        <w:pageBreakBefore w:val="0"/>
        <w:widowControl w:val="0"/>
        <w:wordWrap/>
        <w:overflowPunct/>
        <w:topLinePunct w:val="0"/>
        <w:bidi w:val="0"/>
        <w:spacing w:before="63" w:line="224" w:lineRule="auto"/>
        <w:jc w:val="center"/>
        <w:rPr>
          <w:rFonts w:hint="eastAsia" w:ascii="宋体" w:hAnsi="宋体" w:eastAsia="宋体" w:cs="宋体"/>
          <w:color w:val="auto"/>
          <w:spacing w:val="9"/>
          <w:sz w:val="48"/>
          <w:szCs w:val="48"/>
          <w:highlight w:val="none"/>
          <w:lang w:eastAsia="zh-CN"/>
          <w14:textOutline w14:w="5791" w14:cap="sq" w14:cmpd="sng" w14:algn="ctr">
            <w14:solidFill>
              <w14:srgbClr w14:val="000000"/>
            </w14:solidFill>
            <w14:prstDash w14:val="solid"/>
            <w14:bevel/>
          </w14:textOutline>
        </w:rPr>
      </w:pPr>
    </w:p>
    <w:p w14:paraId="475948C6">
      <w:pPr>
        <w:pageBreakBefore w:val="0"/>
        <w:widowControl w:val="0"/>
        <w:wordWrap/>
        <w:overflowPunct/>
        <w:topLinePunct w:val="0"/>
        <w:bidi w:val="0"/>
        <w:spacing w:line="309" w:lineRule="auto"/>
        <w:jc w:val="center"/>
        <w:rPr>
          <w:color w:val="auto"/>
          <w:highlight w:val="none"/>
          <w:lang w:eastAsia="zh-CN"/>
        </w:rPr>
      </w:pPr>
    </w:p>
    <w:p w14:paraId="6FE2596A">
      <w:pPr>
        <w:pageBreakBefore w:val="0"/>
        <w:widowControl w:val="0"/>
        <w:wordWrap/>
        <w:overflowPunct/>
        <w:topLinePunct w:val="0"/>
        <w:bidi w:val="0"/>
        <w:spacing w:before="78" w:line="220" w:lineRule="auto"/>
        <w:jc w:val="both"/>
        <w:outlineLvl w:val="1"/>
        <w:rPr>
          <w:rFonts w:ascii="宋体" w:hAnsi="宋体" w:eastAsia="宋体" w:cs="宋体"/>
          <w:color w:val="auto"/>
          <w:sz w:val="24"/>
          <w:szCs w:val="24"/>
          <w:highlight w:val="none"/>
        </w:rPr>
      </w:pP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需求表</w:t>
      </w:r>
    </w:p>
    <w:p w14:paraId="1A6B7285">
      <w:pPr>
        <w:pageBreakBefore w:val="0"/>
        <w:widowControl w:val="0"/>
        <w:wordWrap/>
        <w:overflowPunct/>
        <w:topLinePunct w:val="0"/>
        <w:bidi w:val="0"/>
        <w:spacing w:before="64"/>
        <w:rPr>
          <w:color w:val="auto"/>
          <w:highlight w:val="none"/>
        </w:rPr>
      </w:pPr>
    </w:p>
    <w:tbl>
      <w:tblPr>
        <w:tblStyle w:val="9"/>
        <w:tblW w:w="9015" w:type="dxa"/>
        <w:tblInd w:w="-30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817"/>
        <w:gridCol w:w="6150"/>
      </w:tblGrid>
      <w:tr w14:paraId="42C8222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2048" w:type="dxa"/>
            <w:tcBorders>
              <w:right w:val="nil"/>
            </w:tcBorders>
          </w:tcPr>
          <w:p w14:paraId="6B7626CE">
            <w:pPr>
              <w:pageBreakBefore w:val="0"/>
              <w:widowControl w:val="0"/>
              <w:wordWrap/>
              <w:overflowPunct/>
              <w:topLinePunct w:val="0"/>
              <w:bidi w:val="0"/>
              <w:spacing w:before="183" w:line="223" w:lineRule="auto"/>
              <w:ind w:left="1091"/>
              <w:rPr>
                <w:rFonts w:ascii="宋体" w:hAnsi="宋体" w:eastAsia="宋体" w:cs="宋体"/>
                <w:color w:val="auto"/>
                <w:sz w:val="24"/>
                <w:szCs w:val="24"/>
                <w:highlight w:val="none"/>
              </w:rPr>
            </w:pPr>
            <w:r>
              <w:rPr>
                <w:color w:val="auto"/>
                <w:highlight w:val="none"/>
              </w:rPr>
              <w:drawing>
                <wp:anchor distT="0" distB="0" distL="0" distR="0" simplePos="0" relativeHeight="251660288" behindDoc="1" locked="0" layoutInCell="1" allowOverlap="1">
                  <wp:simplePos x="0" y="0"/>
                  <wp:positionH relativeFrom="column">
                    <wp:posOffset>6985</wp:posOffset>
                  </wp:positionH>
                  <wp:positionV relativeFrom="paragraph">
                    <wp:posOffset>0</wp:posOffset>
                  </wp:positionV>
                  <wp:extent cx="1805305" cy="1485265"/>
                  <wp:effectExtent l="0" t="0" r="4445" b="63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5"/>
                          <a:stretch>
                            <a:fillRect/>
                          </a:stretch>
                        </pic:blipFill>
                        <pic:spPr>
                          <a:xfrm>
                            <a:off x="0" y="0"/>
                            <a:ext cx="1805051" cy="1485442"/>
                          </a:xfrm>
                          <a:prstGeom prst="rect">
                            <a:avLst/>
                          </a:prstGeom>
                        </pic:spPr>
                      </pic:pic>
                    </a:graphicData>
                  </a:graphic>
                </wp:anchor>
              </w:drawing>
            </w:r>
            <w:r>
              <w:rPr>
                <w:rFonts w:ascii="宋体" w:hAnsi="宋体" w:eastAsia="宋体" w:cs="宋体"/>
                <w:color w:val="auto"/>
                <w:sz w:val="24"/>
                <w:szCs w:val="24"/>
                <w:highlight w:val="none"/>
              </w:rPr>
              <w:t>名</w:t>
            </w:r>
          </w:p>
          <w:p w14:paraId="3356EBD4">
            <w:pPr>
              <w:pStyle w:val="10"/>
              <w:pageBreakBefore w:val="0"/>
              <w:widowControl w:val="0"/>
              <w:wordWrap/>
              <w:overflowPunct/>
              <w:topLinePunct w:val="0"/>
              <w:bidi w:val="0"/>
              <w:spacing w:line="245" w:lineRule="auto"/>
              <w:rPr>
                <w:color w:val="auto"/>
                <w:highlight w:val="none"/>
              </w:rPr>
            </w:pPr>
          </w:p>
          <w:p w14:paraId="0FB92D9B">
            <w:pPr>
              <w:pStyle w:val="10"/>
              <w:pageBreakBefore w:val="0"/>
              <w:widowControl w:val="0"/>
              <w:wordWrap/>
              <w:overflowPunct/>
              <w:topLinePunct w:val="0"/>
              <w:bidi w:val="0"/>
              <w:spacing w:line="246" w:lineRule="auto"/>
              <w:rPr>
                <w:color w:val="auto"/>
                <w:highlight w:val="none"/>
              </w:rPr>
            </w:pPr>
          </w:p>
          <w:p w14:paraId="0561489F">
            <w:pPr>
              <w:pageBreakBefore w:val="0"/>
              <w:widowControl w:val="0"/>
              <w:wordWrap/>
              <w:overflowPunct/>
              <w:topLinePunct w:val="0"/>
              <w:bidi w:val="0"/>
              <w:spacing w:before="78" w:line="219" w:lineRule="auto"/>
              <w:ind w:left="481"/>
              <w:rPr>
                <w:rFonts w:ascii="宋体" w:hAnsi="宋体" w:eastAsia="宋体" w:cs="宋体"/>
                <w:color w:val="auto"/>
                <w:sz w:val="24"/>
                <w:szCs w:val="24"/>
                <w:highlight w:val="none"/>
              </w:rPr>
            </w:pPr>
            <w:r>
              <w:rPr>
                <w:rFonts w:ascii="宋体" w:hAnsi="宋体" w:eastAsia="宋体" w:cs="宋体"/>
                <w:color w:val="auto"/>
                <w:sz w:val="24"/>
                <w:szCs w:val="24"/>
                <w:highlight w:val="none"/>
              </w:rPr>
              <w:t>内</w:t>
            </w:r>
          </w:p>
          <w:p w14:paraId="78C79906">
            <w:pPr>
              <w:pStyle w:val="10"/>
              <w:pageBreakBefore w:val="0"/>
              <w:widowControl w:val="0"/>
              <w:wordWrap/>
              <w:overflowPunct/>
              <w:topLinePunct w:val="0"/>
              <w:bidi w:val="0"/>
              <w:spacing w:line="338" w:lineRule="auto"/>
              <w:rPr>
                <w:color w:val="auto"/>
                <w:highlight w:val="none"/>
              </w:rPr>
            </w:pPr>
          </w:p>
          <w:p w14:paraId="0FE1965E">
            <w:pPr>
              <w:pageBreakBefore w:val="0"/>
              <w:widowControl w:val="0"/>
              <w:wordWrap/>
              <w:overflowPunct/>
              <w:topLinePunct w:val="0"/>
              <w:bidi w:val="0"/>
              <w:spacing w:before="78" w:line="220" w:lineRule="auto"/>
              <w:ind w:left="1311"/>
              <w:rPr>
                <w:rFonts w:ascii="宋体" w:hAnsi="宋体" w:eastAsia="宋体" w:cs="宋体"/>
                <w:color w:val="auto"/>
                <w:sz w:val="24"/>
                <w:szCs w:val="24"/>
                <w:highlight w:val="none"/>
              </w:rPr>
            </w:pPr>
            <w:r>
              <w:rPr>
                <w:rFonts w:ascii="宋体" w:hAnsi="宋体" w:eastAsia="宋体" w:cs="宋体"/>
                <w:color w:val="auto"/>
                <w:sz w:val="24"/>
                <w:szCs w:val="24"/>
                <w:highlight w:val="none"/>
              </w:rPr>
              <w:t>容</w:t>
            </w:r>
          </w:p>
        </w:tc>
        <w:tc>
          <w:tcPr>
            <w:tcW w:w="817" w:type="dxa"/>
            <w:tcBorders>
              <w:left w:val="nil"/>
            </w:tcBorders>
          </w:tcPr>
          <w:p w14:paraId="3C98F484">
            <w:pPr>
              <w:pStyle w:val="10"/>
              <w:pageBreakBefore w:val="0"/>
              <w:widowControl w:val="0"/>
              <w:wordWrap/>
              <w:overflowPunct/>
              <w:topLinePunct w:val="0"/>
              <w:bidi w:val="0"/>
              <w:spacing w:line="263" w:lineRule="auto"/>
              <w:rPr>
                <w:color w:val="auto"/>
                <w:highlight w:val="none"/>
              </w:rPr>
            </w:pPr>
          </w:p>
          <w:p w14:paraId="1999EABC">
            <w:pPr>
              <w:pStyle w:val="10"/>
              <w:pageBreakBefore w:val="0"/>
              <w:widowControl w:val="0"/>
              <w:wordWrap/>
              <w:overflowPunct/>
              <w:topLinePunct w:val="0"/>
              <w:bidi w:val="0"/>
              <w:spacing w:line="263" w:lineRule="auto"/>
              <w:rPr>
                <w:color w:val="auto"/>
                <w:highlight w:val="none"/>
              </w:rPr>
            </w:pPr>
          </w:p>
          <w:p w14:paraId="055C3F03">
            <w:pPr>
              <w:pStyle w:val="10"/>
              <w:pageBreakBefore w:val="0"/>
              <w:widowControl w:val="0"/>
              <w:wordWrap/>
              <w:overflowPunct/>
              <w:topLinePunct w:val="0"/>
              <w:bidi w:val="0"/>
              <w:spacing w:line="264" w:lineRule="auto"/>
              <w:rPr>
                <w:color w:val="auto"/>
                <w:highlight w:val="none"/>
              </w:rPr>
            </w:pPr>
          </w:p>
          <w:p w14:paraId="09F72D7B">
            <w:pPr>
              <w:pageBreakBefore w:val="0"/>
              <w:widowControl w:val="0"/>
              <w:wordWrap/>
              <w:overflowPunct/>
              <w:topLinePunct w:val="0"/>
              <w:bidi w:val="0"/>
              <w:spacing w:before="78" w:line="221" w:lineRule="auto"/>
              <w:ind w:left="192"/>
              <w:rPr>
                <w:rFonts w:ascii="宋体" w:hAnsi="宋体" w:eastAsia="宋体" w:cs="宋体"/>
                <w:color w:val="auto"/>
                <w:sz w:val="24"/>
                <w:szCs w:val="24"/>
                <w:highlight w:val="none"/>
              </w:rPr>
            </w:pPr>
            <w:r>
              <w:rPr>
                <w:rFonts w:ascii="宋体" w:hAnsi="宋体" w:eastAsia="宋体" w:cs="宋体"/>
                <w:color w:val="auto"/>
                <w:sz w:val="24"/>
                <w:szCs w:val="24"/>
                <w:highlight w:val="none"/>
              </w:rPr>
              <w:t>称</w:t>
            </w:r>
          </w:p>
        </w:tc>
        <w:tc>
          <w:tcPr>
            <w:tcW w:w="6150" w:type="dxa"/>
          </w:tcPr>
          <w:p w14:paraId="2C81501B">
            <w:pPr>
              <w:pStyle w:val="10"/>
              <w:pageBreakBefore w:val="0"/>
              <w:widowControl w:val="0"/>
              <w:wordWrap/>
              <w:overflowPunct/>
              <w:topLinePunct w:val="0"/>
              <w:bidi w:val="0"/>
              <w:rPr>
                <w:rFonts w:hint="eastAsia"/>
                <w:color w:val="auto"/>
                <w:highlight w:val="none"/>
                <w:lang w:val="en-US" w:eastAsia="zh-CN"/>
              </w:rPr>
            </w:pPr>
          </w:p>
          <w:p w14:paraId="73B73E68">
            <w:pPr>
              <w:pStyle w:val="10"/>
              <w:pageBreakBefore w:val="0"/>
              <w:widowControl w:val="0"/>
              <w:wordWrap/>
              <w:overflowPunct/>
              <w:topLinePunct w:val="0"/>
              <w:bidi w:val="0"/>
              <w:rPr>
                <w:rFonts w:hint="eastAsia"/>
                <w:color w:val="auto"/>
                <w:highlight w:val="none"/>
                <w:lang w:val="en-US" w:eastAsia="zh-CN"/>
              </w:rPr>
            </w:pPr>
          </w:p>
          <w:p w14:paraId="79F1FD51">
            <w:pPr>
              <w:pStyle w:val="10"/>
              <w:pageBreakBefore w:val="0"/>
              <w:widowControl w:val="0"/>
              <w:wordWrap/>
              <w:overflowPunct/>
              <w:topLinePunct w:val="0"/>
              <w:bidi w:val="0"/>
              <w:rPr>
                <w:rFonts w:hint="eastAsia"/>
                <w:color w:val="auto"/>
                <w:highlight w:val="none"/>
                <w:lang w:val="en-US" w:eastAsia="zh-CN"/>
              </w:rPr>
            </w:pPr>
          </w:p>
          <w:p w14:paraId="35278759">
            <w:pPr>
              <w:pStyle w:val="10"/>
              <w:pageBreakBefore w:val="0"/>
              <w:widowControl w:val="0"/>
              <w:wordWrap/>
              <w:overflowPunct/>
              <w:topLinePunct w:val="0"/>
              <w:bidi w:val="0"/>
              <w:rPr>
                <w:rFonts w:hint="eastAsia"/>
                <w:color w:val="auto"/>
                <w:highlight w:val="none"/>
                <w:lang w:val="en-US" w:eastAsia="zh-CN"/>
              </w:rPr>
            </w:pPr>
          </w:p>
          <w:p w14:paraId="38B3E5A8">
            <w:pPr>
              <w:pStyle w:val="10"/>
              <w:pageBreakBefore w:val="0"/>
              <w:widowControl w:val="0"/>
              <w:wordWrap/>
              <w:overflowPunct/>
              <w:topLinePunct w:val="0"/>
              <w:bidi w:val="0"/>
              <w:rPr>
                <w:rFonts w:hint="default"/>
                <w:color w:val="auto"/>
                <w:sz w:val="24"/>
                <w:szCs w:val="24"/>
                <w:highlight w:val="none"/>
                <w:lang w:val="en-US" w:eastAsia="zh-CN"/>
              </w:rPr>
            </w:pPr>
            <w:r>
              <w:rPr>
                <w:rFonts w:hint="eastAsia"/>
                <w:color w:val="auto"/>
                <w:sz w:val="24"/>
                <w:szCs w:val="24"/>
                <w:highlight w:val="none"/>
                <w:lang w:val="en-US" w:eastAsia="zh-CN"/>
              </w:rPr>
              <w:t xml:space="preserve">抚州市东乡区2025年度全区国土变更调查及日常变更调查工作采购项目 </w:t>
            </w:r>
            <w:r>
              <w:rPr>
                <w:color w:val="auto"/>
                <w:sz w:val="24"/>
                <w:szCs w:val="24"/>
                <w:highlight w:val="none"/>
                <w:lang w:eastAsia="zh-CN"/>
              </w:rPr>
              <w:t xml:space="preserve"> </w:t>
            </w:r>
            <w:r>
              <w:rPr>
                <w:rFonts w:hint="eastAsia"/>
                <w:color w:val="auto"/>
                <w:sz w:val="24"/>
                <w:szCs w:val="24"/>
                <w:highlight w:val="none"/>
                <w:lang w:val="en-US" w:eastAsia="zh-CN"/>
              </w:rPr>
              <w:t xml:space="preserve">  </w:t>
            </w:r>
          </w:p>
          <w:p w14:paraId="457681DF">
            <w:pPr>
              <w:pStyle w:val="10"/>
              <w:pageBreakBefore w:val="0"/>
              <w:widowControl w:val="0"/>
              <w:wordWrap/>
              <w:overflowPunct/>
              <w:topLinePunct w:val="0"/>
              <w:bidi w:val="0"/>
              <w:rPr>
                <w:color w:val="auto"/>
                <w:highlight w:val="none"/>
              </w:rPr>
            </w:pPr>
          </w:p>
        </w:tc>
      </w:tr>
      <w:tr w14:paraId="37850D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337614AB">
            <w:pPr>
              <w:pageBreakBefore w:val="0"/>
              <w:widowControl w:val="0"/>
              <w:wordWrap/>
              <w:overflowPunct/>
              <w:topLinePunct w:val="0"/>
              <w:bidi w:val="0"/>
              <w:spacing w:before="253" w:line="219" w:lineRule="auto"/>
              <w:ind w:left="1188"/>
              <w:rPr>
                <w:rFonts w:ascii="宋体" w:hAnsi="宋体" w:eastAsia="宋体" w:cs="宋体"/>
                <w:color w:val="auto"/>
                <w:sz w:val="24"/>
                <w:szCs w:val="24"/>
                <w:highlight w:val="none"/>
              </w:rPr>
            </w:pPr>
            <w:r>
              <w:rPr>
                <w:rFonts w:ascii="宋体" w:hAnsi="宋体" w:eastAsia="宋体" w:cs="宋体"/>
                <w:color w:val="auto"/>
                <w:spacing w:val="-6"/>
                <w:sz w:val="24"/>
                <w:szCs w:val="24"/>
                <w:highlight w:val="none"/>
              </w:rPr>
              <w:t>数量</w:t>
            </w:r>
          </w:p>
        </w:tc>
        <w:tc>
          <w:tcPr>
            <w:tcW w:w="6150" w:type="dxa"/>
          </w:tcPr>
          <w:p w14:paraId="36C1964E">
            <w:pPr>
              <w:pStyle w:val="10"/>
              <w:pageBreakBefore w:val="0"/>
              <w:widowControl w:val="0"/>
              <w:wordWrap/>
              <w:overflowPunct/>
              <w:topLinePunct w:val="0"/>
              <w:bidi w:val="0"/>
              <w:jc w:val="center"/>
              <w:rPr>
                <w:rFonts w:hint="eastAsia" w:eastAsia="宋体"/>
                <w:color w:val="auto"/>
                <w:sz w:val="24"/>
                <w:szCs w:val="24"/>
                <w:highlight w:val="none"/>
                <w:lang w:val="en-US" w:eastAsia="zh-CN"/>
              </w:rPr>
            </w:pPr>
          </w:p>
          <w:p w14:paraId="536F5989">
            <w:pPr>
              <w:pStyle w:val="10"/>
              <w:pageBreakBefore w:val="0"/>
              <w:widowControl w:val="0"/>
              <w:wordWrap/>
              <w:overflowPunct/>
              <w:topLinePunct w:val="0"/>
              <w:bidi w:val="0"/>
              <w:jc w:val="center"/>
              <w:rPr>
                <w:rFonts w:hint="eastAsia" w:eastAsia="宋体"/>
                <w:color w:val="auto"/>
                <w:sz w:val="24"/>
                <w:szCs w:val="24"/>
                <w:highlight w:val="none"/>
                <w:lang w:val="en-US" w:eastAsia="zh-CN"/>
              </w:rPr>
            </w:pPr>
            <w:r>
              <w:rPr>
                <w:rFonts w:hint="eastAsia" w:eastAsia="宋体"/>
                <w:color w:val="auto"/>
                <w:sz w:val="24"/>
                <w:szCs w:val="24"/>
                <w:highlight w:val="none"/>
                <w:lang w:val="en-US" w:eastAsia="zh-CN"/>
              </w:rPr>
              <w:t>1</w:t>
            </w:r>
          </w:p>
        </w:tc>
      </w:tr>
      <w:tr w14:paraId="01BFAA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010237C8">
            <w:pPr>
              <w:pageBreakBefore w:val="0"/>
              <w:widowControl w:val="0"/>
              <w:wordWrap/>
              <w:overflowPunct/>
              <w:topLinePunct w:val="0"/>
              <w:bidi w:val="0"/>
              <w:spacing w:before="253" w:line="219" w:lineRule="auto"/>
              <w:ind w:left="1071"/>
              <w:rPr>
                <w:rFonts w:ascii="宋体" w:hAnsi="宋体" w:eastAsia="宋体" w:cs="宋体"/>
                <w:color w:val="auto"/>
                <w:sz w:val="24"/>
                <w:szCs w:val="24"/>
                <w:highlight w:val="none"/>
              </w:rPr>
            </w:pPr>
            <w:r>
              <w:rPr>
                <w:rFonts w:hint="eastAsia" w:ascii="宋体" w:hAnsi="宋体" w:eastAsia="宋体" w:cs="宋体"/>
                <w:color w:val="auto"/>
                <w:spacing w:val="-5"/>
                <w:sz w:val="24"/>
                <w:szCs w:val="24"/>
                <w:highlight w:val="none"/>
                <w:lang w:val="en-US" w:eastAsia="zh-CN"/>
              </w:rPr>
              <w:t>服务</w:t>
            </w:r>
            <w:r>
              <w:rPr>
                <w:rFonts w:ascii="宋体" w:hAnsi="宋体" w:eastAsia="宋体" w:cs="宋体"/>
                <w:color w:val="auto"/>
                <w:spacing w:val="-5"/>
                <w:sz w:val="24"/>
                <w:szCs w:val="24"/>
                <w:highlight w:val="none"/>
              </w:rPr>
              <w:t>期</w:t>
            </w:r>
          </w:p>
        </w:tc>
        <w:tc>
          <w:tcPr>
            <w:tcW w:w="6150" w:type="dxa"/>
          </w:tcPr>
          <w:p w14:paraId="38A076B2">
            <w:pPr>
              <w:pStyle w:val="10"/>
              <w:pageBreakBefore w:val="0"/>
              <w:widowControl w:val="0"/>
              <w:wordWrap/>
              <w:overflowPunct/>
              <w:topLinePunct w:val="0"/>
              <w:bidi w:val="0"/>
              <w:jc w:val="center"/>
              <w:rPr>
                <w:rFonts w:hint="eastAsia" w:eastAsia="宋体"/>
                <w:color w:val="auto"/>
                <w:sz w:val="24"/>
                <w:szCs w:val="24"/>
                <w:highlight w:val="none"/>
                <w:lang w:val="en-US" w:eastAsia="zh-CN"/>
              </w:rPr>
            </w:pPr>
          </w:p>
          <w:p w14:paraId="7BA1BF88">
            <w:pPr>
              <w:pStyle w:val="10"/>
              <w:pageBreakBefore w:val="0"/>
              <w:widowControl w:val="0"/>
              <w:wordWrap/>
              <w:overflowPunct/>
              <w:topLinePunct w:val="0"/>
              <w:bidi w:val="0"/>
              <w:jc w:val="center"/>
              <w:rPr>
                <w:rFonts w:hint="default" w:eastAsia="宋体"/>
                <w:color w:val="auto"/>
                <w:sz w:val="24"/>
                <w:szCs w:val="24"/>
                <w:highlight w:val="none"/>
                <w:lang w:val="en-US" w:eastAsia="zh-CN"/>
              </w:rPr>
            </w:pPr>
            <w:r>
              <w:rPr>
                <w:rFonts w:hint="eastAsia" w:eastAsia="宋体"/>
                <w:color w:val="auto"/>
                <w:sz w:val="24"/>
                <w:szCs w:val="24"/>
                <w:highlight w:val="none"/>
                <w:lang w:val="en-US" w:eastAsia="zh-CN"/>
              </w:rPr>
              <w:t>详见商务需求</w:t>
            </w:r>
          </w:p>
        </w:tc>
      </w:tr>
      <w:tr w14:paraId="0A0553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7C36297A">
            <w:pPr>
              <w:pageBreakBefore w:val="0"/>
              <w:widowControl w:val="0"/>
              <w:wordWrap/>
              <w:overflowPunct/>
              <w:topLinePunct w:val="0"/>
              <w:bidi w:val="0"/>
              <w:spacing w:before="256" w:line="219" w:lineRule="auto"/>
              <w:ind w:left="951"/>
              <w:rPr>
                <w:rFonts w:ascii="宋体" w:hAnsi="宋体" w:eastAsia="宋体" w:cs="宋体"/>
                <w:color w:val="auto"/>
                <w:sz w:val="24"/>
                <w:szCs w:val="24"/>
                <w:highlight w:val="none"/>
              </w:rPr>
            </w:pPr>
            <w:r>
              <w:rPr>
                <w:rFonts w:hint="eastAsia" w:ascii="宋体" w:hAnsi="宋体" w:eastAsia="宋体" w:cs="宋体"/>
                <w:color w:val="auto"/>
                <w:spacing w:val="-4"/>
                <w:sz w:val="24"/>
                <w:szCs w:val="24"/>
                <w:highlight w:val="none"/>
                <w:lang w:val="en-US" w:eastAsia="zh-CN"/>
              </w:rPr>
              <w:t>服务</w:t>
            </w:r>
            <w:r>
              <w:rPr>
                <w:rFonts w:ascii="宋体" w:hAnsi="宋体" w:eastAsia="宋体" w:cs="宋体"/>
                <w:color w:val="auto"/>
                <w:spacing w:val="-4"/>
                <w:sz w:val="24"/>
                <w:szCs w:val="24"/>
                <w:highlight w:val="none"/>
              </w:rPr>
              <w:t>地点</w:t>
            </w:r>
          </w:p>
        </w:tc>
        <w:tc>
          <w:tcPr>
            <w:tcW w:w="6150" w:type="dxa"/>
          </w:tcPr>
          <w:p w14:paraId="2C161CD8">
            <w:pPr>
              <w:pStyle w:val="10"/>
              <w:pageBreakBefore w:val="0"/>
              <w:widowControl w:val="0"/>
              <w:wordWrap/>
              <w:overflowPunct/>
              <w:topLinePunct w:val="0"/>
              <w:bidi w:val="0"/>
              <w:jc w:val="center"/>
              <w:rPr>
                <w:rFonts w:hint="eastAsia" w:eastAsia="宋体"/>
                <w:color w:val="auto"/>
                <w:sz w:val="24"/>
                <w:szCs w:val="24"/>
                <w:highlight w:val="none"/>
                <w:lang w:val="en-US" w:eastAsia="zh-CN"/>
              </w:rPr>
            </w:pPr>
          </w:p>
          <w:p w14:paraId="6D87C2A7">
            <w:pPr>
              <w:pStyle w:val="10"/>
              <w:pageBreakBefore w:val="0"/>
              <w:widowControl w:val="0"/>
              <w:wordWrap/>
              <w:overflowPunct/>
              <w:topLinePunct w:val="0"/>
              <w:bidi w:val="0"/>
              <w:jc w:val="center"/>
              <w:rPr>
                <w:rFonts w:hint="default" w:eastAsia="宋体"/>
                <w:color w:val="auto"/>
                <w:sz w:val="24"/>
                <w:szCs w:val="24"/>
                <w:highlight w:val="none"/>
                <w:lang w:val="en-US" w:eastAsia="zh-CN"/>
              </w:rPr>
            </w:pPr>
            <w:r>
              <w:rPr>
                <w:rFonts w:hint="eastAsia" w:eastAsia="宋体"/>
                <w:color w:val="auto"/>
                <w:sz w:val="24"/>
                <w:szCs w:val="24"/>
                <w:highlight w:val="none"/>
                <w:lang w:val="en-US" w:eastAsia="zh-CN"/>
              </w:rPr>
              <w:t>采购人指定地点</w:t>
            </w:r>
          </w:p>
        </w:tc>
      </w:tr>
      <w:tr w14:paraId="1ACA53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865" w:type="dxa"/>
            <w:gridSpan w:val="2"/>
          </w:tcPr>
          <w:p w14:paraId="4EEED9FA">
            <w:pPr>
              <w:pageBreakBefore w:val="0"/>
              <w:widowControl w:val="0"/>
              <w:wordWrap/>
              <w:overflowPunct/>
              <w:topLinePunct w:val="0"/>
              <w:bidi w:val="0"/>
              <w:spacing w:before="256" w:line="221" w:lineRule="auto"/>
              <w:ind w:left="1189"/>
              <w:rPr>
                <w:rFonts w:ascii="宋体" w:hAnsi="宋体" w:eastAsia="宋体" w:cs="宋体"/>
                <w:color w:val="auto"/>
                <w:sz w:val="24"/>
                <w:szCs w:val="24"/>
                <w:highlight w:val="none"/>
              </w:rPr>
            </w:pPr>
            <w:r>
              <w:rPr>
                <w:rFonts w:ascii="宋体" w:hAnsi="宋体" w:eastAsia="宋体" w:cs="宋体"/>
                <w:color w:val="auto"/>
                <w:spacing w:val="-7"/>
                <w:sz w:val="24"/>
                <w:szCs w:val="24"/>
                <w:highlight w:val="none"/>
              </w:rPr>
              <w:t>备注</w:t>
            </w:r>
          </w:p>
        </w:tc>
        <w:tc>
          <w:tcPr>
            <w:tcW w:w="6150" w:type="dxa"/>
          </w:tcPr>
          <w:p w14:paraId="04286F12">
            <w:pPr>
              <w:pStyle w:val="10"/>
              <w:pageBreakBefore w:val="0"/>
              <w:widowControl w:val="0"/>
              <w:wordWrap/>
              <w:overflowPunct/>
              <w:topLinePunct w:val="0"/>
              <w:bidi w:val="0"/>
              <w:rPr>
                <w:color w:val="auto"/>
                <w:highlight w:val="none"/>
              </w:rPr>
            </w:pPr>
          </w:p>
        </w:tc>
      </w:tr>
    </w:tbl>
    <w:p w14:paraId="739AEACA">
      <w:pPr>
        <w:pageBreakBefore w:val="0"/>
        <w:widowControl w:val="0"/>
        <w:wordWrap/>
        <w:overflowPunct/>
        <w:topLinePunct w:val="0"/>
        <w:bidi w:val="0"/>
        <w:rPr>
          <w:color w:val="auto"/>
          <w:highlight w:val="none"/>
        </w:rPr>
      </w:pPr>
    </w:p>
    <w:p w14:paraId="29D0B8D7">
      <w:pPr>
        <w:pageBreakBefore w:val="0"/>
        <w:widowControl w:val="0"/>
        <w:wordWrap/>
        <w:overflowPunct/>
        <w:topLinePunct w:val="0"/>
        <w:bidi w:val="0"/>
        <w:rPr>
          <w:color w:val="auto"/>
          <w:highlight w:val="none"/>
        </w:rPr>
        <w:sectPr>
          <w:footerReference r:id="rId3" w:type="default"/>
          <w:pgSz w:w="11906" w:h="16839"/>
          <w:pgMar w:top="1232" w:right="1786" w:bottom="1156" w:left="1786" w:header="0" w:footer="994" w:gutter="0"/>
          <w:pgNumType w:fmt="decimal"/>
          <w:cols w:space="720" w:num="1"/>
        </w:sectPr>
      </w:pPr>
    </w:p>
    <w:p w14:paraId="54F3741A">
      <w:pPr>
        <w:pageBreakBefore w:val="0"/>
        <w:widowControl w:val="0"/>
        <w:wordWrap/>
        <w:overflowPunct/>
        <w:topLinePunct w:val="0"/>
        <w:bidi w:val="0"/>
        <w:spacing w:before="47" w:line="219" w:lineRule="auto"/>
        <w:ind w:left="3805"/>
        <w:outlineLvl w:val="1"/>
        <w:rPr>
          <w:rFonts w:ascii="宋体" w:hAnsi="宋体" w:eastAsia="宋体" w:cs="宋体"/>
          <w:color w:val="auto"/>
          <w:sz w:val="24"/>
          <w:szCs w:val="24"/>
          <w:highlight w:val="none"/>
        </w:rPr>
      </w:pPr>
      <w:bookmarkStart w:id="0" w:name="bookmark81"/>
      <w:bookmarkEnd w:id="0"/>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p>
    <w:p w14:paraId="7295BA6D">
      <w:pPr>
        <w:pageBreakBefore w:val="0"/>
        <w:widowControl w:val="0"/>
        <w:wordWrap/>
        <w:overflowPunct/>
        <w:topLinePunct w:val="0"/>
        <w:bidi w:val="0"/>
        <w:spacing w:line="258" w:lineRule="auto"/>
        <w:rPr>
          <w:color w:val="auto"/>
          <w:highlight w:val="none"/>
        </w:rPr>
      </w:pPr>
    </w:p>
    <w:p w14:paraId="0063E6D3">
      <w:pPr>
        <w:pageBreakBefore w:val="0"/>
        <w:widowControl w:val="0"/>
        <w:wordWrap/>
        <w:overflowPunct/>
        <w:topLinePunct w:val="0"/>
        <w:bidi w:val="0"/>
        <w:spacing w:line="258" w:lineRule="auto"/>
        <w:rPr>
          <w:b/>
          <w:bCs/>
          <w:color w:val="auto"/>
          <w:highlight w:val="none"/>
        </w:rPr>
      </w:pPr>
    </w:p>
    <w:p w14:paraId="46D0D95E">
      <w:pPr>
        <w:pageBreakBefore w:val="0"/>
        <w:widowControl w:val="0"/>
        <w:wordWrap/>
        <w:overflowPunct/>
        <w:topLinePunct w:val="0"/>
        <w:bidi w:val="0"/>
        <w:spacing w:before="78" w:line="219" w:lineRule="auto"/>
        <w:rPr>
          <w:b/>
          <w:bCs/>
          <w:color w:val="auto"/>
          <w:highlight w:val="none"/>
        </w:rPr>
      </w:pPr>
      <w:r>
        <w:rPr>
          <w:rFonts w:ascii="宋体" w:hAnsi="宋体" w:eastAsia="宋体" w:cs="宋体"/>
          <w:b/>
          <w:bCs/>
          <w:color w:val="auto"/>
          <w:spacing w:val="-5"/>
          <w:sz w:val="24"/>
          <w:szCs w:val="24"/>
          <w:highlight w:val="none"/>
        </w:rPr>
        <w:t>（一）</w:t>
      </w:r>
      <w:r>
        <w:rPr>
          <w:rFonts w:ascii="宋体" w:hAnsi="宋体" w:eastAsia="宋体" w:cs="宋体"/>
          <w:b/>
          <w:bCs/>
          <w:color w:val="auto"/>
          <w:spacing w:val="25"/>
          <w:sz w:val="24"/>
          <w:szCs w:val="24"/>
          <w:highlight w:val="none"/>
        </w:rPr>
        <w:t xml:space="preserve"> </w:t>
      </w:r>
      <w:r>
        <w:rPr>
          <w:rFonts w:hint="eastAsia" w:ascii="宋体" w:hAnsi="宋体" w:eastAsia="宋体" w:cs="宋体"/>
          <w:b/>
          <w:bCs/>
          <w:color w:val="auto"/>
          <w:spacing w:val="-5"/>
          <w:sz w:val="24"/>
          <w:szCs w:val="24"/>
          <w:highlight w:val="none"/>
          <w:lang w:val="en-US" w:eastAsia="zh-CN"/>
        </w:rPr>
        <w:t>服务要</w:t>
      </w:r>
      <w:r>
        <w:rPr>
          <w:rFonts w:ascii="宋体" w:hAnsi="宋体" w:eastAsia="宋体" w:cs="宋体"/>
          <w:b/>
          <w:bCs/>
          <w:color w:val="auto"/>
          <w:spacing w:val="-5"/>
          <w:sz w:val="24"/>
          <w:szCs w:val="24"/>
          <w:highlight w:val="none"/>
        </w:rPr>
        <w:t>求</w:t>
      </w:r>
    </w:p>
    <w:p w14:paraId="399FDEDB">
      <w:pPr>
        <w:pStyle w:val="2"/>
        <w:pageBreakBefore w:val="0"/>
        <w:wordWrap/>
        <w:overflowPunct/>
        <w:topLinePunct w:val="0"/>
        <w:bidi w:val="0"/>
        <w:spacing w:line="440" w:lineRule="exact"/>
        <w:rPr>
          <w:rFonts w:hint="eastAsia" w:ascii="宋体" w:hAnsi="宋体" w:eastAsia="宋体" w:cs="宋体"/>
          <w:b/>
          <w:bCs/>
          <w:color w:val="auto"/>
          <w:sz w:val="21"/>
          <w:szCs w:val="21"/>
        </w:rPr>
      </w:pPr>
      <w:r>
        <w:rPr>
          <w:rFonts w:hint="eastAsia" w:ascii="宋体" w:hAnsi="宋体" w:eastAsia="宋体" w:cs="宋体"/>
          <w:b/>
          <w:bCs/>
          <w:color w:val="auto"/>
          <w:sz w:val="21"/>
          <w:szCs w:val="21"/>
          <w:lang w:val="en-US" w:eastAsia="zh-CN"/>
        </w:rPr>
        <w:t>1、</w:t>
      </w:r>
      <w:r>
        <w:rPr>
          <w:rFonts w:hint="eastAsia" w:ascii="宋体" w:hAnsi="宋体" w:eastAsia="宋体" w:cs="宋体"/>
          <w:b/>
          <w:bCs/>
          <w:color w:val="auto"/>
          <w:sz w:val="21"/>
          <w:szCs w:val="21"/>
        </w:rPr>
        <w:t>总体目标</w:t>
      </w:r>
    </w:p>
    <w:p w14:paraId="0E70C24A">
      <w:pPr>
        <w:keepNext w:val="0"/>
        <w:keepLines w:val="0"/>
        <w:pageBreakBefore w:val="0"/>
        <w:widowControl/>
        <w:kinsoku/>
        <w:wordWrap/>
        <w:overflowPunct/>
        <w:topLinePunct w:val="0"/>
        <w:autoSpaceDE/>
        <w:autoSpaceDN/>
        <w:bidi w:val="0"/>
        <w:adjustRightInd/>
        <w:snapToGrid w:val="0"/>
        <w:spacing w:line="440" w:lineRule="exact"/>
        <w:ind w:right="-84" w:rightChars="-40" w:firstLine="420" w:firstLineChars="200"/>
        <w:jc w:val="left"/>
        <w:textAlignment w:val="auto"/>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在 202</w:t>
      </w:r>
      <w:r>
        <w:rPr>
          <w:rFonts w:hint="eastAsia" w:ascii="宋体" w:hAnsi="宋体" w:eastAsia="宋体" w:cs="宋体"/>
          <w:bCs/>
          <w:color w:val="auto"/>
          <w:sz w:val="21"/>
          <w:szCs w:val="21"/>
          <w:highlight w:val="none"/>
          <w:lang w:val="en-US" w:eastAsia="zh-CN"/>
        </w:rPr>
        <w:t>4</w:t>
      </w:r>
      <w:r>
        <w:rPr>
          <w:rFonts w:hint="eastAsia" w:ascii="宋体" w:hAnsi="宋体" w:eastAsia="宋体" w:cs="宋体"/>
          <w:bCs/>
          <w:color w:val="auto"/>
          <w:sz w:val="21"/>
          <w:szCs w:val="21"/>
          <w:highlight w:val="none"/>
        </w:rPr>
        <w:t xml:space="preserve"> 年度国土调查成果基础上，开展遥感监测，通过县级实地调查，市级、省级、国家级核查，掌握 </w:t>
      </w:r>
      <w:r>
        <w:rPr>
          <w:rFonts w:hint="eastAsia" w:ascii="宋体" w:hAnsi="宋体" w:eastAsia="宋体" w:cs="宋体"/>
          <w:bCs/>
          <w:color w:val="auto"/>
          <w:sz w:val="21"/>
          <w:szCs w:val="21"/>
          <w:highlight w:val="none"/>
          <w:lang w:eastAsia="zh-CN"/>
        </w:rPr>
        <w:t>2025</w:t>
      </w:r>
      <w:r>
        <w:rPr>
          <w:rFonts w:hint="eastAsia" w:ascii="宋体" w:hAnsi="宋体" w:eastAsia="宋体" w:cs="宋体"/>
          <w:bCs/>
          <w:color w:val="auto"/>
          <w:sz w:val="21"/>
          <w:szCs w:val="21"/>
          <w:highlight w:val="none"/>
        </w:rPr>
        <w:t>年度国土利用</w:t>
      </w:r>
      <w:bookmarkStart w:id="2" w:name="_GoBack"/>
      <w:bookmarkEnd w:id="2"/>
      <w:r>
        <w:rPr>
          <w:rFonts w:hint="eastAsia" w:ascii="宋体" w:hAnsi="宋体" w:eastAsia="宋体" w:cs="宋体"/>
          <w:bCs/>
          <w:color w:val="auto"/>
          <w:sz w:val="21"/>
          <w:szCs w:val="21"/>
          <w:highlight w:val="none"/>
        </w:rPr>
        <w:t>的变化情况，更新国土调查数据库。</w:t>
      </w:r>
    </w:p>
    <w:p w14:paraId="58180C30">
      <w:pPr>
        <w:keepNext w:val="0"/>
        <w:keepLines w:val="0"/>
        <w:pageBreakBefore w:val="0"/>
        <w:widowControl/>
        <w:kinsoku/>
        <w:wordWrap/>
        <w:overflowPunct/>
        <w:topLinePunct w:val="0"/>
        <w:autoSpaceDE/>
        <w:autoSpaceDN/>
        <w:bidi w:val="0"/>
        <w:adjustRightInd/>
        <w:snapToGrid w:val="0"/>
        <w:spacing w:line="440" w:lineRule="exact"/>
        <w:ind w:right="-84" w:rightChars="-40"/>
        <w:jc w:val="left"/>
        <w:textAlignment w:val="auto"/>
        <w:rPr>
          <w:rFonts w:hint="eastAsia" w:ascii="宋体" w:hAnsi="宋体" w:eastAsia="宋体" w:cs="宋体"/>
          <w:b/>
          <w:bCs/>
          <w:color w:val="auto"/>
          <w:sz w:val="21"/>
          <w:szCs w:val="21"/>
        </w:rPr>
      </w:pPr>
      <w:r>
        <w:rPr>
          <w:rFonts w:hint="eastAsia" w:ascii="宋体" w:hAnsi="宋体" w:eastAsia="宋体" w:cs="宋体"/>
          <w:b/>
          <w:bCs/>
          <w:color w:val="auto"/>
          <w:sz w:val="21"/>
          <w:szCs w:val="21"/>
          <w:lang w:val="en-US" w:eastAsia="zh-CN"/>
        </w:rPr>
        <w:t>2、</w:t>
      </w:r>
      <w:r>
        <w:rPr>
          <w:rFonts w:hint="eastAsia" w:ascii="宋体" w:hAnsi="宋体" w:eastAsia="宋体" w:cs="宋体"/>
          <w:b/>
          <w:bCs/>
          <w:color w:val="auto"/>
          <w:sz w:val="21"/>
          <w:szCs w:val="21"/>
        </w:rPr>
        <w:t>工作内容</w:t>
      </w:r>
    </w:p>
    <w:p w14:paraId="08B45EC9">
      <w:pPr>
        <w:keepNext w:val="0"/>
        <w:keepLines w:val="0"/>
        <w:pageBreakBefore w:val="0"/>
        <w:widowControl/>
        <w:kinsoku/>
        <w:wordWrap/>
        <w:overflowPunct/>
        <w:topLinePunct w:val="0"/>
        <w:autoSpaceDE/>
        <w:autoSpaceDN/>
        <w:bidi w:val="0"/>
        <w:adjustRightInd/>
        <w:snapToGrid w:val="0"/>
        <w:spacing w:line="440" w:lineRule="exact"/>
        <w:ind w:right="-84" w:rightChars="-40" w:hanging="2"/>
        <w:jc w:val="left"/>
        <w:textAlignment w:val="auto"/>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1、开展实地调查和建库工作。</w:t>
      </w:r>
    </w:p>
    <w:p w14:paraId="7A22A903">
      <w:pPr>
        <w:keepNext w:val="0"/>
        <w:keepLines w:val="0"/>
        <w:pageBreakBefore w:val="0"/>
        <w:widowControl/>
        <w:kinsoku/>
        <w:wordWrap/>
        <w:overflowPunct/>
        <w:topLinePunct w:val="0"/>
        <w:autoSpaceDE/>
        <w:autoSpaceDN/>
        <w:bidi w:val="0"/>
        <w:adjustRightInd/>
        <w:snapToGrid w:val="0"/>
        <w:spacing w:line="440" w:lineRule="exact"/>
        <w:ind w:right="-84" w:rightChars="-40" w:firstLine="420" w:firstLineChars="200"/>
        <w:jc w:val="left"/>
        <w:textAlignment w:val="auto"/>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 xml:space="preserve">县级以 </w:t>
      </w:r>
      <w:r>
        <w:rPr>
          <w:rFonts w:hint="eastAsia" w:ascii="宋体" w:hAnsi="宋体" w:eastAsia="宋体" w:cs="宋体"/>
          <w:bCs/>
          <w:color w:val="auto"/>
          <w:sz w:val="21"/>
          <w:szCs w:val="21"/>
          <w:highlight w:val="none"/>
          <w:lang w:eastAsia="zh-CN"/>
        </w:rPr>
        <w:t>2025</w:t>
      </w:r>
      <w:r>
        <w:rPr>
          <w:rFonts w:hint="eastAsia" w:ascii="宋体" w:hAnsi="宋体" w:eastAsia="宋体" w:cs="宋体"/>
          <w:bCs/>
          <w:color w:val="auto"/>
          <w:sz w:val="21"/>
          <w:szCs w:val="21"/>
          <w:highlight w:val="none"/>
        </w:rPr>
        <w:t xml:space="preserve">年 12 月 31 日为统一时点，以部、省下发的 </w:t>
      </w:r>
      <w:r>
        <w:rPr>
          <w:rFonts w:hint="eastAsia" w:ascii="宋体" w:hAnsi="宋体" w:eastAsia="宋体" w:cs="宋体"/>
          <w:bCs/>
          <w:color w:val="auto"/>
          <w:sz w:val="21"/>
          <w:szCs w:val="21"/>
          <w:highlight w:val="none"/>
          <w:lang w:eastAsia="zh-CN"/>
        </w:rPr>
        <w:t>2025</w:t>
      </w:r>
      <w:r>
        <w:rPr>
          <w:rFonts w:hint="eastAsia" w:ascii="宋体" w:hAnsi="宋体" w:eastAsia="宋体" w:cs="宋体"/>
          <w:bCs/>
          <w:color w:val="auto"/>
          <w:sz w:val="21"/>
          <w:szCs w:val="21"/>
          <w:highlight w:val="none"/>
        </w:rPr>
        <w:t>年度变更调查遥感监测成果和各类自然资源管理信息为基础，结合自行收集的业务管理数据、日常变更和巡查发现的变化图斑，制作外业调查底图，以实地现状认定地类为原则，查清工作底图上每一块变化图斑的地类、属性、范围、权属以及单独图层等实际情况。</w:t>
      </w:r>
    </w:p>
    <w:p w14:paraId="3BCC3387">
      <w:pPr>
        <w:keepNext w:val="0"/>
        <w:keepLines w:val="0"/>
        <w:pageBreakBefore w:val="0"/>
        <w:widowControl/>
        <w:kinsoku/>
        <w:wordWrap/>
        <w:overflowPunct/>
        <w:topLinePunct w:val="0"/>
        <w:autoSpaceDE/>
        <w:autoSpaceDN/>
        <w:bidi w:val="0"/>
        <w:adjustRightInd/>
        <w:snapToGrid w:val="0"/>
        <w:spacing w:line="440" w:lineRule="exact"/>
        <w:ind w:right="-84" w:rightChars="-40" w:firstLine="420" w:firstLineChars="200"/>
        <w:jc w:val="left"/>
        <w:textAlignment w:val="auto"/>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日常变更核定图斑结果经</w:t>
      </w:r>
      <w:r>
        <w:rPr>
          <w:rFonts w:hint="eastAsia" w:ascii="宋体" w:hAnsi="宋体" w:eastAsia="宋体" w:cs="宋体"/>
          <w:bCs/>
          <w:color w:val="auto"/>
          <w:sz w:val="21"/>
          <w:szCs w:val="21"/>
          <w:highlight w:val="none"/>
          <w:lang w:eastAsia="zh-CN"/>
        </w:rPr>
        <w:t>2025</w:t>
      </w:r>
      <w:r>
        <w:rPr>
          <w:rFonts w:hint="eastAsia" w:ascii="宋体" w:hAnsi="宋体" w:eastAsia="宋体" w:cs="宋体"/>
          <w:bCs/>
          <w:color w:val="auto"/>
          <w:sz w:val="21"/>
          <w:szCs w:val="21"/>
          <w:highlight w:val="none"/>
        </w:rPr>
        <w:t>年度遥感监测一致性核实确认的，可直接按照变更调查要求生成增量数据，无需再次实地举证。日常变更核定图斑结果与</w:t>
      </w:r>
      <w:r>
        <w:rPr>
          <w:rFonts w:hint="eastAsia" w:ascii="宋体" w:hAnsi="宋体" w:eastAsia="宋体" w:cs="宋体"/>
          <w:bCs/>
          <w:color w:val="auto"/>
          <w:sz w:val="21"/>
          <w:szCs w:val="21"/>
          <w:highlight w:val="none"/>
          <w:lang w:eastAsia="zh-CN"/>
        </w:rPr>
        <w:t>2025</w:t>
      </w:r>
      <w:r>
        <w:rPr>
          <w:rFonts w:hint="eastAsia" w:ascii="宋体" w:hAnsi="宋体" w:eastAsia="宋体" w:cs="宋体"/>
          <w:bCs/>
          <w:color w:val="auto"/>
          <w:sz w:val="21"/>
          <w:szCs w:val="21"/>
          <w:highlight w:val="none"/>
        </w:rPr>
        <w:t>年度遥感监测成果不一致的，需再次实地举证。在202</w:t>
      </w:r>
      <w:r>
        <w:rPr>
          <w:rFonts w:hint="eastAsia" w:ascii="宋体" w:hAnsi="宋体" w:eastAsia="宋体" w:cs="宋体"/>
          <w:bCs/>
          <w:color w:val="auto"/>
          <w:sz w:val="21"/>
          <w:szCs w:val="21"/>
          <w:highlight w:val="none"/>
          <w:lang w:val="en-US" w:eastAsia="zh-CN"/>
        </w:rPr>
        <w:t>4</w:t>
      </w:r>
      <w:r>
        <w:rPr>
          <w:rFonts w:hint="eastAsia" w:ascii="宋体" w:hAnsi="宋体" w:eastAsia="宋体" w:cs="宋体"/>
          <w:bCs/>
          <w:color w:val="auto"/>
          <w:sz w:val="21"/>
          <w:szCs w:val="21"/>
          <w:highlight w:val="none"/>
        </w:rPr>
        <w:t xml:space="preserve">年度国土调查数据库基础上，结合林草湿等专项调查监测工作移交的变化图斑及举证成果，对涉及地类变更的，按照数据库更新技术要求，形成 </w:t>
      </w:r>
      <w:r>
        <w:rPr>
          <w:rFonts w:hint="eastAsia" w:ascii="宋体" w:hAnsi="宋体" w:eastAsia="宋体" w:cs="宋体"/>
          <w:bCs/>
          <w:color w:val="auto"/>
          <w:sz w:val="21"/>
          <w:szCs w:val="21"/>
          <w:highlight w:val="none"/>
          <w:lang w:eastAsia="zh-CN"/>
        </w:rPr>
        <w:t>2025</w:t>
      </w:r>
      <w:r>
        <w:rPr>
          <w:rFonts w:hint="eastAsia" w:ascii="宋体" w:hAnsi="宋体" w:eastAsia="宋体" w:cs="宋体"/>
          <w:bCs/>
          <w:color w:val="auto"/>
          <w:sz w:val="21"/>
          <w:szCs w:val="21"/>
          <w:highlight w:val="none"/>
        </w:rPr>
        <w:t xml:space="preserve"> 年度国土变更调查更新数据增量包，县级自查合格后报送市局复核，统一报省级核查。</w:t>
      </w:r>
    </w:p>
    <w:p w14:paraId="465303E9">
      <w:pPr>
        <w:keepNext w:val="0"/>
        <w:keepLines w:val="0"/>
        <w:pageBreakBefore w:val="0"/>
        <w:widowControl/>
        <w:kinsoku/>
        <w:wordWrap/>
        <w:overflowPunct/>
        <w:topLinePunct w:val="0"/>
        <w:autoSpaceDE/>
        <w:autoSpaceDN/>
        <w:bidi w:val="0"/>
        <w:adjustRightInd/>
        <w:snapToGrid w:val="0"/>
        <w:spacing w:line="440" w:lineRule="exact"/>
        <w:ind w:right="-84" w:rightChars="-40" w:hanging="2"/>
        <w:jc w:val="left"/>
        <w:textAlignment w:val="auto"/>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2、更新</w:t>
      </w:r>
      <w:r>
        <w:rPr>
          <w:rFonts w:hint="eastAsia" w:ascii="宋体" w:hAnsi="宋体" w:eastAsia="宋体" w:cs="宋体"/>
          <w:bCs/>
          <w:color w:val="auto"/>
          <w:sz w:val="21"/>
          <w:szCs w:val="21"/>
          <w:highlight w:val="none"/>
          <w:lang w:eastAsia="zh-CN"/>
        </w:rPr>
        <w:t>2025</w:t>
      </w:r>
      <w:r>
        <w:rPr>
          <w:rFonts w:hint="eastAsia" w:ascii="宋体" w:hAnsi="宋体" w:eastAsia="宋体" w:cs="宋体"/>
          <w:bCs/>
          <w:color w:val="auto"/>
          <w:sz w:val="21"/>
          <w:szCs w:val="21"/>
          <w:highlight w:val="none"/>
        </w:rPr>
        <w:t>年末国土调查数据库。</w:t>
      </w:r>
    </w:p>
    <w:p w14:paraId="2086C8A6">
      <w:pPr>
        <w:keepNext w:val="0"/>
        <w:keepLines w:val="0"/>
        <w:pageBreakBefore w:val="0"/>
        <w:widowControl/>
        <w:kinsoku/>
        <w:wordWrap/>
        <w:overflowPunct/>
        <w:topLinePunct w:val="0"/>
        <w:autoSpaceDE/>
        <w:autoSpaceDN/>
        <w:bidi w:val="0"/>
        <w:adjustRightInd/>
        <w:snapToGrid w:val="0"/>
        <w:spacing w:line="440" w:lineRule="exact"/>
        <w:ind w:right="-84" w:rightChars="-40" w:firstLine="420" w:firstLineChars="200"/>
        <w:jc w:val="left"/>
        <w:textAlignment w:val="auto"/>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 xml:space="preserve">组织专业队伍开展 </w:t>
      </w:r>
      <w:r>
        <w:rPr>
          <w:rFonts w:hint="eastAsia" w:ascii="宋体" w:hAnsi="宋体" w:eastAsia="宋体" w:cs="宋体"/>
          <w:bCs/>
          <w:color w:val="auto"/>
          <w:sz w:val="21"/>
          <w:szCs w:val="21"/>
          <w:highlight w:val="none"/>
          <w:lang w:eastAsia="zh-CN"/>
        </w:rPr>
        <w:t>2025</w:t>
      </w:r>
      <w:r>
        <w:rPr>
          <w:rFonts w:hint="eastAsia" w:ascii="宋体" w:hAnsi="宋体" w:eastAsia="宋体" w:cs="宋体"/>
          <w:bCs/>
          <w:color w:val="auto"/>
          <w:sz w:val="21"/>
          <w:szCs w:val="21"/>
          <w:highlight w:val="none"/>
        </w:rPr>
        <w:t>年度变更调查增量数据质量检查和国家级数据库更新工作，将通过检查的县级</w:t>
      </w:r>
      <w:r>
        <w:rPr>
          <w:rFonts w:hint="eastAsia" w:ascii="宋体" w:hAnsi="宋体" w:eastAsia="宋体" w:cs="宋体"/>
          <w:bCs/>
          <w:color w:val="auto"/>
          <w:sz w:val="21"/>
          <w:szCs w:val="21"/>
          <w:highlight w:val="none"/>
          <w:lang w:eastAsia="zh-CN"/>
        </w:rPr>
        <w:t>2025</w:t>
      </w:r>
      <w:r>
        <w:rPr>
          <w:rFonts w:hint="eastAsia" w:ascii="宋体" w:hAnsi="宋体" w:eastAsia="宋体" w:cs="宋体"/>
          <w:bCs/>
          <w:color w:val="auto"/>
          <w:sz w:val="21"/>
          <w:szCs w:val="21"/>
          <w:highlight w:val="none"/>
        </w:rPr>
        <w:t xml:space="preserve">年度变更调查更新数据成果入库，最终形成 </w:t>
      </w:r>
      <w:r>
        <w:rPr>
          <w:rFonts w:hint="eastAsia" w:ascii="宋体" w:hAnsi="宋体" w:eastAsia="宋体" w:cs="宋体"/>
          <w:bCs/>
          <w:color w:val="auto"/>
          <w:sz w:val="21"/>
          <w:szCs w:val="21"/>
          <w:highlight w:val="none"/>
          <w:lang w:eastAsia="zh-CN"/>
        </w:rPr>
        <w:t>2025</w:t>
      </w:r>
      <w:r>
        <w:rPr>
          <w:rFonts w:hint="eastAsia" w:ascii="宋体" w:hAnsi="宋体" w:eastAsia="宋体" w:cs="宋体"/>
          <w:bCs/>
          <w:color w:val="auto"/>
          <w:sz w:val="21"/>
          <w:szCs w:val="21"/>
          <w:highlight w:val="none"/>
        </w:rPr>
        <w:t>年12月31 日为统一时点的全国国土调查数据库。各县（区）可根据需要，自行更新年末数据库供调查过程分析使用，但最终数据库与国家不一致时，以国家更新下发数据库为准。</w:t>
      </w:r>
    </w:p>
    <w:p w14:paraId="250CC02A">
      <w:pPr>
        <w:keepNext w:val="0"/>
        <w:keepLines w:val="0"/>
        <w:pageBreakBefore w:val="0"/>
        <w:widowControl/>
        <w:kinsoku/>
        <w:wordWrap/>
        <w:overflowPunct/>
        <w:topLinePunct w:val="0"/>
        <w:autoSpaceDE/>
        <w:autoSpaceDN/>
        <w:bidi w:val="0"/>
        <w:adjustRightInd/>
        <w:snapToGrid w:val="0"/>
        <w:spacing w:line="440" w:lineRule="exact"/>
        <w:ind w:right="-84" w:rightChars="-40"/>
        <w:jc w:val="left"/>
        <w:textAlignment w:val="auto"/>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3、</w:t>
      </w:r>
      <w:r>
        <w:rPr>
          <w:rFonts w:hint="eastAsia" w:ascii="宋体" w:hAnsi="宋体" w:eastAsia="宋体" w:cs="宋体"/>
          <w:bCs/>
          <w:color w:val="auto"/>
          <w:sz w:val="21"/>
          <w:szCs w:val="21"/>
          <w:highlight w:val="none"/>
          <w:lang w:eastAsia="zh-CN"/>
        </w:rPr>
        <w:t>保密责任</w:t>
      </w:r>
    </w:p>
    <w:p w14:paraId="7BA27A30">
      <w:pPr>
        <w:keepNext w:val="0"/>
        <w:keepLines w:val="0"/>
        <w:pageBreakBefore w:val="0"/>
        <w:widowControl/>
        <w:kinsoku/>
        <w:wordWrap/>
        <w:overflowPunct/>
        <w:topLinePunct w:val="0"/>
        <w:autoSpaceDE/>
        <w:autoSpaceDN/>
        <w:bidi w:val="0"/>
        <w:adjustRightInd/>
        <w:snapToGrid w:val="0"/>
        <w:spacing w:line="440" w:lineRule="exact"/>
        <w:ind w:right="-84" w:rightChars="-40" w:firstLine="420" w:firstLineChars="200"/>
        <w:jc w:val="left"/>
        <w:textAlignment w:val="auto"/>
        <w:rPr>
          <w:rFonts w:hint="eastAsia" w:ascii="宋体" w:hAnsi="宋体" w:eastAsia="宋体" w:cs="宋体"/>
          <w:bCs/>
          <w:color w:val="auto"/>
          <w:sz w:val="21"/>
          <w:szCs w:val="21"/>
          <w:highlight w:val="none"/>
          <w:lang w:eastAsia="zh-CN"/>
        </w:rPr>
      </w:pPr>
      <w:r>
        <w:rPr>
          <w:rFonts w:hint="eastAsia" w:ascii="宋体" w:hAnsi="宋体" w:eastAsia="宋体" w:cs="宋体"/>
          <w:bCs/>
          <w:color w:val="auto"/>
          <w:sz w:val="21"/>
          <w:szCs w:val="21"/>
          <w:highlight w:val="none"/>
        </w:rPr>
        <w:t>本项目实施过程中的技术资料保密，否则，由于过错导致的上述资料泄密的，必须承担一切责任</w:t>
      </w:r>
      <w:r>
        <w:rPr>
          <w:rFonts w:hint="eastAsia" w:ascii="宋体" w:hAnsi="宋体" w:eastAsia="宋体" w:cs="宋体"/>
          <w:bCs/>
          <w:color w:val="auto"/>
          <w:sz w:val="21"/>
          <w:szCs w:val="21"/>
          <w:highlight w:val="none"/>
          <w:lang w:eastAsia="zh-CN"/>
        </w:rPr>
        <w:t>。</w:t>
      </w:r>
      <w:bookmarkStart w:id="1" w:name="_Toc20312"/>
    </w:p>
    <w:p w14:paraId="2C8655C6">
      <w:pPr>
        <w:keepNext w:val="0"/>
        <w:keepLines w:val="0"/>
        <w:pageBreakBefore w:val="0"/>
        <w:widowControl/>
        <w:numPr>
          <w:ilvl w:val="0"/>
          <w:numId w:val="1"/>
        </w:numPr>
        <w:kinsoku/>
        <w:wordWrap/>
        <w:overflowPunct/>
        <w:topLinePunct w:val="0"/>
        <w:autoSpaceDE/>
        <w:autoSpaceDN/>
        <w:bidi w:val="0"/>
        <w:adjustRightInd/>
        <w:snapToGrid w:val="0"/>
        <w:spacing w:line="440" w:lineRule="exact"/>
        <w:ind w:right="-84" w:rightChars="-4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为本项目所投入的管理人员及核心作业人员应具备测绘工程或地理信息系统工程相关的证书，须提供人员清单加盖公章。</w:t>
      </w:r>
    </w:p>
    <w:p w14:paraId="58DFABCE">
      <w:pPr>
        <w:keepNext w:val="0"/>
        <w:keepLines w:val="0"/>
        <w:pageBreakBefore w:val="0"/>
        <w:widowControl/>
        <w:numPr>
          <w:ilvl w:val="0"/>
          <w:numId w:val="1"/>
        </w:numPr>
        <w:kinsoku/>
        <w:wordWrap/>
        <w:overflowPunct/>
        <w:topLinePunct w:val="0"/>
        <w:autoSpaceDE/>
        <w:autoSpaceDN/>
        <w:bidi w:val="0"/>
        <w:adjustRightInd/>
        <w:snapToGrid w:val="0"/>
        <w:spacing w:line="440" w:lineRule="exact"/>
        <w:ind w:right="-84" w:rightChars="-4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为本项目所投入的作业设备提供清单加盖公章，（其中建库作业电脑≥10台、外业举证作业车辆≥2辆、外业举证无人机设备≥2台）。</w:t>
      </w:r>
    </w:p>
    <w:bookmarkEnd w:id="1"/>
    <w:p w14:paraId="76808E5A">
      <w:pPr>
        <w:keepNext w:val="0"/>
        <w:keepLines w:val="0"/>
        <w:pageBreakBefore w:val="0"/>
        <w:widowControl/>
        <w:kinsoku/>
        <w:wordWrap/>
        <w:overflowPunct/>
        <w:topLinePunct w:val="0"/>
        <w:autoSpaceDE/>
        <w:autoSpaceDN/>
        <w:bidi w:val="0"/>
        <w:adjustRightInd/>
        <w:snapToGrid w:val="0"/>
        <w:spacing w:line="440" w:lineRule="exact"/>
        <w:ind w:right="-84" w:rightChars="-40"/>
        <w:jc w:val="left"/>
        <w:textAlignment w:val="auto"/>
        <w:rPr>
          <w:rFonts w:hint="eastAsia" w:ascii="宋体" w:hAnsi="宋体" w:eastAsia="宋体" w:cs="宋体"/>
          <w:b/>
          <w:bCs/>
          <w:color w:val="auto"/>
          <w:sz w:val="21"/>
          <w:szCs w:val="21"/>
        </w:rPr>
      </w:pPr>
    </w:p>
    <w:p w14:paraId="17E51856">
      <w:pPr>
        <w:keepNext w:val="0"/>
        <w:keepLines w:val="0"/>
        <w:pageBreakBefore w:val="0"/>
        <w:widowControl/>
        <w:kinsoku/>
        <w:wordWrap/>
        <w:overflowPunct/>
        <w:topLinePunct w:val="0"/>
        <w:autoSpaceDE/>
        <w:autoSpaceDN/>
        <w:bidi w:val="0"/>
        <w:adjustRightInd/>
        <w:snapToGrid w:val="0"/>
        <w:spacing w:line="440" w:lineRule="exact"/>
        <w:ind w:right="-84" w:rightChars="-40"/>
        <w:jc w:val="left"/>
        <w:textAlignment w:val="auto"/>
        <w:rPr>
          <w:rFonts w:hint="eastAsia" w:ascii="宋体" w:hAnsi="宋体" w:eastAsia="宋体" w:cs="宋体"/>
          <w:b/>
          <w:bCs/>
          <w:color w:val="auto"/>
          <w:sz w:val="21"/>
          <w:szCs w:val="21"/>
          <w:lang w:eastAsia="zh-CN"/>
        </w:rPr>
      </w:pPr>
      <w:r>
        <w:rPr>
          <w:rFonts w:hint="eastAsia" w:ascii="宋体" w:hAnsi="宋体" w:eastAsia="宋体" w:cs="宋体"/>
          <w:b/>
          <w:bCs/>
          <w:color w:val="auto"/>
          <w:sz w:val="21"/>
          <w:szCs w:val="21"/>
        </w:rPr>
        <w:t>注：以上技术服务要求投标人必须满足，否则作无效响应文件处理</w:t>
      </w:r>
      <w:r>
        <w:rPr>
          <w:rFonts w:hint="eastAsia" w:ascii="宋体" w:hAnsi="宋体" w:eastAsia="宋体" w:cs="宋体"/>
          <w:b/>
          <w:bCs/>
          <w:color w:val="auto"/>
          <w:sz w:val="21"/>
          <w:szCs w:val="21"/>
          <w:lang w:eastAsia="zh-CN"/>
        </w:rPr>
        <w:t>。</w:t>
      </w:r>
    </w:p>
    <w:p w14:paraId="6261FF14">
      <w:pPr>
        <w:pageBreakBefore w:val="0"/>
        <w:widowControl w:val="0"/>
        <w:wordWrap/>
        <w:overflowPunct/>
        <w:topLinePunct w:val="0"/>
        <w:bidi w:val="0"/>
        <w:spacing w:line="242" w:lineRule="auto"/>
        <w:rPr>
          <w:color w:val="auto"/>
          <w:highlight w:val="none"/>
        </w:rPr>
      </w:pPr>
    </w:p>
    <w:p w14:paraId="285C9072">
      <w:pPr>
        <w:pageBreakBefore w:val="0"/>
        <w:widowControl w:val="0"/>
        <w:wordWrap/>
        <w:overflowPunct/>
        <w:topLinePunct w:val="0"/>
        <w:bidi w:val="0"/>
        <w:spacing w:line="242" w:lineRule="auto"/>
        <w:rPr>
          <w:color w:val="auto"/>
          <w:highlight w:val="none"/>
        </w:rPr>
      </w:pPr>
    </w:p>
    <w:p w14:paraId="2CC97569">
      <w:pPr>
        <w:pageBreakBefore w:val="0"/>
        <w:widowControl w:val="0"/>
        <w:wordWrap/>
        <w:overflowPunct/>
        <w:topLinePunct w:val="0"/>
        <w:bidi w:val="0"/>
        <w:spacing w:line="242" w:lineRule="auto"/>
        <w:rPr>
          <w:color w:val="auto"/>
          <w:highlight w:val="none"/>
        </w:rPr>
      </w:pPr>
    </w:p>
    <w:p w14:paraId="739348B8">
      <w:pPr>
        <w:pageBreakBefore w:val="0"/>
        <w:widowControl w:val="0"/>
        <w:wordWrap/>
        <w:overflowPunct/>
        <w:topLinePunct w:val="0"/>
        <w:bidi w:val="0"/>
        <w:spacing w:line="242" w:lineRule="auto"/>
        <w:rPr>
          <w:color w:val="auto"/>
          <w:highlight w:val="none"/>
        </w:rPr>
      </w:pPr>
    </w:p>
    <w:p w14:paraId="4BC89AC7">
      <w:pPr>
        <w:pageBreakBefore w:val="0"/>
        <w:widowControl w:val="0"/>
        <w:wordWrap/>
        <w:overflowPunct/>
        <w:topLinePunct w:val="0"/>
        <w:bidi w:val="0"/>
        <w:spacing w:line="242" w:lineRule="auto"/>
        <w:rPr>
          <w:color w:val="auto"/>
          <w:highlight w:val="none"/>
        </w:rPr>
      </w:pPr>
    </w:p>
    <w:p w14:paraId="5CA3FA34">
      <w:pPr>
        <w:pageBreakBefore w:val="0"/>
        <w:widowControl w:val="0"/>
        <w:wordWrap/>
        <w:overflowPunct/>
        <w:topLinePunct w:val="0"/>
        <w:bidi w:val="0"/>
        <w:spacing w:line="245" w:lineRule="auto"/>
        <w:rPr>
          <w:color w:val="auto"/>
          <w:highlight w:val="none"/>
          <w:lang w:eastAsia="zh-CN"/>
        </w:rPr>
      </w:pPr>
    </w:p>
    <w:p w14:paraId="1688383D">
      <w:pPr>
        <w:pageBreakBefore w:val="0"/>
        <w:widowControl w:val="0"/>
        <w:wordWrap/>
        <w:overflowPunct/>
        <w:topLinePunct w:val="0"/>
        <w:bidi w:val="0"/>
        <w:spacing w:before="78" w:line="219" w:lineRule="auto"/>
        <w:rPr>
          <w:color w:val="auto"/>
          <w:highlight w:val="none"/>
          <w:lang w:eastAsia="zh-CN"/>
        </w:rPr>
      </w:pPr>
      <w:r>
        <w:rPr>
          <w:rFonts w:ascii="宋体" w:hAnsi="宋体" w:eastAsia="宋体" w:cs="宋体"/>
          <w:color w:val="auto"/>
          <w:spacing w:val="-6"/>
          <w:sz w:val="24"/>
          <w:szCs w:val="24"/>
          <w:highlight w:val="none"/>
          <w:lang w:eastAsia="zh-CN"/>
        </w:rPr>
        <w:t>（二）</w:t>
      </w:r>
      <w:r>
        <w:rPr>
          <w:rFonts w:ascii="宋体" w:hAnsi="宋体" w:eastAsia="宋体" w:cs="宋体"/>
          <w:color w:val="auto"/>
          <w:spacing w:val="32"/>
          <w:sz w:val="24"/>
          <w:szCs w:val="24"/>
          <w:highlight w:val="none"/>
          <w:lang w:eastAsia="zh-CN"/>
        </w:rPr>
        <w:t xml:space="preserve"> </w:t>
      </w:r>
      <w:r>
        <w:rPr>
          <w:rFonts w:ascii="宋体" w:hAnsi="宋体" w:eastAsia="宋体" w:cs="宋体"/>
          <w:color w:val="auto"/>
          <w:spacing w:val="-6"/>
          <w:sz w:val="24"/>
          <w:szCs w:val="24"/>
          <w:highlight w:val="none"/>
          <w:lang w:eastAsia="zh-CN"/>
        </w:rPr>
        <w:t>商务条件</w:t>
      </w:r>
    </w:p>
    <w:p w14:paraId="1C36D971">
      <w:pPr>
        <w:pageBreakBefore w:val="0"/>
        <w:widowControl w:val="0"/>
        <w:wordWrap/>
        <w:overflowPunct/>
        <w:topLinePunct w:val="0"/>
        <w:bidi w:val="0"/>
        <w:spacing w:line="249" w:lineRule="auto"/>
        <w:rPr>
          <w:color w:val="auto"/>
          <w:highlight w:val="none"/>
          <w:lang w:eastAsia="zh-CN"/>
        </w:rPr>
      </w:pPr>
    </w:p>
    <w:tbl>
      <w:tblPr>
        <w:tblStyle w:val="11"/>
        <w:tblpPr w:leftFromText="180" w:rightFromText="180" w:vertAnchor="text" w:horzAnchor="page" w:tblpX="1328" w:tblpY="168"/>
        <w:tblOverlap w:val="never"/>
        <w:tblW w:w="9597" w:type="dxa"/>
        <w:tblInd w:w="0" w:type="dxa"/>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Layout w:type="fixed"/>
        <w:tblCellMar>
          <w:top w:w="0" w:type="dxa"/>
          <w:left w:w="0" w:type="dxa"/>
          <w:bottom w:w="0" w:type="dxa"/>
          <w:right w:w="0" w:type="dxa"/>
        </w:tblCellMar>
      </w:tblPr>
      <w:tblGrid>
        <w:gridCol w:w="801"/>
        <w:gridCol w:w="1181"/>
        <w:gridCol w:w="6336"/>
        <w:gridCol w:w="1279"/>
      </w:tblGrid>
      <w:tr w14:paraId="4F791568">
        <w:tblPrEx>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CellMar>
            <w:top w:w="0" w:type="dxa"/>
            <w:left w:w="0" w:type="dxa"/>
            <w:bottom w:w="0" w:type="dxa"/>
            <w:right w:w="0" w:type="dxa"/>
          </w:tblCellMar>
        </w:tblPrEx>
        <w:trPr>
          <w:trHeight w:val="376" w:hRule="atLeast"/>
        </w:trPr>
        <w:tc>
          <w:tcPr>
            <w:tcW w:w="801" w:type="dxa"/>
            <w:shd w:val="clear" w:color="auto" w:fill="EEEEEE"/>
            <w:noWrap w:val="0"/>
            <w:vAlign w:val="center"/>
          </w:tcPr>
          <w:p w14:paraId="441A8B9A">
            <w:pPr>
              <w:pageBreakBefore w:val="0"/>
              <w:wordWrap/>
              <w:overflowPunct/>
              <w:topLinePunct w:val="0"/>
              <w:bidi w:val="0"/>
              <w:spacing w:line="440" w:lineRule="exact"/>
              <w:jc w:val="center"/>
              <w:rPr>
                <w:rStyle w:val="8"/>
                <w:rFonts w:hint="eastAsia" w:ascii="宋体" w:hAnsi="宋体" w:eastAsia="宋体" w:cs="宋体"/>
                <w:snapToGrid w:val="0"/>
                <w:color w:val="auto"/>
                <w:kern w:val="0"/>
                <w:sz w:val="21"/>
                <w:szCs w:val="21"/>
                <w:lang w:val="en-US" w:eastAsia="en-US" w:bidi="ar-SA"/>
              </w:rPr>
            </w:pPr>
            <w:r>
              <w:rPr>
                <w:rFonts w:hint="eastAsia" w:ascii="宋体" w:hAnsi="宋体" w:eastAsia="宋体" w:cs="宋体"/>
                <w:bCs/>
                <w:color w:val="auto"/>
                <w:sz w:val="21"/>
                <w:szCs w:val="21"/>
              </w:rPr>
              <w:t>序号</w:t>
            </w:r>
          </w:p>
        </w:tc>
        <w:tc>
          <w:tcPr>
            <w:tcW w:w="1181" w:type="dxa"/>
            <w:shd w:val="clear" w:color="auto" w:fill="EEEEEE"/>
            <w:noWrap w:val="0"/>
            <w:vAlign w:val="center"/>
          </w:tcPr>
          <w:p w14:paraId="1EC51868">
            <w:pPr>
              <w:pageBreakBefore w:val="0"/>
              <w:wordWrap/>
              <w:overflowPunct/>
              <w:topLinePunct w:val="0"/>
              <w:bidi w:val="0"/>
              <w:spacing w:line="440" w:lineRule="exact"/>
              <w:jc w:val="center"/>
              <w:rPr>
                <w:rStyle w:val="8"/>
                <w:rFonts w:hint="eastAsia" w:ascii="宋体" w:hAnsi="宋体" w:eastAsia="宋体" w:cs="宋体"/>
                <w:snapToGrid w:val="0"/>
                <w:color w:val="auto"/>
                <w:kern w:val="0"/>
                <w:sz w:val="21"/>
                <w:szCs w:val="21"/>
                <w:lang w:val="en-US" w:eastAsia="en-US" w:bidi="ar-SA"/>
              </w:rPr>
            </w:pPr>
            <w:r>
              <w:rPr>
                <w:rFonts w:hint="eastAsia" w:ascii="宋体" w:hAnsi="宋体" w:eastAsia="宋体" w:cs="宋体"/>
                <w:bCs/>
                <w:color w:val="auto"/>
                <w:sz w:val="21"/>
                <w:szCs w:val="21"/>
              </w:rPr>
              <w:t>需求名称</w:t>
            </w:r>
          </w:p>
        </w:tc>
        <w:tc>
          <w:tcPr>
            <w:tcW w:w="6336" w:type="dxa"/>
            <w:shd w:val="clear" w:color="auto" w:fill="EEEEEE"/>
            <w:noWrap w:val="0"/>
            <w:vAlign w:val="center"/>
          </w:tcPr>
          <w:p w14:paraId="5824CBC9">
            <w:pPr>
              <w:pageBreakBefore w:val="0"/>
              <w:wordWrap/>
              <w:overflowPunct/>
              <w:topLinePunct w:val="0"/>
              <w:bidi w:val="0"/>
              <w:spacing w:line="440" w:lineRule="exact"/>
              <w:jc w:val="center"/>
              <w:rPr>
                <w:rStyle w:val="8"/>
                <w:rFonts w:hint="eastAsia" w:ascii="宋体" w:hAnsi="宋体" w:eastAsia="宋体" w:cs="宋体"/>
                <w:snapToGrid w:val="0"/>
                <w:color w:val="auto"/>
                <w:kern w:val="0"/>
                <w:sz w:val="21"/>
                <w:szCs w:val="21"/>
                <w:lang w:val="en-US" w:eastAsia="en-US" w:bidi="ar-SA"/>
              </w:rPr>
            </w:pPr>
            <w:r>
              <w:rPr>
                <w:rFonts w:hint="eastAsia" w:ascii="宋体" w:hAnsi="宋体" w:eastAsia="宋体" w:cs="宋体"/>
                <w:bCs/>
                <w:color w:val="auto"/>
                <w:sz w:val="21"/>
                <w:szCs w:val="21"/>
              </w:rPr>
              <w:t>需求说明</w:t>
            </w:r>
          </w:p>
        </w:tc>
        <w:tc>
          <w:tcPr>
            <w:tcW w:w="1279" w:type="dxa"/>
            <w:shd w:val="clear" w:color="auto" w:fill="EEEEEE"/>
            <w:noWrap w:val="0"/>
            <w:vAlign w:val="center"/>
          </w:tcPr>
          <w:p w14:paraId="47AC4B19">
            <w:pPr>
              <w:pageBreakBefore w:val="0"/>
              <w:wordWrap/>
              <w:overflowPunct/>
              <w:topLinePunct w:val="0"/>
              <w:bidi w:val="0"/>
              <w:spacing w:line="440" w:lineRule="exact"/>
              <w:jc w:val="center"/>
              <w:rPr>
                <w:rStyle w:val="8"/>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sz w:val="21"/>
                <w:szCs w:val="21"/>
              </w:rPr>
              <w:t>备注</w:t>
            </w:r>
          </w:p>
        </w:tc>
      </w:tr>
      <w:tr w14:paraId="0258391C">
        <w:tblPrEx>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CellMar>
            <w:top w:w="0" w:type="dxa"/>
            <w:left w:w="0" w:type="dxa"/>
            <w:bottom w:w="0" w:type="dxa"/>
            <w:right w:w="0" w:type="dxa"/>
          </w:tblCellMar>
        </w:tblPrEx>
        <w:trPr>
          <w:trHeight w:val="932" w:hRule="atLeast"/>
        </w:trPr>
        <w:tc>
          <w:tcPr>
            <w:tcW w:w="801" w:type="dxa"/>
            <w:noWrap w:val="0"/>
            <w:vAlign w:val="center"/>
          </w:tcPr>
          <w:p w14:paraId="4130F49C">
            <w:pPr>
              <w:pageBreakBefore w:val="0"/>
              <w:wordWrap/>
              <w:overflowPunct/>
              <w:topLinePunct w:val="0"/>
              <w:bidi w:val="0"/>
              <w:spacing w:line="440" w:lineRule="exact"/>
              <w:jc w:val="center"/>
              <w:rPr>
                <w:rStyle w:val="8"/>
                <w:rFonts w:hint="eastAsia" w:ascii="宋体" w:hAnsi="宋体" w:eastAsia="宋体" w:cs="宋体"/>
                <w:snapToGrid w:val="0"/>
                <w:color w:val="auto"/>
                <w:kern w:val="0"/>
                <w:sz w:val="21"/>
                <w:szCs w:val="21"/>
                <w:lang w:val="en-US" w:eastAsia="en-US" w:bidi="ar-SA"/>
              </w:rPr>
            </w:pPr>
            <w:r>
              <w:rPr>
                <w:rFonts w:hint="eastAsia" w:ascii="宋体" w:hAnsi="宋体" w:eastAsia="宋体" w:cs="宋体"/>
                <w:bCs/>
                <w:color w:val="auto"/>
                <w:sz w:val="21"/>
                <w:szCs w:val="21"/>
              </w:rPr>
              <w:t>1</w:t>
            </w:r>
          </w:p>
        </w:tc>
        <w:tc>
          <w:tcPr>
            <w:tcW w:w="1181" w:type="dxa"/>
            <w:noWrap w:val="0"/>
            <w:vAlign w:val="center"/>
          </w:tcPr>
          <w:p w14:paraId="6CBC6189">
            <w:pPr>
              <w:pageBreakBefore w:val="0"/>
              <w:wordWrap/>
              <w:overflowPunct/>
              <w:topLinePunct w:val="0"/>
              <w:bidi w:val="0"/>
              <w:spacing w:beforeLines="50" w:afterLines="50" w:line="440" w:lineRule="exact"/>
              <w:jc w:val="center"/>
              <w:rPr>
                <w:rStyle w:val="8"/>
                <w:rFonts w:hint="eastAsia" w:ascii="宋体" w:hAnsi="宋体" w:eastAsia="宋体" w:cs="宋体"/>
                <w:snapToGrid w:val="0"/>
                <w:color w:val="auto"/>
                <w:kern w:val="0"/>
                <w:sz w:val="21"/>
                <w:szCs w:val="21"/>
                <w:lang w:val="en-US" w:eastAsia="zh-CN" w:bidi="ar-SA"/>
              </w:rPr>
            </w:pPr>
            <w:r>
              <w:rPr>
                <w:rFonts w:hint="eastAsia" w:ascii="宋体" w:hAnsi="宋体" w:eastAsia="宋体" w:cs="宋体"/>
                <w:bCs/>
                <w:color w:val="auto"/>
                <w:sz w:val="21"/>
                <w:szCs w:val="21"/>
              </w:rPr>
              <w:t>服务地点</w:t>
            </w:r>
          </w:p>
        </w:tc>
        <w:tc>
          <w:tcPr>
            <w:tcW w:w="6336" w:type="dxa"/>
            <w:noWrap w:val="0"/>
            <w:vAlign w:val="center"/>
          </w:tcPr>
          <w:p w14:paraId="57C8C69A">
            <w:pPr>
              <w:pageBreakBefore w:val="0"/>
              <w:wordWrap/>
              <w:overflowPunct/>
              <w:topLinePunct w:val="0"/>
              <w:bidi w:val="0"/>
              <w:spacing w:line="440" w:lineRule="exact"/>
              <w:ind w:firstLine="210" w:firstLineChars="100"/>
              <w:jc w:val="left"/>
              <w:rPr>
                <w:rStyle w:val="8"/>
                <w:rFonts w:hint="eastAsia" w:ascii="宋体" w:hAnsi="宋体" w:eastAsia="宋体" w:cs="宋体"/>
                <w:snapToGrid w:val="0"/>
                <w:color w:val="auto"/>
                <w:kern w:val="0"/>
                <w:sz w:val="21"/>
                <w:szCs w:val="21"/>
                <w:lang w:val="en-US" w:eastAsia="zh-CN" w:bidi="ar-SA"/>
              </w:rPr>
            </w:pPr>
            <w:r>
              <w:rPr>
                <w:rFonts w:hint="eastAsia" w:ascii="宋体" w:hAnsi="宋体" w:eastAsia="宋体" w:cs="宋体"/>
                <w:bCs/>
                <w:color w:val="auto"/>
                <w:sz w:val="21"/>
                <w:szCs w:val="21"/>
                <w:highlight w:val="none"/>
              </w:rPr>
              <w:t>采购单位指定地点。</w:t>
            </w:r>
          </w:p>
        </w:tc>
        <w:tc>
          <w:tcPr>
            <w:tcW w:w="1279" w:type="dxa"/>
            <w:noWrap w:val="0"/>
            <w:vAlign w:val="center"/>
          </w:tcPr>
          <w:p w14:paraId="2549D856">
            <w:pPr>
              <w:pageBreakBefore w:val="0"/>
              <w:wordWrap/>
              <w:overflowPunct/>
              <w:topLinePunct w:val="0"/>
              <w:bidi w:val="0"/>
              <w:spacing w:line="440" w:lineRule="exact"/>
              <w:jc w:val="center"/>
              <w:rPr>
                <w:rStyle w:val="8"/>
                <w:rFonts w:hint="eastAsia" w:ascii="宋体" w:hAnsi="宋体" w:eastAsia="宋体" w:cs="宋体"/>
                <w:snapToGrid w:val="0"/>
                <w:color w:val="auto"/>
                <w:kern w:val="0"/>
                <w:sz w:val="21"/>
                <w:szCs w:val="21"/>
                <w:lang w:val="en-US" w:eastAsia="en-US" w:bidi="ar-SA"/>
              </w:rPr>
            </w:pPr>
            <w:r>
              <w:rPr>
                <w:rFonts w:hint="eastAsia" w:ascii="宋体" w:hAnsi="宋体" w:eastAsia="宋体" w:cs="宋体"/>
                <w:bCs/>
                <w:color w:val="auto"/>
                <w:sz w:val="21"/>
                <w:szCs w:val="21"/>
              </w:rPr>
              <w:t>不可负偏离</w:t>
            </w:r>
          </w:p>
        </w:tc>
      </w:tr>
      <w:tr w14:paraId="4CF06286">
        <w:tblPrEx>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CellMar>
            <w:top w:w="0" w:type="dxa"/>
            <w:left w:w="0" w:type="dxa"/>
            <w:bottom w:w="0" w:type="dxa"/>
            <w:right w:w="0" w:type="dxa"/>
          </w:tblCellMar>
        </w:tblPrEx>
        <w:trPr>
          <w:trHeight w:val="979" w:hRule="atLeast"/>
        </w:trPr>
        <w:tc>
          <w:tcPr>
            <w:tcW w:w="801" w:type="dxa"/>
            <w:noWrap w:val="0"/>
            <w:vAlign w:val="center"/>
          </w:tcPr>
          <w:p w14:paraId="6CBCE915">
            <w:pPr>
              <w:pageBreakBefore w:val="0"/>
              <w:wordWrap/>
              <w:overflowPunct/>
              <w:topLinePunct w:val="0"/>
              <w:bidi w:val="0"/>
              <w:spacing w:line="440" w:lineRule="exact"/>
              <w:jc w:val="center"/>
              <w:rPr>
                <w:rFonts w:hint="eastAsia" w:ascii="宋体" w:hAnsi="宋体" w:eastAsia="宋体" w:cs="宋体"/>
                <w:snapToGrid w:val="0"/>
                <w:color w:val="auto"/>
                <w:kern w:val="0"/>
                <w:sz w:val="21"/>
                <w:szCs w:val="21"/>
                <w:highlight w:val="white"/>
                <w:lang w:val="en-US" w:eastAsia="zh-CN" w:bidi="ar-SA"/>
              </w:rPr>
            </w:pPr>
            <w:r>
              <w:rPr>
                <w:rFonts w:hint="eastAsia" w:ascii="宋体" w:hAnsi="宋体" w:eastAsia="宋体" w:cs="宋体"/>
                <w:bCs/>
                <w:color w:val="auto"/>
                <w:sz w:val="21"/>
                <w:szCs w:val="21"/>
              </w:rPr>
              <w:t>2</w:t>
            </w:r>
          </w:p>
        </w:tc>
        <w:tc>
          <w:tcPr>
            <w:tcW w:w="1181" w:type="dxa"/>
            <w:noWrap w:val="0"/>
            <w:vAlign w:val="center"/>
          </w:tcPr>
          <w:p w14:paraId="2B819D6F">
            <w:pPr>
              <w:pageBreakBefore w:val="0"/>
              <w:wordWrap/>
              <w:overflowPunct/>
              <w:topLinePunct w:val="0"/>
              <w:bidi w:val="0"/>
              <w:spacing w:line="440" w:lineRule="exact"/>
              <w:jc w:val="center"/>
              <w:rPr>
                <w:rStyle w:val="8"/>
                <w:rFonts w:hint="eastAsia" w:ascii="宋体" w:hAnsi="宋体" w:eastAsia="宋体" w:cs="宋体"/>
                <w:snapToGrid w:val="0"/>
                <w:color w:val="auto"/>
                <w:kern w:val="0"/>
                <w:sz w:val="21"/>
                <w:szCs w:val="21"/>
                <w:lang w:val="en-US" w:eastAsia="zh-CN" w:bidi="ar-SA"/>
              </w:rPr>
            </w:pPr>
            <w:r>
              <w:rPr>
                <w:rFonts w:hint="eastAsia" w:ascii="宋体" w:hAnsi="宋体" w:eastAsia="宋体" w:cs="宋体"/>
                <w:bCs/>
                <w:color w:val="auto"/>
                <w:sz w:val="21"/>
                <w:szCs w:val="21"/>
              </w:rPr>
              <w:t>服务期限</w:t>
            </w:r>
          </w:p>
        </w:tc>
        <w:tc>
          <w:tcPr>
            <w:tcW w:w="6336" w:type="dxa"/>
            <w:noWrap w:val="0"/>
            <w:vAlign w:val="center"/>
          </w:tcPr>
          <w:p w14:paraId="4AD1A959">
            <w:pPr>
              <w:pageBreakBefore w:val="0"/>
              <w:wordWrap/>
              <w:overflowPunct/>
              <w:topLinePunct w:val="0"/>
              <w:bidi w:val="0"/>
              <w:spacing w:line="440" w:lineRule="exact"/>
              <w:ind w:firstLine="210" w:firstLineChars="100"/>
              <w:rPr>
                <w:rStyle w:val="8"/>
                <w:rFonts w:hint="eastAsia" w:ascii="宋体" w:hAnsi="宋体" w:eastAsia="宋体" w:cs="宋体"/>
                <w:snapToGrid w:val="0"/>
                <w:color w:val="auto"/>
                <w:kern w:val="0"/>
                <w:sz w:val="21"/>
                <w:szCs w:val="21"/>
                <w:lang w:val="en-US" w:eastAsia="zh-CN" w:bidi="ar-SA"/>
              </w:rPr>
            </w:pPr>
            <w:r>
              <w:rPr>
                <w:rFonts w:hint="eastAsia" w:ascii="宋体" w:hAnsi="宋体" w:eastAsia="宋体" w:cs="宋体"/>
                <w:bCs/>
                <w:color w:val="auto"/>
                <w:sz w:val="21"/>
                <w:szCs w:val="21"/>
                <w:highlight w:val="none"/>
                <w:lang w:eastAsia="zh-CN"/>
              </w:rPr>
              <w:t>合同签订后，30天内提交成果文件。</w:t>
            </w:r>
          </w:p>
        </w:tc>
        <w:tc>
          <w:tcPr>
            <w:tcW w:w="1279" w:type="dxa"/>
            <w:noWrap w:val="0"/>
            <w:vAlign w:val="center"/>
          </w:tcPr>
          <w:p w14:paraId="6B4D8E32">
            <w:pPr>
              <w:pageBreakBefore w:val="0"/>
              <w:wordWrap/>
              <w:overflowPunct/>
              <w:topLinePunct w:val="0"/>
              <w:bidi w:val="0"/>
              <w:spacing w:line="440" w:lineRule="exact"/>
              <w:jc w:val="center"/>
              <w:rPr>
                <w:rFonts w:hint="eastAsia" w:ascii="宋体" w:hAnsi="宋体" w:eastAsia="宋体" w:cs="宋体"/>
                <w:snapToGrid w:val="0"/>
                <w:color w:val="auto"/>
                <w:spacing w:val="-3"/>
                <w:kern w:val="0"/>
                <w:sz w:val="21"/>
                <w:szCs w:val="21"/>
                <w:highlight w:val="white"/>
                <w:lang w:val="en-US" w:eastAsia="en-US" w:bidi="ar-SA"/>
              </w:rPr>
            </w:pPr>
            <w:r>
              <w:rPr>
                <w:rFonts w:hint="eastAsia" w:ascii="宋体" w:hAnsi="宋体" w:eastAsia="宋体" w:cs="宋体"/>
                <w:bCs/>
                <w:color w:val="auto"/>
                <w:sz w:val="21"/>
                <w:szCs w:val="21"/>
              </w:rPr>
              <w:t>不可负偏离</w:t>
            </w:r>
          </w:p>
        </w:tc>
      </w:tr>
      <w:tr w14:paraId="5855A26F">
        <w:tblPrEx>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CellMar>
            <w:top w:w="0" w:type="dxa"/>
            <w:left w:w="0" w:type="dxa"/>
            <w:bottom w:w="0" w:type="dxa"/>
            <w:right w:w="0" w:type="dxa"/>
          </w:tblCellMar>
        </w:tblPrEx>
        <w:trPr>
          <w:trHeight w:val="1895" w:hRule="atLeast"/>
        </w:trPr>
        <w:tc>
          <w:tcPr>
            <w:tcW w:w="801" w:type="dxa"/>
            <w:noWrap w:val="0"/>
            <w:vAlign w:val="center"/>
          </w:tcPr>
          <w:p w14:paraId="6B816120">
            <w:pPr>
              <w:pageBreakBefore w:val="0"/>
              <w:wordWrap/>
              <w:overflowPunct/>
              <w:topLinePunct w:val="0"/>
              <w:bidi w:val="0"/>
              <w:spacing w:line="440" w:lineRule="exact"/>
              <w:jc w:val="center"/>
              <w:rPr>
                <w:rStyle w:val="8"/>
                <w:rFonts w:hint="eastAsia" w:ascii="宋体" w:hAnsi="宋体" w:eastAsia="宋体" w:cs="宋体"/>
                <w:snapToGrid w:val="0"/>
                <w:color w:val="auto"/>
                <w:kern w:val="0"/>
                <w:sz w:val="21"/>
                <w:szCs w:val="21"/>
                <w:lang w:val="en-US" w:eastAsia="en-US" w:bidi="ar-SA"/>
              </w:rPr>
            </w:pPr>
            <w:r>
              <w:rPr>
                <w:rFonts w:hint="eastAsia" w:ascii="宋体" w:hAnsi="宋体" w:eastAsia="宋体" w:cs="宋体"/>
                <w:bCs/>
                <w:color w:val="auto"/>
                <w:sz w:val="21"/>
                <w:szCs w:val="21"/>
              </w:rPr>
              <w:t>3</w:t>
            </w:r>
          </w:p>
        </w:tc>
        <w:tc>
          <w:tcPr>
            <w:tcW w:w="1181" w:type="dxa"/>
            <w:noWrap w:val="0"/>
            <w:vAlign w:val="center"/>
          </w:tcPr>
          <w:p w14:paraId="2B79895A">
            <w:pPr>
              <w:pageBreakBefore w:val="0"/>
              <w:wordWrap/>
              <w:overflowPunct/>
              <w:topLinePunct w:val="0"/>
              <w:bidi w:val="0"/>
              <w:spacing w:line="440" w:lineRule="exact"/>
              <w:jc w:val="center"/>
              <w:rPr>
                <w:rStyle w:val="8"/>
                <w:rFonts w:hint="eastAsia" w:ascii="宋体" w:hAnsi="宋体" w:eastAsia="宋体" w:cs="宋体"/>
                <w:snapToGrid w:val="0"/>
                <w:color w:val="auto"/>
                <w:kern w:val="0"/>
                <w:sz w:val="21"/>
                <w:szCs w:val="21"/>
                <w:highlight w:val="none"/>
                <w:lang w:val="en-US" w:eastAsia="zh-CN" w:bidi="ar-SA"/>
              </w:rPr>
            </w:pPr>
            <w:r>
              <w:rPr>
                <w:rFonts w:hint="eastAsia" w:ascii="宋体" w:hAnsi="宋体" w:eastAsia="宋体" w:cs="宋体"/>
                <w:bCs/>
                <w:color w:val="auto"/>
                <w:sz w:val="21"/>
                <w:szCs w:val="21"/>
                <w:highlight w:val="none"/>
                <w:lang w:val="zh-CN"/>
              </w:rPr>
              <w:t>付款方式</w:t>
            </w:r>
          </w:p>
        </w:tc>
        <w:tc>
          <w:tcPr>
            <w:tcW w:w="6336" w:type="dxa"/>
            <w:noWrap w:val="0"/>
            <w:vAlign w:val="center"/>
          </w:tcPr>
          <w:p w14:paraId="625FCA12">
            <w:pPr>
              <w:pageBreakBefore w:val="0"/>
              <w:widowControl/>
              <w:wordWrap/>
              <w:overflowPunct/>
              <w:topLinePunct w:val="0"/>
              <w:bidi w:val="0"/>
              <w:snapToGrid w:val="0"/>
              <w:spacing w:line="440" w:lineRule="exact"/>
              <w:ind w:left="210" w:leftChars="100" w:right="-84" w:rightChars="-40" w:firstLine="0" w:firstLineChars="0"/>
              <w:jc w:val="left"/>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rPr>
              <w:t>1、</w:t>
            </w:r>
            <w:r>
              <w:rPr>
                <w:rFonts w:hint="eastAsia" w:ascii="宋体" w:hAnsi="宋体" w:eastAsia="宋体" w:cs="宋体"/>
                <w:bCs/>
                <w:color w:val="auto"/>
                <w:sz w:val="21"/>
                <w:szCs w:val="21"/>
                <w:highlight w:val="none"/>
                <w:lang w:eastAsia="zh-CN"/>
              </w:rPr>
              <w:t>自</w:t>
            </w:r>
            <w:r>
              <w:rPr>
                <w:rFonts w:hint="eastAsia" w:ascii="宋体" w:hAnsi="宋体" w:eastAsia="宋体" w:cs="宋体"/>
                <w:bCs/>
                <w:color w:val="auto"/>
                <w:sz w:val="21"/>
                <w:szCs w:val="21"/>
                <w:highlight w:val="none"/>
              </w:rPr>
              <w:t>合同签订</w:t>
            </w:r>
            <w:r>
              <w:rPr>
                <w:rFonts w:hint="eastAsia" w:ascii="宋体" w:hAnsi="宋体" w:eastAsia="宋体" w:cs="宋体"/>
                <w:bCs/>
                <w:color w:val="auto"/>
                <w:sz w:val="21"/>
                <w:szCs w:val="21"/>
                <w:highlight w:val="none"/>
                <w:lang w:eastAsia="zh-CN"/>
              </w:rPr>
              <w:t>生效</w:t>
            </w:r>
            <w:r>
              <w:rPr>
                <w:rFonts w:hint="eastAsia" w:ascii="宋体" w:hAnsi="宋体" w:eastAsia="宋体" w:cs="宋体"/>
                <w:bCs/>
                <w:color w:val="auto"/>
                <w:sz w:val="21"/>
                <w:szCs w:val="21"/>
                <w:highlight w:val="none"/>
              </w:rPr>
              <w:t>后</w:t>
            </w:r>
            <w:r>
              <w:rPr>
                <w:rFonts w:hint="eastAsia" w:ascii="宋体" w:hAnsi="宋体" w:eastAsia="宋体" w:cs="宋体"/>
                <w:bCs/>
                <w:color w:val="auto"/>
                <w:sz w:val="21"/>
                <w:szCs w:val="21"/>
                <w:highlight w:val="none"/>
                <w:lang w:val="en-US" w:eastAsia="zh-CN"/>
              </w:rPr>
              <w:t>5个工作</w:t>
            </w:r>
            <w:r>
              <w:rPr>
                <w:rFonts w:hint="eastAsia" w:ascii="宋体" w:hAnsi="宋体" w:eastAsia="宋体" w:cs="宋体"/>
                <w:bCs/>
                <w:color w:val="auto"/>
                <w:sz w:val="21"/>
                <w:szCs w:val="21"/>
                <w:highlight w:val="none"/>
              </w:rPr>
              <w:t>日内，甲方向乙方支付合同</w:t>
            </w:r>
            <w:r>
              <w:rPr>
                <w:rFonts w:hint="eastAsia" w:ascii="宋体" w:hAnsi="宋体" w:eastAsia="宋体" w:cs="宋体"/>
                <w:bCs/>
                <w:color w:val="auto"/>
                <w:sz w:val="21"/>
                <w:szCs w:val="21"/>
                <w:highlight w:val="none"/>
                <w:lang w:eastAsia="zh-CN"/>
              </w:rPr>
              <w:t>预付款</w:t>
            </w:r>
            <w:r>
              <w:rPr>
                <w:rFonts w:hint="eastAsia" w:ascii="宋体" w:hAnsi="宋体" w:eastAsia="宋体" w:cs="宋体"/>
                <w:bCs/>
                <w:color w:val="auto"/>
                <w:sz w:val="21"/>
                <w:szCs w:val="21"/>
                <w:highlight w:val="none"/>
                <w:lang w:val="en-US" w:eastAsia="zh-CN"/>
              </w:rPr>
              <w:t>20</w:t>
            </w:r>
            <w:r>
              <w:rPr>
                <w:rFonts w:hint="eastAsia" w:ascii="宋体" w:hAnsi="宋体" w:eastAsia="宋体" w:cs="宋体"/>
                <w:bCs/>
                <w:color w:val="auto"/>
                <w:sz w:val="21"/>
                <w:szCs w:val="21"/>
                <w:highlight w:val="none"/>
              </w:rPr>
              <w:t>%作为本项目的启动资金。</w:t>
            </w:r>
          </w:p>
          <w:p w14:paraId="5EAAACA7">
            <w:pPr>
              <w:pageBreakBefore w:val="0"/>
              <w:widowControl/>
              <w:numPr>
                <w:ilvl w:val="0"/>
                <w:numId w:val="0"/>
              </w:numPr>
              <w:wordWrap/>
              <w:overflowPunct/>
              <w:topLinePunct w:val="0"/>
              <w:bidi w:val="0"/>
              <w:snapToGrid w:val="0"/>
              <w:spacing w:line="440" w:lineRule="exact"/>
              <w:ind w:leftChars="100" w:right="-84" w:rightChars="-40"/>
              <w:jc w:val="left"/>
              <w:rPr>
                <w:rStyle w:val="8"/>
                <w:rFonts w:hint="eastAsia" w:ascii="宋体" w:hAnsi="宋体" w:eastAsia="宋体" w:cs="宋体"/>
                <w:snapToGrid w:val="0"/>
                <w:color w:val="auto"/>
                <w:kern w:val="0"/>
                <w:sz w:val="21"/>
                <w:szCs w:val="21"/>
                <w:highlight w:val="none"/>
                <w:lang w:val="en-US" w:eastAsia="zh-CN" w:bidi="ar-SA"/>
              </w:rPr>
            </w:pPr>
            <w:r>
              <w:rPr>
                <w:rFonts w:hint="eastAsia" w:ascii="宋体" w:hAnsi="宋体" w:eastAsia="宋体" w:cs="宋体"/>
                <w:bCs/>
                <w:color w:val="auto"/>
                <w:sz w:val="21"/>
                <w:szCs w:val="21"/>
                <w:highlight w:val="none"/>
                <w:lang w:val="en-US" w:eastAsia="zh-CN"/>
              </w:rPr>
              <w:t>2、</w:t>
            </w:r>
            <w:r>
              <w:rPr>
                <w:rFonts w:hint="eastAsia" w:ascii="宋体" w:hAnsi="宋体" w:eastAsia="宋体" w:cs="宋体"/>
                <w:bCs/>
                <w:color w:val="auto"/>
                <w:sz w:val="21"/>
                <w:szCs w:val="21"/>
                <w:highlight w:val="none"/>
              </w:rPr>
              <w:t>全面完成</w:t>
            </w:r>
            <w:r>
              <w:rPr>
                <w:rFonts w:hint="eastAsia" w:ascii="宋体" w:hAnsi="宋体" w:eastAsia="宋体" w:cs="宋体"/>
                <w:bCs/>
                <w:color w:val="auto"/>
                <w:sz w:val="21"/>
                <w:szCs w:val="21"/>
                <w:highlight w:val="none"/>
                <w:lang w:eastAsia="zh-CN"/>
              </w:rPr>
              <w:t>2025</w:t>
            </w:r>
            <w:r>
              <w:rPr>
                <w:rFonts w:hint="eastAsia" w:ascii="宋体" w:hAnsi="宋体" w:eastAsia="宋体" w:cs="宋体"/>
                <w:bCs/>
                <w:color w:val="auto"/>
                <w:sz w:val="21"/>
                <w:szCs w:val="21"/>
                <w:highlight w:val="none"/>
              </w:rPr>
              <w:t>年度</w:t>
            </w:r>
            <w:r>
              <w:rPr>
                <w:rFonts w:hint="eastAsia" w:ascii="宋体" w:hAnsi="宋体" w:eastAsia="宋体" w:cs="宋体"/>
                <w:bCs/>
                <w:color w:val="auto"/>
                <w:sz w:val="21"/>
                <w:szCs w:val="21"/>
                <w:highlight w:val="none"/>
                <w:lang w:eastAsia="zh-CN"/>
              </w:rPr>
              <w:t>东乡区</w:t>
            </w:r>
            <w:r>
              <w:rPr>
                <w:rFonts w:hint="eastAsia" w:ascii="宋体" w:hAnsi="宋体" w:eastAsia="宋体" w:cs="宋体"/>
                <w:bCs/>
                <w:color w:val="auto"/>
                <w:sz w:val="21"/>
                <w:szCs w:val="21"/>
                <w:highlight w:val="none"/>
              </w:rPr>
              <w:t>国土变更调查项目，</w:t>
            </w:r>
            <w:r>
              <w:rPr>
                <w:rFonts w:hint="eastAsia" w:ascii="宋体" w:hAnsi="宋体" w:eastAsia="宋体" w:cs="宋体"/>
                <w:bCs/>
                <w:color w:val="auto"/>
                <w:sz w:val="21"/>
                <w:szCs w:val="21"/>
                <w:highlight w:val="none"/>
                <w:lang w:val="en-US" w:eastAsia="zh-CN"/>
              </w:rPr>
              <w:t>通过最终</w:t>
            </w:r>
            <w:r>
              <w:rPr>
                <w:rFonts w:hint="eastAsia" w:ascii="宋体" w:hAnsi="宋体" w:eastAsia="宋体" w:cs="宋体"/>
                <w:bCs/>
                <w:color w:val="auto"/>
                <w:sz w:val="21"/>
                <w:szCs w:val="21"/>
                <w:highlight w:val="none"/>
                <w:lang w:eastAsia="zh-CN"/>
              </w:rPr>
              <w:t>验收</w:t>
            </w:r>
            <w:r>
              <w:rPr>
                <w:rFonts w:hint="eastAsia" w:ascii="宋体" w:hAnsi="宋体" w:eastAsia="宋体" w:cs="宋体"/>
                <w:bCs/>
                <w:color w:val="auto"/>
                <w:sz w:val="21"/>
                <w:szCs w:val="21"/>
                <w:highlight w:val="none"/>
              </w:rPr>
              <w:t>后，支付本项目合同总金额的</w:t>
            </w:r>
            <w:r>
              <w:rPr>
                <w:rFonts w:hint="eastAsia" w:ascii="宋体" w:hAnsi="宋体" w:eastAsia="宋体" w:cs="宋体"/>
                <w:bCs/>
                <w:color w:val="auto"/>
                <w:sz w:val="21"/>
                <w:szCs w:val="21"/>
                <w:highlight w:val="none"/>
                <w:lang w:val="en-US" w:eastAsia="zh-CN"/>
              </w:rPr>
              <w:t>80</w:t>
            </w:r>
            <w:r>
              <w:rPr>
                <w:rFonts w:hint="eastAsia" w:ascii="宋体" w:hAnsi="宋体" w:eastAsia="宋体" w:cs="宋体"/>
                <w:bCs/>
                <w:color w:val="auto"/>
                <w:sz w:val="21"/>
                <w:szCs w:val="21"/>
                <w:highlight w:val="none"/>
              </w:rPr>
              <w:t>%。</w:t>
            </w:r>
          </w:p>
        </w:tc>
        <w:tc>
          <w:tcPr>
            <w:tcW w:w="1279" w:type="dxa"/>
            <w:noWrap w:val="0"/>
            <w:vAlign w:val="center"/>
          </w:tcPr>
          <w:p w14:paraId="02006C1D">
            <w:pPr>
              <w:pageBreakBefore w:val="0"/>
              <w:wordWrap/>
              <w:overflowPunct/>
              <w:topLinePunct w:val="0"/>
              <w:bidi w:val="0"/>
              <w:spacing w:line="440" w:lineRule="exact"/>
              <w:jc w:val="center"/>
              <w:rPr>
                <w:rStyle w:val="8"/>
                <w:rFonts w:hint="eastAsia" w:ascii="宋体" w:hAnsi="宋体" w:eastAsia="宋体" w:cs="宋体"/>
                <w:snapToGrid w:val="0"/>
                <w:color w:val="auto"/>
                <w:kern w:val="0"/>
                <w:sz w:val="21"/>
                <w:szCs w:val="21"/>
                <w:lang w:val="en-US" w:eastAsia="en-US" w:bidi="ar-SA"/>
              </w:rPr>
            </w:pPr>
            <w:r>
              <w:rPr>
                <w:rFonts w:hint="eastAsia" w:ascii="宋体" w:hAnsi="宋体" w:eastAsia="宋体" w:cs="宋体"/>
                <w:bCs/>
                <w:color w:val="auto"/>
                <w:sz w:val="21"/>
                <w:szCs w:val="21"/>
              </w:rPr>
              <w:t>不可负偏离</w:t>
            </w:r>
          </w:p>
        </w:tc>
      </w:tr>
      <w:tr w14:paraId="2AF3049A">
        <w:tblPrEx>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CellMar>
            <w:top w:w="0" w:type="dxa"/>
            <w:left w:w="0" w:type="dxa"/>
            <w:bottom w:w="0" w:type="dxa"/>
            <w:right w:w="0" w:type="dxa"/>
          </w:tblCellMar>
        </w:tblPrEx>
        <w:trPr>
          <w:trHeight w:val="1128" w:hRule="atLeast"/>
        </w:trPr>
        <w:tc>
          <w:tcPr>
            <w:tcW w:w="801" w:type="dxa"/>
            <w:noWrap w:val="0"/>
            <w:vAlign w:val="center"/>
          </w:tcPr>
          <w:p w14:paraId="537A5AA4">
            <w:pPr>
              <w:pageBreakBefore w:val="0"/>
              <w:wordWrap/>
              <w:overflowPunct/>
              <w:topLinePunct w:val="0"/>
              <w:bidi w:val="0"/>
              <w:spacing w:line="440" w:lineRule="exact"/>
              <w:jc w:val="center"/>
              <w:rPr>
                <w:rStyle w:val="8"/>
                <w:rFonts w:hint="eastAsia" w:ascii="宋体" w:hAnsi="宋体" w:eastAsia="宋体" w:cs="宋体"/>
                <w:snapToGrid w:val="0"/>
                <w:color w:val="auto"/>
                <w:kern w:val="0"/>
                <w:sz w:val="21"/>
                <w:szCs w:val="21"/>
                <w:lang w:val="en-US" w:eastAsia="en-US" w:bidi="ar-SA"/>
              </w:rPr>
            </w:pPr>
            <w:r>
              <w:rPr>
                <w:rFonts w:hint="eastAsia" w:ascii="宋体" w:hAnsi="宋体" w:eastAsia="宋体" w:cs="宋体"/>
                <w:bCs/>
                <w:color w:val="auto"/>
                <w:sz w:val="21"/>
                <w:szCs w:val="21"/>
              </w:rPr>
              <w:t>4</w:t>
            </w:r>
          </w:p>
        </w:tc>
        <w:tc>
          <w:tcPr>
            <w:tcW w:w="1181" w:type="dxa"/>
            <w:noWrap w:val="0"/>
            <w:vAlign w:val="center"/>
          </w:tcPr>
          <w:p w14:paraId="3529B84D">
            <w:pPr>
              <w:pageBreakBefore w:val="0"/>
              <w:wordWrap/>
              <w:overflowPunct/>
              <w:topLinePunct w:val="0"/>
              <w:bidi w:val="0"/>
              <w:spacing w:line="440" w:lineRule="exact"/>
              <w:jc w:val="center"/>
              <w:rPr>
                <w:rStyle w:val="8"/>
                <w:rFonts w:hint="eastAsia" w:ascii="宋体" w:hAnsi="宋体" w:eastAsia="宋体" w:cs="宋体"/>
                <w:snapToGrid w:val="0"/>
                <w:color w:val="auto"/>
                <w:kern w:val="0"/>
                <w:sz w:val="21"/>
                <w:szCs w:val="21"/>
                <w:lang w:val="en-US" w:eastAsia="zh-CN" w:bidi="ar-SA"/>
              </w:rPr>
            </w:pPr>
            <w:r>
              <w:rPr>
                <w:rFonts w:hint="eastAsia" w:ascii="宋体" w:hAnsi="宋体" w:eastAsia="宋体" w:cs="宋体"/>
                <w:bCs/>
                <w:color w:val="auto"/>
                <w:sz w:val="21"/>
                <w:szCs w:val="21"/>
                <w:lang w:val="zh-CN"/>
              </w:rPr>
              <w:t>报价方式</w:t>
            </w:r>
          </w:p>
        </w:tc>
        <w:tc>
          <w:tcPr>
            <w:tcW w:w="6336" w:type="dxa"/>
            <w:noWrap w:val="0"/>
            <w:vAlign w:val="center"/>
          </w:tcPr>
          <w:p w14:paraId="37EF0B23">
            <w:pPr>
              <w:pageBreakBefore w:val="0"/>
              <w:wordWrap/>
              <w:overflowPunct/>
              <w:topLinePunct w:val="0"/>
              <w:bidi w:val="0"/>
              <w:spacing w:line="440" w:lineRule="exact"/>
              <w:ind w:left="210" w:leftChars="100" w:firstLine="0" w:firstLineChars="0"/>
              <w:rPr>
                <w:rStyle w:val="8"/>
                <w:rFonts w:hint="eastAsia" w:ascii="宋体" w:hAnsi="宋体" w:eastAsia="宋体" w:cs="宋体"/>
                <w:snapToGrid w:val="0"/>
                <w:color w:val="auto"/>
                <w:kern w:val="0"/>
                <w:sz w:val="21"/>
                <w:szCs w:val="21"/>
                <w:lang w:val="en-US" w:eastAsia="en-US" w:bidi="ar-SA"/>
              </w:rPr>
            </w:pPr>
            <w:r>
              <w:rPr>
                <w:rStyle w:val="8"/>
                <w:rFonts w:hint="eastAsia" w:ascii="宋体" w:hAnsi="宋体" w:eastAsia="宋体" w:cs="宋体"/>
                <w:snapToGrid w:val="0"/>
                <w:color w:val="auto"/>
                <w:kern w:val="0"/>
                <w:sz w:val="21"/>
                <w:szCs w:val="21"/>
                <w:lang w:val="en-US" w:eastAsia="en-US" w:bidi="ar-SA"/>
              </w:rPr>
              <w:t>以人民币报价，包括完成项目要求所需的直接、间接费、利润、税金及其它相关的一切费用等，均应列入总报价。</w:t>
            </w:r>
          </w:p>
        </w:tc>
        <w:tc>
          <w:tcPr>
            <w:tcW w:w="1279" w:type="dxa"/>
            <w:noWrap w:val="0"/>
            <w:vAlign w:val="center"/>
          </w:tcPr>
          <w:p w14:paraId="0E85EA26">
            <w:pPr>
              <w:pageBreakBefore w:val="0"/>
              <w:wordWrap/>
              <w:overflowPunct/>
              <w:topLinePunct w:val="0"/>
              <w:bidi w:val="0"/>
              <w:spacing w:line="440" w:lineRule="exact"/>
              <w:jc w:val="center"/>
              <w:rPr>
                <w:rStyle w:val="8"/>
                <w:rFonts w:hint="eastAsia" w:ascii="宋体" w:hAnsi="宋体" w:eastAsia="宋体" w:cs="宋体"/>
                <w:snapToGrid w:val="0"/>
                <w:color w:val="auto"/>
                <w:kern w:val="0"/>
                <w:sz w:val="21"/>
                <w:szCs w:val="21"/>
                <w:lang w:val="en-US" w:eastAsia="en-US" w:bidi="ar-SA"/>
              </w:rPr>
            </w:pPr>
            <w:r>
              <w:rPr>
                <w:rFonts w:hint="eastAsia" w:ascii="宋体" w:hAnsi="宋体" w:eastAsia="宋体" w:cs="宋体"/>
                <w:bCs/>
                <w:color w:val="auto"/>
                <w:sz w:val="21"/>
                <w:szCs w:val="21"/>
              </w:rPr>
              <w:t>不可负偏离</w:t>
            </w:r>
          </w:p>
        </w:tc>
      </w:tr>
      <w:tr w14:paraId="31D86FAB">
        <w:tblPrEx>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CellMar>
            <w:top w:w="0" w:type="dxa"/>
            <w:left w:w="0" w:type="dxa"/>
            <w:bottom w:w="0" w:type="dxa"/>
            <w:right w:w="0" w:type="dxa"/>
          </w:tblCellMar>
        </w:tblPrEx>
        <w:trPr>
          <w:trHeight w:val="948" w:hRule="atLeast"/>
        </w:trPr>
        <w:tc>
          <w:tcPr>
            <w:tcW w:w="801" w:type="dxa"/>
            <w:noWrap w:val="0"/>
            <w:vAlign w:val="center"/>
          </w:tcPr>
          <w:p w14:paraId="3FCF3B65">
            <w:pPr>
              <w:pageBreakBefore w:val="0"/>
              <w:wordWrap/>
              <w:overflowPunct/>
              <w:topLinePunct w:val="0"/>
              <w:bidi w:val="0"/>
              <w:spacing w:line="440" w:lineRule="exact"/>
              <w:jc w:val="center"/>
              <w:rPr>
                <w:rFonts w:hint="eastAsia" w:ascii="宋体" w:hAnsi="宋体" w:eastAsia="宋体" w:cs="宋体"/>
                <w:bCs/>
                <w:color w:val="auto"/>
                <w:sz w:val="21"/>
                <w:szCs w:val="21"/>
                <w:lang w:val="en-US" w:eastAsia="zh-CN"/>
              </w:rPr>
            </w:pPr>
            <w:r>
              <w:rPr>
                <w:rFonts w:hint="eastAsia" w:ascii="宋体" w:hAnsi="宋体" w:eastAsia="宋体" w:cs="宋体"/>
                <w:bCs/>
                <w:color w:val="auto"/>
                <w:sz w:val="21"/>
                <w:szCs w:val="21"/>
                <w:lang w:val="en-US" w:eastAsia="zh-CN"/>
              </w:rPr>
              <w:t>5</w:t>
            </w:r>
          </w:p>
        </w:tc>
        <w:tc>
          <w:tcPr>
            <w:tcW w:w="1181" w:type="dxa"/>
            <w:noWrap w:val="0"/>
            <w:vAlign w:val="center"/>
          </w:tcPr>
          <w:p w14:paraId="657E9555">
            <w:pPr>
              <w:pageBreakBefore w:val="0"/>
              <w:wordWrap/>
              <w:overflowPunct/>
              <w:topLinePunct w:val="0"/>
              <w:bidi w:val="0"/>
              <w:spacing w:line="440" w:lineRule="exact"/>
              <w:jc w:val="center"/>
              <w:rPr>
                <w:rFonts w:hint="eastAsia" w:ascii="宋体" w:hAnsi="宋体" w:eastAsia="宋体" w:cs="宋体"/>
                <w:bCs/>
                <w:color w:val="auto"/>
                <w:sz w:val="21"/>
                <w:szCs w:val="21"/>
                <w:lang w:val="en-US" w:eastAsia="zh-CN"/>
              </w:rPr>
            </w:pPr>
            <w:r>
              <w:rPr>
                <w:rFonts w:hint="eastAsia" w:ascii="宋体" w:hAnsi="宋体" w:eastAsia="宋体" w:cs="宋体"/>
                <w:bCs/>
                <w:color w:val="auto"/>
                <w:sz w:val="21"/>
                <w:szCs w:val="21"/>
                <w:lang w:val="en-US" w:eastAsia="zh-CN"/>
              </w:rPr>
              <w:t>产品验收</w:t>
            </w:r>
          </w:p>
        </w:tc>
        <w:tc>
          <w:tcPr>
            <w:tcW w:w="6336" w:type="dxa"/>
            <w:noWrap w:val="0"/>
            <w:vAlign w:val="center"/>
          </w:tcPr>
          <w:p w14:paraId="4FFCB288">
            <w:pPr>
              <w:pageBreakBefore w:val="0"/>
              <w:wordWrap/>
              <w:overflowPunct/>
              <w:topLinePunct w:val="0"/>
              <w:bidi w:val="0"/>
              <w:spacing w:line="440" w:lineRule="exact"/>
              <w:ind w:left="210" w:leftChars="100" w:firstLine="0" w:firstLineChars="0"/>
              <w:rPr>
                <w:rFonts w:hint="default" w:ascii="宋体" w:hAnsi="宋体" w:eastAsia="宋体" w:cs="宋体"/>
                <w:bCs/>
                <w:color w:val="auto"/>
                <w:sz w:val="21"/>
                <w:szCs w:val="21"/>
                <w:highlight w:val="none"/>
                <w:lang w:val="en-US" w:eastAsia="zh-CN"/>
              </w:rPr>
            </w:pPr>
            <w:r>
              <w:rPr>
                <w:rFonts w:hint="default" w:ascii="宋体" w:hAnsi="宋体" w:eastAsia="宋体" w:cs="宋体"/>
                <w:bCs/>
                <w:color w:val="auto"/>
                <w:sz w:val="21"/>
                <w:szCs w:val="21"/>
                <w:highlight w:val="none"/>
                <w:lang w:val="en-US" w:eastAsia="zh-CN"/>
              </w:rPr>
              <w:t>通过江西省自然资源厅验收合格。</w:t>
            </w:r>
          </w:p>
        </w:tc>
        <w:tc>
          <w:tcPr>
            <w:tcW w:w="1279" w:type="dxa"/>
            <w:noWrap w:val="0"/>
            <w:vAlign w:val="center"/>
          </w:tcPr>
          <w:p w14:paraId="7BA35165">
            <w:pPr>
              <w:pageBreakBefore w:val="0"/>
              <w:wordWrap/>
              <w:overflowPunct/>
              <w:topLinePunct w:val="0"/>
              <w:bidi w:val="0"/>
              <w:spacing w:line="440" w:lineRule="exact"/>
              <w:jc w:val="center"/>
              <w:rPr>
                <w:rFonts w:hint="eastAsia" w:ascii="宋体" w:hAnsi="宋体" w:eastAsia="宋体" w:cs="宋体"/>
                <w:bCs/>
                <w:color w:val="auto"/>
                <w:sz w:val="21"/>
                <w:szCs w:val="21"/>
              </w:rPr>
            </w:pPr>
            <w:r>
              <w:rPr>
                <w:rFonts w:hint="eastAsia" w:ascii="宋体" w:hAnsi="宋体" w:eastAsia="宋体" w:cs="宋体"/>
                <w:bCs/>
                <w:color w:val="auto"/>
                <w:sz w:val="21"/>
                <w:szCs w:val="21"/>
              </w:rPr>
              <w:t>不可负偏离</w:t>
            </w:r>
          </w:p>
        </w:tc>
      </w:tr>
      <w:tr w14:paraId="48006DA0">
        <w:tblPrEx>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CellMar>
            <w:top w:w="0" w:type="dxa"/>
            <w:left w:w="0" w:type="dxa"/>
            <w:bottom w:w="0" w:type="dxa"/>
            <w:right w:w="0" w:type="dxa"/>
          </w:tblCellMar>
        </w:tblPrEx>
        <w:trPr>
          <w:trHeight w:val="1145" w:hRule="atLeast"/>
        </w:trPr>
        <w:tc>
          <w:tcPr>
            <w:tcW w:w="801" w:type="dxa"/>
            <w:noWrap w:val="0"/>
            <w:vAlign w:val="center"/>
          </w:tcPr>
          <w:p w14:paraId="36066439">
            <w:pPr>
              <w:pageBreakBefore w:val="0"/>
              <w:wordWrap/>
              <w:overflowPunct/>
              <w:topLinePunct w:val="0"/>
              <w:bidi w:val="0"/>
              <w:spacing w:line="440" w:lineRule="exact"/>
              <w:jc w:val="center"/>
              <w:rPr>
                <w:rFonts w:hint="eastAsia" w:ascii="宋体" w:hAnsi="宋体" w:eastAsia="宋体" w:cs="宋体"/>
                <w:bCs/>
                <w:color w:val="auto"/>
                <w:sz w:val="21"/>
                <w:szCs w:val="21"/>
                <w:lang w:val="en-US" w:eastAsia="zh-CN"/>
              </w:rPr>
            </w:pPr>
            <w:r>
              <w:rPr>
                <w:rFonts w:hint="eastAsia" w:ascii="宋体" w:hAnsi="宋体" w:eastAsia="宋体" w:cs="宋体"/>
                <w:bCs/>
                <w:color w:val="auto"/>
                <w:sz w:val="21"/>
                <w:szCs w:val="21"/>
                <w:lang w:val="en-US" w:eastAsia="zh-CN"/>
              </w:rPr>
              <w:t>6</w:t>
            </w:r>
          </w:p>
        </w:tc>
        <w:tc>
          <w:tcPr>
            <w:tcW w:w="1181" w:type="dxa"/>
            <w:noWrap w:val="0"/>
            <w:vAlign w:val="center"/>
          </w:tcPr>
          <w:p w14:paraId="0DFFFC98">
            <w:pPr>
              <w:pageBreakBefore w:val="0"/>
              <w:wordWrap/>
              <w:overflowPunct/>
              <w:topLinePunct w:val="0"/>
              <w:bidi w:val="0"/>
              <w:spacing w:line="440" w:lineRule="exact"/>
              <w:jc w:val="center"/>
              <w:rPr>
                <w:rFonts w:hint="eastAsia" w:ascii="宋体" w:hAnsi="宋体" w:eastAsia="宋体" w:cs="宋体"/>
                <w:bCs/>
                <w:color w:val="auto"/>
                <w:sz w:val="21"/>
                <w:szCs w:val="21"/>
                <w:lang w:val="en-US" w:eastAsia="zh-CN"/>
              </w:rPr>
            </w:pPr>
            <w:r>
              <w:rPr>
                <w:rFonts w:hint="eastAsia" w:ascii="宋体" w:hAnsi="宋体" w:eastAsia="宋体" w:cs="宋体"/>
                <w:bCs/>
                <w:color w:val="auto"/>
                <w:kern w:val="0"/>
                <w:sz w:val="21"/>
                <w:szCs w:val="21"/>
              </w:rPr>
              <w:t>服务要求</w:t>
            </w:r>
          </w:p>
        </w:tc>
        <w:tc>
          <w:tcPr>
            <w:tcW w:w="6336" w:type="dxa"/>
            <w:noWrap w:val="0"/>
            <w:vAlign w:val="center"/>
          </w:tcPr>
          <w:p w14:paraId="2465F419">
            <w:pPr>
              <w:pageBreakBefore w:val="0"/>
              <w:wordWrap/>
              <w:overflowPunct/>
              <w:topLinePunct w:val="0"/>
              <w:bidi w:val="0"/>
              <w:spacing w:line="440" w:lineRule="exact"/>
              <w:ind w:left="210" w:leftChars="100" w:firstLine="0" w:firstLineChars="0"/>
              <w:rPr>
                <w:rFonts w:hint="default"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shd w:val="clear" w:color="auto" w:fill="auto"/>
                <w:lang w:val="zh-CN"/>
              </w:rPr>
              <w:t>提供7×24小时技术支持，提供高效的服务，当出现</w:t>
            </w:r>
            <w:r>
              <w:rPr>
                <w:rFonts w:hint="eastAsia" w:ascii="宋体" w:hAnsi="宋体" w:eastAsia="宋体" w:cs="宋体"/>
                <w:bCs/>
                <w:color w:val="auto"/>
                <w:sz w:val="21"/>
                <w:szCs w:val="21"/>
                <w:shd w:val="clear" w:color="auto" w:fill="auto"/>
              </w:rPr>
              <w:t>问题</w:t>
            </w:r>
            <w:r>
              <w:rPr>
                <w:rFonts w:hint="eastAsia" w:ascii="宋体" w:hAnsi="宋体" w:eastAsia="宋体" w:cs="宋体"/>
                <w:bCs/>
                <w:color w:val="auto"/>
                <w:sz w:val="21"/>
                <w:szCs w:val="21"/>
                <w:shd w:val="clear" w:color="auto" w:fill="auto"/>
                <w:lang w:val="zh-CN"/>
              </w:rPr>
              <w:t>后应在两小时内响应，24小时内赶到现场并解决问题。</w:t>
            </w:r>
          </w:p>
        </w:tc>
        <w:tc>
          <w:tcPr>
            <w:tcW w:w="1279" w:type="dxa"/>
            <w:noWrap w:val="0"/>
            <w:vAlign w:val="center"/>
          </w:tcPr>
          <w:p w14:paraId="783DF942">
            <w:pPr>
              <w:pageBreakBefore w:val="0"/>
              <w:wordWrap/>
              <w:overflowPunct/>
              <w:topLinePunct w:val="0"/>
              <w:bidi w:val="0"/>
              <w:spacing w:line="440" w:lineRule="exact"/>
              <w:jc w:val="center"/>
              <w:rPr>
                <w:rFonts w:hint="eastAsia" w:ascii="宋体" w:hAnsi="宋体" w:eastAsia="宋体" w:cs="宋体"/>
                <w:bCs/>
                <w:color w:val="auto"/>
                <w:sz w:val="21"/>
                <w:szCs w:val="21"/>
              </w:rPr>
            </w:pPr>
            <w:r>
              <w:rPr>
                <w:rFonts w:hint="eastAsia" w:ascii="宋体" w:hAnsi="宋体" w:eastAsia="宋体" w:cs="宋体"/>
                <w:bCs/>
                <w:color w:val="auto"/>
                <w:sz w:val="21"/>
                <w:szCs w:val="21"/>
              </w:rPr>
              <w:t>不可负偏离</w:t>
            </w:r>
          </w:p>
        </w:tc>
      </w:tr>
    </w:tbl>
    <w:p w14:paraId="2C63529F">
      <w:pPr>
        <w:pageBreakBefore w:val="0"/>
        <w:widowControl w:val="0"/>
        <w:wordWrap/>
        <w:overflowPunct/>
        <w:topLinePunct w:val="0"/>
        <w:bidi w:val="0"/>
        <w:spacing w:line="249" w:lineRule="auto"/>
        <w:rPr>
          <w:color w:val="auto"/>
          <w:highlight w:val="none"/>
          <w:lang w:eastAsia="zh-CN"/>
        </w:rPr>
      </w:pPr>
    </w:p>
    <w:p w14:paraId="6AEAA2EE">
      <w:pPr>
        <w:pStyle w:val="3"/>
        <w:pageBreakBefore w:val="0"/>
        <w:wordWrap/>
        <w:overflowPunct/>
        <w:topLinePunct w:val="0"/>
        <w:bidi w:val="0"/>
        <w:spacing w:before="78" w:line="440" w:lineRule="exact"/>
        <w:rPr>
          <w:rFonts w:hint="eastAsia" w:ascii="宋体" w:hAnsi="宋体" w:eastAsia="宋体" w:cs="宋体"/>
          <w:b/>
          <w:bCs/>
          <w:sz w:val="21"/>
          <w:szCs w:val="21"/>
        </w:rPr>
      </w:pPr>
      <w:r>
        <w:rPr>
          <w:rFonts w:hint="eastAsia" w:ascii="宋体" w:hAnsi="宋体" w:eastAsia="宋体" w:cs="宋体"/>
          <w:b/>
          <w:bCs/>
          <w:spacing w:val="1"/>
          <w:sz w:val="21"/>
          <w:szCs w:val="21"/>
          <w:highlight w:val="white"/>
        </w:rPr>
        <w:t>注：1、以上所有商务条款均为重要条款，供应商必须完</w:t>
      </w:r>
      <w:r>
        <w:rPr>
          <w:rFonts w:hint="eastAsia" w:ascii="宋体" w:hAnsi="宋体" w:eastAsia="宋体" w:cs="宋体"/>
          <w:b/>
          <w:bCs/>
          <w:sz w:val="21"/>
          <w:szCs w:val="21"/>
          <w:highlight w:val="white"/>
        </w:rPr>
        <w:t>全满足，否则作无效响应文件处理。</w:t>
      </w:r>
    </w:p>
    <w:p w14:paraId="3AD3CB29"/>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DF36F1">
    <w:pPr>
      <w:pStyle w:val="5"/>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ABB1E2C">
                          <w:pPr>
                            <w:pStyle w:val="5"/>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Ey20z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iEy20zAgAAZQQAAA4AAAAAAAAAAQAgAAAAHwEAAGRycy9lMm9Eb2MueG1sUEsF&#10;BgAAAAAGAAYAWQEAAMQFAAAAAA==&#10;">
              <v:fill on="f" focussize="0,0"/>
              <v:stroke on="f" weight="0.5pt"/>
              <v:imagedata o:title=""/>
              <o:lock v:ext="edit" aspectratio="f"/>
              <v:textbox inset="0mm,0mm,0mm,0mm" style="mso-fit-shape-to-text:t;">
                <w:txbxContent>
                  <w:p w14:paraId="4ABB1E2C">
                    <w:pPr>
                      <w:pStyle w:val="5"/>
                    </w:pPr>
                    <w:r>
                      <w:fldChar w:fldCharType="begin"/>
                    </w:r>
                    <w:r>
                      <w:instrText xml:space="preserve"> PAGE  \* MERGEFORMAT </w:instrText>
                    </w:r>
                    <w:r>
                      <w:fldChar w:fldCharType="separate"/>
                    </w:r>
                    <w:r>
                      <w:t>55</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8FC4AAA"/>
    <w:multiLevelType w:val="singleLevel"/>
    <w:tmpl w:val="48FC4AAA"/>
    <w:lvl w:ilvl="0" w:tentative="0">
      <w:start w:val="4"/>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DED0A75"/>
    <w:rsid w:val="7DED0A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nhideWhenUsed="0" w:uiPriority="0" w:semiHidden="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qFormat="1" w:unhideWhenUsed="0" w:uiPriority="39"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8"/>
    <w:basedOn w:val="1"/>
    <w:next w:val="1"/>
    <w:qFormat/>
    <w:uiPriority w:val="0"/>
    <w:pPr>
      <w:keepNext/>
      <w:keepLines/>
      <w:spacing w:before="240" w:after="64" w:line="317" w:lineRule="auto"/>
      <w:outlineLvl w:val="7"/>
    </w:pPr>
    <w:rPr>
      <w:rFonts w:ascii="Arial" w:hAnsi="Arial" w:eastAsia="黑体"/>
      <w:kern w:val="0"/>
      <w:sz w:val="24"/>
      <w:lang w:val="zh-CN"/>
    </w:rPr>
  </w:style>
  <w:style w:type="character" w:default="1" w:styleId="8">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3">
    <w:name w:val="Body Text"/>
    <w:basedOn w:val="1"/>
    <w:next w:val="4"/>
    <w:qFormat/>
    <w:uiPriority w:val="0"/>
    <w:rPr>
      <w:rFonts w:ascii="仿宋" w:hAnsi="仿宋" w:eastAsia="仿宋" w:cs="仿宋"/>
      <w:sz w:val="30"/>
      <w:szCs w:val="30"/>
    </w:rPr>
  </w:style>
  <w:style w:type="paragraph" w:styleId="4">
    <w:name w:val="toc 4"/>
    <w:basedOn w:val="1"/>
    <w:next w:val="1"/>
    <w:qFormat/>
    <w:uiPriority w:val="39"/>
    <w:pPr>
      <w:ind w:left="1260" w:leftChars="600"/>
    </w:pPr>
  </w:style>
  <w:style w:type="paragraph" w:styleId="5">
    <w:name w:val="footer"/>
    <w:basedOn w:val="1"/>
    <w:qFormat/>
    <w:uiPriority w:val="0"/>
    <w:pPr>
      <w:tabs>
        <w:tab w:val="center" w:pos="4153"/>
        <w:tab w:val="right" w:pos="8306"/>
      </w:tabs>
    </w:pPr>
    <w:rPr>
      <w:sz w:val="18"/>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9">
    <w:name w:val="Table Normal"/>
    <w:semiHidden/>
    <w:unhideWhenUsed/>
    <w:qFormat/>
    <w:uiPriority w:val="0"/>
    <w:tblPr>
      <w:tblCellMar>
        <w:top w:w="0" w:type="dxa"/>
        <w:left w:w="0" w:type="dxa"/>
        <w:bottom w:w="0" w:type="dxa"/>
        <w:right w:w="0" w:type="dxa"/>
      </w:tblCellMar>
    </w:tblPr>
  </w:style>
  <w:style w:type="paragraph" w:customStyle="1" w:styleId="10">
    <w:name w:val="Table Text"/>
    <w:basedOn w:val="1"/>
    <w:semiHidden/>
    <w:qFormat/>
    <w:uiPriority w:val="0"/>
  </w:style>
  <w:style w:type="table" w:customStyle="1" w:styleId="11">
    <w:name w:val="Table Normal_0"/>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2</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2026-06-05T08:49:00Z</dcterms:created>
  <dc:creator>陈憨憨</dc:creator>
  <cp:lastModifiedBy>陈憨憨</cp:lastModifiedBy>
  <dcterms:modified xsi:type="dcterms:W3CDTF">2026-06-05T08:53:33Z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944C2BEC39D3445DAE413D111D644441_11</vt:lpwstr>
  </property>
  <property fmtid="{D5CDD505-2E9C-101B-9397-08002B2CF9AE}" pid="4" name="KSOTemplateDocerSaveRecord">
    <vt:lpwstr>eyJoZGlkIjoiN2VmOGY1NDg5Nzg3YjA3YjJhZjAxNjJmMWZlNjE0MzAiLCJ1c2VySWQiOiI4NDQ0MzU5MDAifQ==</vt:lpwstr>
  </property>
</Properties>
</file>