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FE1AF51">
      <w:pPr>
        <w:pageBreakBefore w:val="0"/>
        <w:widowControl w:val="0"/>
        <w:kinsoku/>
        <w:wordWrap/>
        <w:overflowPunct/>
        <w:topLinePunct w:val="0"/>
        <w:bidi w:val="0"/>
        <w:spacing w:before="47" w:line="219" w:lineRule="auto"/>
        <w:ind w:left="3805"/>
        <w:jc w:val="both"/>
        <w:outlineLvl w:val="1"/>
        <w:rPr>
          <w:rFonts w:ascii="宋体" w:hAnsi="宋体" w:eastAsia="宋体" w:cs="宋体"/>
          <w:color w:val="auto"/>
          <w:sz w:val="24"/>
          <w:szCs w:val="24"/>
          <w:highlight w:val="none"/>
        </w:rPr>
      </w:pPr>
      <w:bookmarkStart w:id="0" w:name="_Toc12257"/>
      <w:bookmarkStart w:id="1" w:name="_Toc12949"/>
      <w:bookmarkStart w:id="2" w:name="_Toc10977"/>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二、采购</w:t>
      </w: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要</w:t>
      </w:r>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求</w:t>
      </w:r>
      <w:bookmarkEnd w:id="0"/>
      <w:bookmarkEnd w:id="1"/>
      <w:bookmarkEnd w:id="2"/>
    </w:p>
    <w:p w14:paraId="2A218C7A">
      <w:pPr>
        <w:pageBreakBefore w:val="0"/>
        <w:widowControl w:val="0"/>
        <w:kinsoku/>
        <w:wordWrap/>
        <w:overflowPunct/>
        <w:topLinePunct w:val="0"/>
        <w:bidi w:val="0"/>
        <w:spacing w:line="257" w:lineRule="auto"/>
        <w:jc w:val="both"/>
        <w:rPr>
          <w:color w:val="auto"/>
          <w:highlight w:val="none"/>
        </w:rPr>
      </w:pPr>
    </w:p>
    <w:p w14:paraId="0A090338">
      <w:pPr>
        <w:pageBreakBefore w:val="0"/>
        <w:widowControl w:val="0"/>
        <w:kinsoku/>
        <w:wordWrap/>
        <w:overflowPunct/>
        <w:topLinePunct w:val="0"/>
        <w:bidi w:val="0"/>
        <w:spacing w:line="258" w:lineRule="auto"/>
        <w:jc w:val="both"/>
        <w:rPr>
          <w:color w:val="auto"/>
          <w:highlight w:val="none"/>
        </w:rPr>
      </w:pPr>
    </w:p>
    <w:p w14:paraId="6C3E17EF">
      <w:pPr>
        <w:pageBreakBefore w:val="0"/>
        <w:widowControl w:val="0"/>
        <w:kinsoku/>
        <w:wordWrap/>
        <w:overflowPunct/>
        <w:topLinePunct w:val="0"/>
        <w:bidi w:val="0"/>
        <w:spacing w:line="258" w:lineRule="auto"/>
        <w:jc w:val="both"/>
        <w:rPr>
          <w:color w:val="auto"/>
          <w:highlight w:val="none"/>
        </w:rPr>
      </w:pPr>
    </w:p>
    <w:p w14:paraId="45C75F4B">
      <w:pPr>
        <w:pageBreakBefore w:val="0"/>
        <w:widowControl w:val="0"/>
        <w:kinsoku/>
        <w:wordWrap/>
        <w:overflowPunct/>
        <w:topLinePunct w:val="0"/>
        <w:bidi w:val="0"/>
        <w:spacing w:before="78" w:line="219" w:lineRule="auto"/>
        <w:jc w:val="both"/>
        <w:rPr>
          <w:color w:val="auto"/>
          <w:highlight w:val="none"/>
        </w:rPr>
      </w:pPr>
      <w:r>
        <w:rPr>
          <w:rFonts w:ascii="宋体" w:hAnsi="宋体" w:eastAsia="宋体" w:cs="宋体"/>
          <w:color w:val="auto"/>
          <w:spacing w:val="-5"/>
          <w:sz w:val="24"/>
          <w:szCs w:val="24"/>
          <w:highlight w:val="none"/>
        </w:rPr>
        <w:t>（一）</w:t>
      </w:r>
      <w:r>
        <w:rPr>
          <w:rFonts w:ascii="宋体" w:hAnsi="宋体" w:eastAsia="宋体" w:cs="宋体"/>
          <w:color w:val="auto"/>
          <w:spacing w:val="25"/>
          <w:sz w:val="24"/>
          <w:szCs w:val="24"/>
          <w:highlight w:val="none"/>
        </w:rPr>
        <w:t xml:space="preserve"> </w:t>
      </w:r>
      <w:r>
        <w:rPr>
          <w:rFonts w:ascii="宋体" w:hAnsi="宋体" w:eastAsia="宋体" w:cs="宋体"/>
          <w:color w:val="auto"/>
          <w:spacing w:val="-5"/>
          <w:sz w:val="24"/>
          <w:szCs w:val="24"/>
          <w:highlight w:val="none"/>
        </w:rPr>
        <w:t>技术需求</w:t>
      </w:r>
    </w:p>
    <w:p w14:paraId="28A552E9">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r>
        <w:rPr>
          <w:rFonts w:hint="eastAsia" w:ascii="宋体" w:hAnsi="宋体" w:eastAsia="宋体" w:cs="宋体"/>
          <w:color w:val="auto"/>
          <w:sz w:val="24"/>
          <w:szCs w:val="24"/>
          <w:highlight w:val="none"/>
          <w:lang w:val="en-US" w:eastAsia="zh-CN"/>
        </w:rPr>
        <w:t>.</w:t>
      </w:r>
      <w:r>
        <w:rPr>
          <w:rFonts w:hint="eastAsia" w:ascii="宋体" w:hAnsi="宋体" w:eastAsia="宋体" w:cs="宋体"/>
          <w:color w:val="auto"/>
          <w:sz w:val="24"/>
          <w:szCs w:val="24"/>
          <w:highlight w:val="none"/>
        </w:rPr>
        <w:t>性状：在标准大气压下，氧在 90.188K（</w:t>
      </w:r>
      <w:r>
        <w:rPr>
          <w:rFonts w:hint="eastAsia" w:ascii="宋体" w:hAnsi="宋体" w:eastAsia="宋体" w:cs="宋体"/>
          <w:color w:val="auto"/>
          <w:sz w:val="24"/>
          <w:szCs w:val="24"/>
          <w:highlight w:val="none"/>
          <w:lang w:val="en-US" w:eastAsia="zh-CN"/>
        </w:rPr>
        <w:t>-</w:t>
      </w:r>
      <w:r>
        <w:rPr>
          <w:rFonts w:hint="eastAsia" w:ascii="宋体" w:hAnsi="宋体" w:eastAsia="宋体" w:cs="宋体"/>
          <w:color w:val="auto"/>
          <w:sz w:val="24"/>
          <w:szCs w:val="24"/>
          <w:highlight w:val="none"/>
        </w:rPr>
        <w:t>182.96℃）时是易流动的淡蓝色液体。液氧汽化后应为无色气体，无臭、无味、有强助燃力。</w:t>
      </w:r>
    </w:p>
    <w:p w14:paraId="7E580834">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w:t>
      </w:r>
      <w:r>
        <w:rPr>
          <w:rFonts w:hint="eastAsia" w:ascii="宋体" w:hAnsi="宋体" w:eastAsia="宋体" w:cs="宋体"/>
          <w:color w:val="auto"/>
          <w:sz w:val="24"/>
          <w:szCs w:val="24"/>
          <w:highlight w:val="none"/>
          <w:lang w:val="en-US" w:eastAsia="zh-CN"/>
        </w:rPr>
        <w:t>.</w:t>
      </w:r>
      <w:r>
        <w:rPr>
          <w:rFonts w:hint="eastAsia" w:ascii="宋体" w:hAnsi="宋体" w:eastAsia="宋体" w:cs="宋体"/>
          <w:color w:val="auto"/>
          <w:sz w:val="24"/>
          <w:szCs w:val="24"/>
          <w:highlight w:val="none"/>
        </w:rPr>
        <w:t>鉴别：本品能使炽红的木条突然发火燃烧。</w:t>
      </w:r>
    </w:p>
    <w:p w14:paraId="7F8A48E7">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w:t>
      </w:r>
      <w:r>
        <w:rPr>
          <w:rFonts w:hint="eastAsia" w:ascii="宋体" w:hAnsi="宋体" w:eastAsia="宋体" w:cs="宋体"/>
          <w:color w:val="auto"/>
          <w:sz w:val="24"/>
          <w:szCs w:val="24"/>
          <w:highlight w:val="none"/>
          <w:lang w:val="en-US" w:eastAsia="zh-CN"/>
        </w:rPr>
        <w:t>.</w:t>
      </w:r>
      <w:r>
        <w:rPr>
          <w:rFonts w:hint="eastAsia" w:ascii="宋体" w:hAnsi="宋体" w:eastAsia="宋体" w:cs="宋体"/>
          <w:color w:val="auto"/>
          <w:sz w:val="24"/>
          <w:szCs w:val="24"/>
          <w:highlight w:val="none"/>
        </w:rPr>
        <w:t>检查：</w:t>
      </w:r>
    </w:p>
    <w:p w14:paraId="38F27480">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3.1</w:t>
      </w:r>
      <w:r>
        <w:rPr>
          <w:rFonts w:hint="eastAsia" w:ascii="宋体" w:hAnsi="宋体" w:eastAsia="宋体" w:cs="宋体"/>
          <w:color w:val="auto"/>
          <w:sz w:val="24"/>
          <w:szCs w:val="24"/>
          <w:highlight w:val="none"/>
          <w:lang w:val="en-US" w:eastAsia="zh-CN"/>
        </w:rPr>
        <w:t>.</w:t>
      </w:r>
      <w:r>
        <w:rPr>
          <w:rFonts w:hint="eastAsia" w:ascii="宋体" w:hAnsi="宋体" w:eastAsia="宋体" w:cs="宋体"/>
          <w:color w:val="auto"/>
          <w:sz w:val="24"/>
          <w:szCs w:val="24"/>
          <w:highlight w:val="none"/>
        </w:rPr>
        <w:t>酸碱度：符合国家相关规定。</w:t>
      </w:r>
    </w:p>
    <w:p w14:paraId="45C4AF79">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3.2</w:t>
      </w:r>
      <w:r>
        <w:rPr>
          <w:rFonts w:hint="eastAsia" w:ascii="宋体" w:hAnsi="宋体" w:eastAsia="宋体" w:cs="宋体"/>
          <w:color w:val="auto"/>
          <w:sz w:val="24"/>
          <w:szCs w:val="24"/>
          <w:highlight w:val="none"/>
          <w:lang w:val="en-US" w:eastAsia="zh-CN"/>
        </w:rPr>
        <w:t>.</w:t>
      </w:r>
      <w:r>
        <w:rPr>
          <w:rFonts w:hint="eastAsia" w:ascii="宋体" w:hAnsi="宋体" w:eastAsia="宋体" w:cs="宋体"/>
          <w:color w:val="auto"/>
          <w:sz w:val="24"/>
          <w:szCs w:val="24"/>
          <w:highlight w:val="none"/>
        </w:rPr>
        <w:t>一氧化碳：符合国家相关规定。</w:t>
      </w:r>
    </w:p>
    <w:p w14:paraId="529498C3">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3.3</w:t>
      </w:r>
      <w:r>
        <w:rPr>
          <w:rFonts w:hint="eastAsia" w:ascii="宋体" w:hAnsi="宋体" w:eastAsia="宋体" w:cs="宋体"/>
          <w:color w:val="auto"/>
          <w:sz w:val="24"/>
          <w:szCs w:val="24"/>
          <w:highlight w:val="none"/>
          <w:lang w:val="en-US" w:eastAsia="zh-CN"/>
        </w:rPr>
        <w:t>.</w:t>
      </w:r>
      <w:r>
        <w:rPr>
          <w:rFonts w:hint="eastAsia" w:ascii="宋体" w:hAnsi="宋体" w:eastAsia="宋体" w:cs="宋体"/>
          <w:color w:val="auto"/>
          <w:sz w:val="24"/>
          <w:szCs w:val="24"/>
          <w:highlight w:val="none"/>
        </w:rPr>
        <w:t>二氧化碳：符合国家相关规定。</w:t>
      </w:r>
    </w:p>
    <w:p w14:paraId="57F8C6A2">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3.4</w:t>
      </w:r>
      <w:r>
        <w:rPr>
          <w:rFonts w:hint="eastAsia" w:ascii="宋体" w:hAnsi="宋体" w:eastAsia="宋体" w:cs="宋体"/>
          <w:color w:val="auto"/>
          <w:sz w:val="24"/>
          <w:szCs w:val="24"/>
          <w:highlight w:val="none"/>
          <w:lang w:val="en-US" w:eastAsia="zh-CN"/>
        </w:rPr>
        <w:t>.</w:t>
      </w:r>
      <w:r>
        <w:rPr>
          <w:rFonts w:hint="eastAsia" w:ascii="宋体" w:hAnsi="宋体" w:eastAsia="宋体" w:cs="宋体"/>
          <w:color w:val="auto"/>
          <w:sz w:val="24"/>
          <w:szCs w:val="24"/>
          <w:highlight w:val="none"/>
        </w:rPr>
        <w:t>其他气态氧化物：符合国家相关规定。</w:t>
      </w:r>
    </w:p>
    <w:p w14:paraId="3B172CC4">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w:t>
      </w:r>
      <w:r>
        <w:rPr>
          <w:rFonts w:hint="eastAsia" w:ascii="宋体" w:hAnsi="宋体" w:eastAsia="宋体" w:cs="宋体"/>
          <w:color w:val="auto"/>
          <w:sz w:val="24"/>
          <w:szCs w:val="24"/>
          <w:highlight w:val="none"/>
          <w:lang w:val="en-US" w:eastAsia="zh-CN"/>
        </w:rPr>
        <w:t>.</w:t>
      </w:r>
      <w:r>
        <w:rPr>
          <w:rFonts w:hint="eastAsia" w:ascii="宋体" w:hAnsi="宋体" w:eastAsia="宋体" w:cs="宋体"/>
          <w:color w:val="auto"/>
          <w:sz w:val="24"/>
          <w:szCs w:val="24"/>
          <w:highlight w:val="none"/>
        </w:rPr>
        <w:t>含量测定：本品含氧不得少于99.5%(ml/ml</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w:t>
      </w:r>
    </w:p>
    <w:p w14:paraId="31D81622">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w:t>
      </w:r>
      <w:r>
        <w:rPr>
          <w:rFonts w:hint="eastAsia" w:ascii="宋体" w:hAnsi="宋体" w:eastAsia="宋体" w:cs="宋体"/>
          <w:color w:val="auto"/>
          <w:sz w:val="24"/>
          <w:szCs w:val="24"/>
          <w:highlight w:val="none"/>
          <w:lang w:val="en-US" w:eastAsia="zh-CN"/>
        </w:rPr>
        <w:t>.</w:t>
      </w:r>
      <w:r>
        <w:rPr>
          <w:rFonts w:hint="eastAsia" w:ascii="宋体" w:hAnsi="宋体" w:eastAsia="宋体" w:cs="宋体"/>
          <w:color w:val="auto"/>
          <w:sz w:val="24"/>
          <w:szCs w:val="24"/>
          <w:highlight w:val="none"/>
        </w:rPr>
        <w:t>质量要求：医用氧</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液态</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质量标准必须符合《中华人民共和国药典》2020年版。</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说明：在本项目供货期内，如有最新标准需按最新标准执行</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w:t>
      </w:r>
    </w:p>
    <w:p w14:paraId="08CF7AFA">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6</w:t>
      </w:r>
      <w:r>
        <w:rPr>
          <w:rFonts w:hint="eastAsia" w:ascii="宋体" w:hAnsi="宋体" w:eastAsia="宋体" w:cs="宋体"/>
          <w:color w:val="auto"/>
          <w:sz w:val="24"/>
          <w:szCs w:val="24"/>
          <w:highlight w:val="none"/>
          <w:lang w:val="en-US" w:eastAsia="zh-CN"/>
        </w:rPr>
        <w:t>.</w:t>
      </w:r>
      <w:r>
        <w:rPr>
          <w:rFonts w:hint="eastAsia" w:ascii="宋体" w:hAnsi="宋体" w:eastAsia="宋体" w:cs="宋体"/>
          <w:color w:val="auto"/>
          <w:sz w:val="24"/>
          <w:szCs w:val="24"/>
          <w:highlight w:val="none"/>
        </w:rPr>
        <w:t>具备医用液氧售后服务的能力。</w:t>
      </w:r>
    </w:p>
    <w:p w14:paraId="161D1DDF">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7</w:t>
      </w:r>
      <w:r>
        <w:rPr>
          <w:rFonts w:hint="eastAsia" w:ascii="宋体" w:hAnsi="宋体" w:eastAsia="宋体" w:cs="宋体"/>
          <w:color w:val="auto"/>
          <w:sz w:val="24"/>
          <w:szCs w:val="24"/>
          <w:highlight w:val="none"/>
          <w:lang w:val="en-US" w:eastAsia="zh-CN"/>
        </w:rPr>
        <w:t>.</w:t>
      </w:r>
      <w:r>
        <w:rPr>
          <w:rFonts w:hint="eastAsia" w:ascii="宋体" w:hAnsi="宋体" w:eastAsia="宋体" w:cs="宋体"/>
          <w:color w:val="auto"/>
          <w:sz w:val="24"/>
          <w:szCs w:val="24"/>
          <w:highlight w:val="none"/>
        </w:rPr>
        <w:t>配送人员具备道路危险货物运输驾驶员从业资格证、道路危险货物运输押运人员从业资格证。</w:t>
      </w:r>
    </w:p>
    <w:p w14:paraId="14CE607B">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8</w:t>
      </w:r>
      <w:r>
        <w:rPr>
          <w:rFonts w:hint="eastAsia" w:ascii="宋体" w:hAnsi="宋体" w:eastAsia="宋体" w:cs="宋体"/>
          <w:color w:val="auto"/>
          <w:sz w:val="24"/>
          <w:szCs w:val="24"/>
          <w:highlight w:val="none"/>
          <w:lang w:val="en-US" w:eastAsia="zh-CN"/>
        </w:rPr>
        <w:t>.</w:t>
      </w:r>
      <w:r>
        <w:rPr>
          <w:rFonts w:hint="eastAsia" w:ascii="宋体" w:hAnsi="宋体" w:eastAsia="宋体" w:cs="宋体"/>
          <w:color w:val="auto"/>
          <w:sz w:val="24"/>
          <w:szCs w:val="24"/>
          <w:highlight w:val="none"/>
        </w:rPr>
        <w:t>所有货物的知识产权问题，由供应商自行负责。</w:t>
      </w:r>
    </w:p>
    <w:p w14:paraId="16434E79">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9</w:t>
      </w:r>
      <w:r>
        <w:rPr>
          <w:rFonts w:hint="eastAsia" w:ascii="宋体" w:hAnsi="宋体" w:eastAsia="宋体" w:cs="宋体"/>
          <w:color w:val="auto"/>
          <w:sz w:val="24"/>
          <w:szCs w:val="24"/>
          <w:highlight w:val="none"/>
          <w:lang w:val="en-US" w:eastAsia="zh-CN"/>
        </w:rPr>
        <w:t>.</w:t>
      </w:r>
      <w:r>
        <w:rPr>
          <w:rFonts w:hint="eastAsia" w:ascii="宋体" w:hAnsi="宋体" w:eastAsia="宋体" w:cs="宋体"/>
          <w:color w:val="auto"/>
          <w:sz w:val="24"/>
          <w:szCs w:val="24"/>
          <w:highlight w:val="none"/>
          <w:lang w:eastAsia="zh-CN"/>
        </w:rPr>
        <w:t>成交供应商</w:t>
      </w:r>
      <w:r>
        <w:rPr>
          <w:rFonts w:hint="eastAsia" w:ascii="宋体" w:hAnsi="宋体" w:eastAsia="宋体" w:cs="宋体"/>
          <w:color w:val="auto"/>
          <w:sz w:val="24"/>
          <w:szCs w:val="24"/>
          <w:highlight w:val="none"/>
        </w:rPr>
        <w:t>在交货时必须提供</w:t>
      </w:r>
      <w:r>
        <w:rPr>
          <w:rFonts w:hint="eastAsia" w:ascii="宋体" w:hAnsi="宋体" w:eastAsia="宋体" w:cs="宋体"/>
          <w:color w:val="auto"/>
          <w:sz w:val="24"/>
          <w:szCs w:val="24"/>
          <w:highlight w:val="none"/>
          <w:lang w:eastAsia="zh-CN"/>
        </w:rPr>
        <w:t>成交供应商</w:t>
      </w:r>
      <w:r>
        <w:rPr>
          <w:rFonts w:hint="eastAsia" w:ascii="宋体" w:hAnsi="宋体" w:eastAsia="宋体" w:cs="宋体"/>
          <w:color w:val="auto"/>
          <w:sz w:val="24"/>
          <w:szCs w:val="24"/>
          <w:highlight w:val="none"/>
        </w:rPr>
        <w:t>的资质和签订产品质量保证协议书及提供生产企业药品生产的相关证照和资质</w:t>
      </w:r>
      <w:r>
        <w:rPr>
          <w:rFonts w:hint="eastAsia" w:ascii="宋体" w:hAnsi="宋体" w:eastAsia="宋体" w:cs="宋体"/>
          <w:color w:val="auto"/>
          <w:sz w:val="24"/>
          <w:szCs w:val="24"/>
          <w:highlight w:val="none"/>
          <w:lang w:eastAsia="zh-CN"/>
        </w:rPr>
        <w:t>，以</w:t>
      </w:r>
      <w:r>
        <w:rPr>
          <w:rFonts w:hint="eastAsia" w:ascii="宋体" w:hAnsi="宋体" w:eastAsia="宋体" w:cs="宋体"/>
          <w:color w:val="auto"/>
          <w:sz w:val="24"/>
          <w:szCs w:val="24"/>
          <w:highlight w:val="none"/>
        </w:rPr>
        <w:t>及每批次医用液氧的检验报告单和开具合法票据，若由于产品质量问题或票据原因造成医院损失或药监部门罚款，须由</w:t>
      </w:r>
      <w:r>
        <w:rPr>
          <w:rFonts w:hint="eastAsia" w:ascii="宋体" w:hAnsi="宋体" w:eastAsia="宋体" w:cs="宋体"/>
          <w:color w:val="auto"/>
          <w:sz w:val="24"/>
          <w:szCs w:val="24"/>
          <w:highlight w:val="none"/>
          <w:lang w:eastAsia="zh-CN"/>
        </w:rPr>
        <w:t>成交供应商</w:t>
      </w:r>
      <w:r>
        <w:rPr>
          <w:rFonts w:hint="eastAsia" w:ascii="宋体" w:hAnsi="宋体" w:eastAsia="宋体" w:cs="宋体"/>
          <w:color w:val="auto"/>
          <w:sz w:val="24"/>
          <w:szCs w:val="24"/>
          <w:highlight w:val="none"/>
        </w:rPr>
        <w:t>承担一切责任。</w:t>
      </w:r>
    </w:p>
    <w:p w14:paraId="5845CC16">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baseline"/>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rPr>
        <w:t>10</w:t>
      </w:r>
      <w:r>
        <w:rPr>
          <w:rFonts w:hint="eastAsia" w:ascii="宋体" w:hAnsi="宋体" w:eastAsia="宋体" w:cs="宋体"/>
          <w:color w:val="auto"/>
          <w:sz w:val="24"/>
          <w:szCs w:val="24"/>
          <w:highlight w:val="none"/>
          <w:lang w:val="en-US" w:eastAsia="zh-CN"/>
        </w:rPr>
        <w:t>.</w:t>
      </w:r>
      <w:r>
        <w:rPr>
          <w:rFonts w:hint="eastAsia" w:ascii="宋体" w:hAnsi="宋体" w:eastAsia="宋体" w:cs="宋体"/>
          <w:color w:val="auto"/>
          <w:sz w:val="24"/>
          <w:szCs w:val="24"/>
          <w:highlight w:val="none"/>
        </w:rPr>
        <w:t>合同期内</w:t>
      </w:r>
      <w:r>
        <w:rPr>
          <w:rFonts w:hint="eastAsia" w:ascii="宋体" w:hAnsi="宋体" w:eastAsia="宋体" w:cs="宋体"/>
          <w:color w:val="auto"/>
          <w:sz w:val="24"/>
          <w:szCs w:val="24"/>
          <w:highlight w:val="none"/>
          <w:lang w:eastAsia="zh-CN"/>
        </w:rPr>
        <w:t>成交供应商完成南院区医用液氧供应，同时包含氧站日常管理维护服务、液氧罐年检、安全阀、压力表检测等维护项目。</w:t>
      </w:r>
      <w:r>
        <w:rPr>
          <w:rFonts w:hint="eastAsia" w:ascii="宋体" w:hAnsi="宋体" w:eastAsia="宋体" w:cs="宋体"/>
          <w:color w:val="auto"/>
          <w:sz w:val="24"/>
          <w:szCs w:val="24"/>
          <w:highlight w:val="none"/>
        </w:rPr>
        <w:t>负责供氧全套设施（含液氧罐、蒸发器、液氧站内管道及安全附件等设施）的维护和维修（含安全附件、管道的更换）</w:t>
      </w:r>
      <w:r>
        <w:rPr>
          <w:rFonts w:hint="eastAsia" w:ascii="宋体" w:hAnsi="宋体" w:eastAsia="宋体" w:cs="宋体"/>
          <w:color w:val="auto"/>
          <w:sz w:val="24"/>
          <w:szCs w:val="24"/>
          <w:highlight w:val="none"/>
          <w:lang w:val="en-US" w:eastAsia="zh-CN"/>
        </w:rPr>
        <w:t>及</w:t>
      </w:r>
      <w:r>
        <w:rPr>
          <w:rFonts w:hint="eastAsia" w:ascii="宋体" w:hAnsi="宋体" w:eastAsia="宋体" w:cs="宋体"/>
          <w:color w:val="auto"/>
          <w:sz w:val="24"/>
          <w:szCs w:val="24"/>
          <w:highlight w:val="none"/>
        </w:rPr>
        <w:t>定期检验保养维修及相关费用（含设备、配件费）</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压力容器、压力表等年审及安全附件校验的费用由</w:t>
      </w:r>
      <w:r>
        <w:rPr>
          <w:rFonts w:hint="eastAsia" w:ascii="宋体" w:hAnsi="宋体" w:eastAsia="宋体" w:cs="宋体"/>
          <w:color w:val="auto"/>
          <w:sz w:val="24"/>
          <w:szCs w:val="24"/>
          <w:highlight w:val="none"/>
          <w:lang w:eastAsia="zh-CN"/>
        </w:rPr>
        <w:t>成交供应商</w:t>
      </w:r>
      <w:r>
        <w:rPr>
          <w:rFonts w:hint="eastAsia" w:ascii="宋体" w:hAnsi="宋体" w:eastAsia="宋体" w:cs="宋体"/>
          <w:color w:val="auto"/>
          <w:sz w:val="24"/>
          <w:szCs w:val="24"/>
          <w:highlight w:val="none"/>
        </w:rPr>
        <w:t>负责。</w:t>
      </w:r>
      <w:r>
        <w:rPr>
          <w:rFonts w:hint="eastAsia" w:ascii="宋体" w:hAnsi="宋体" w:eastAsia="宋体" w:cs="宋体"/>
          <w:color w:val="auto"/>
          <w:sz w:val="24"/>
          <w:szCs w:val="24"/>
          <w:highlight w:val="none"/>
          <w:lang w:val="en-US" w:eastAsia="zh-CN"/>
        </w:rPr>
        <w:t>以上成本均包含在此次响应报价内。</w:t>
      </w:r>
    </w:p>
    <w:p w14:paraId="60BEF534">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11</w:t>
      </w:r>
      <w:r>
        <w:rPr>
          <w:rFonts w:hint="eastAsia" w:ascii="宋体" w:hAnsi="宋体" w:eastAsia="宋体" w:cs="宋体"/>
          <w:color w:val="auto"/>
          <w:sz w:val="24"/>
          <w:szCs w:val="24"/>
          <w:highlight w:val="none"/>
          <w:lang w:val="en-US" w:eastAsia="zh-CN"/>
        </w:rPr>
        <w:t>.</w:t>
      </w:r>
      <w:r>
        <w:rPr>
          <w:rFonts w:hint="eastAsia" w:ascii="宋体" w:hAnsi="宋体" w:eastAsia="宋体" w:cs="宋体"/>
          <w:color w:val="auto"/>
          <w:sz w:val="24"/>
          <w:szCs w:val="24"/>
          <w:highlight w:val="none"/>
          <w:lang w:eastAsia="zh-CN"/>
        </w:rPr>
        <w:t>成交供应商</w:t>
      </w:r>
      <w:r>
        <w:rPr>
          <w:rFonts w:hint="eastAsia" w:ascii="宋体" w:hAnsi="宋体" w:eastAsia="宋体" w:cs="宋体"/>
          <w:color w:val="auto"/>
          <w:sz w:val="24"/>
          <w:szCs w:val="24"/>
          <w:highlight w:val="none"/>
        </w:rPr>
        <w:t>负责本项目实施过</w:t>
      </w:r>
      <w:r>
        <w:rPr>
          <w:rFonts w:hint="eastAsia" w:ascii="宋体" w:hAnsi="宋体" w:eastAsia="宋体" w:cs="宋体"/>
          <w:color w:val="auto"/>
          <w:sz w:val="24"/>
          <w:szCs w:val="24"/>
          <w:highlight w:val="none"/>
          <w:lang w:eastAsia="zh-CN"/>
        </w:rPr>
        <w:t>程中</w:t>
      </w:r>
      <w:r>
        <w:rPr>
          <w:rFonts w:hint="eastAsia" w:ascii="宋体" w:hAnsi="宋体" w:eastAsia="宋体" w:cs="宋体"/>
          <w:color w:val="auto"/>
          <w:sz w:val="24"/>
          <w:szCs w:val="24"/>
          <w:highlight w:val="none"/>
        </w:rPr>
        <w:t>所有环节的安全，由此引发的事故责任由</w:t>
      </w:r>
      <w:r>
        <w:rPr>
          <w:rFonts w:hint="eastAsia" w:ascii="宋体" w:hAnsi="宋体" w:eastAsia="宋体" w:cs="宋体"/>
          <w:color w:val="auto"/>
          <w:sz w:val="24"/>
          <w:szCs w:val="24"/>
          <w:highlight w:val="none"/>
          <w:lang w:eastAsia="zh-CN"/>
        </w:rPr>
        <w:t>成交供应商</w:t>
      </w:r>
      <w:r>
        <w:rPr>
          <w:rFonts w:hint="eastAsia" w:ascii="宋体" w:hAnsi="宋体" w:eastAsia="宋体" w:cs="宋体"/>
          <w:color w:val="auto"/>
          <w:sz w:val="24"/>
          <w:szCs w:val="24"/>
          <w:highlight w:val="none"/>
        </w:rPr>
        <w:t>承担。</w:t>
      </w:r>
    </w:p>
    <w:p w14:paraId="5917A229">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12.人员配置要求：</w:t>
      </w:r>
    </w:p>
    <w:p w14:paraId="159D93FB">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baseline"/>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12.1.成交供应商须派驻2名取得《特种设备作业人员证（压力容器操作）》的专职医用氧气管理人员，负责项目现场运维值班。派驻直至所有预算金额使用完毕。</w:t>
      </w:r>
    </w:p>
    <w:p w14:paraId="6D8AD037">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baseline"/>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12.2.值守要求：现场实行24小时×365天在岗值班，每班保证至少1名管理人员在岗，法定节假日及应急期间不得空岗。</w:t>
      </w:r>
    </w:p>
    <w:p w14:paraId="3CF63878">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baseline"/>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12.3.</w:t>
      </w:r>
      <w:r>
        <w:rPr>
          <w:rFonts w:hint="eastAsia" w:ascii="宋体" w:hAnsi="宋体" w:eastAsia="宋体" w:cs="宋体"/>
          <w:color w:val="auto"/>
          <w:sz w:val="24"/>
          <w:szCs w:val="24"/>
          <w:highlight w:val="none"/>
          <w:lang w:eastAsia="zh-CN"/>
        </w:rPr>
        <w:t>成交供应商</w:t>
      </w:r>
      <w:r>
        <w:rPr>
          <w:rFonts w:hint="eastAsia" w:ascii="宋体" w:hAnsi="宋体" w:eastAsia="宋体" w:cs="宋体"/>
          <w:color w:val="auto"/>
          <w:sz w:val="24"/>
          <w:szCs w:val="24"/>
          <w:highlight w:val="none"/>
          <w:lang w:val="en-US" w:eastAsia="zh-CN"/>
        </w:rPr>
        <w:t>还需遵守以下院内制度：</w:t>
      </w:r>
    </w:p>
    <w:p w14:paraId="1408A3DA">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12.3.1.液氧站工作人员岗位职责：</w:t>
      </w:r>
    </w:p>
    <w:p w14:paraId="730C6ACC">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12.3.1.1.液氧工作人员必须持证上岗，全天候24小时负责南院的氧气供应工作，保证安全及时的氧气供应。</w:t>
      </w:r>
    </w:p>
    <w:p w14:paraId="0DB0D96A">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12.3.1.2.值班人员应敬业爱岗，认真负责，熟悉本岗位设备性能及操作方法，严格遵守岗位职责和安全操作规程。</w:t>
      </w:r>
    </w:p>
    <w:p w14:paraId="79DEA454">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12.3.1.3.负责液氧、瓶装氧气及其它气体的灌装及记录工作。</w:t>
      </w:r>
    </w:p>
    <w:p w14:paraId="5F4F8C7F">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12.3.1.4.负责瓶装氧气下送科室工作，账目与实际相符。</w:t>
      </w:r>
    </w:p>
    <w:p w14:paraId="7147EDCA">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12.3.1.5.负责氧站的安全巡查工作，按规定巡查氧气瓶、液氧罐的各项指标。负责协助做好液氧罐定检和安全附件的校验工作。</w:t>
      </w:r>
    </w:p>
    <w:p w14:paraId="396C3548">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12.3.1.6.发生故障及时报修，不能处理应及时汇报上级领导。并做好实时记录。</w:t>
      </w:r>
    </w:p>
    <w:p w14:paraId="6B577F11">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12.3.1.7.完成上级交办的其它工作。</w:t>
      </w:r>
    </w:p>
    <w:p w14:paraId="4FD7B392">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12.3.2.停氧及压力不足应急预案：</w:t>
      </w:r>
    </w:p>
    <w:p w14:paraId="0083FC3B">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12.3.2.1.在停电或者氧气装置报警、临床报告氧压低、值班人员发现故障时，应立即启动应急预案并及时向科长报告。</w:t>
      </w:r>
    </w:p>
    <w:p w14:paraId="0FAA005A">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12.3.2.2.检查压力值，根据供氧压力情况开启汇流排，同时联系重点科室，紧急调配瓶装氧气供应，第三方维保方启用备用氧气流量计、减压阀，呼吸机氧气转换接头，进行安装、调试、备用，保证科室正常工作开展。</w:t>
      </w:r>
    </w:p>
    <w:p w14:paraId="6A834C13">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12.3.2.3.故障严重或无法及时修复时，立即通知设备厂家到场紧急维修。根据供氧情况报告分管院长，必要时向院长汇报。</w:t>
      </w:r>
    </w:p>
    <w:p w14:paraId="11270CBA">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12.3.2.4.立即通知供氧公司紧急配送瓶装氧气。</w:t>
      </w:r>
    </w:p>
    <w:p w14:paraId="75A32CD6">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12.3.3.保障措施：</w:t>
      </w:r>
    </w:p>
    <w:p w14:paraId="3365B0CC">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12.3.3.1.定期检查、维护、保养中心供氧设备及管路，发现问题及时处理。</w:t>
      </w:r>
    </w:p>
    <w:p w14:paraId="2AD2DF8E">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12.3.3.2.中心供氧站备足满氧氧气钢瓶。各临床科室氧气筒需保持有氧且在有效期，无氧或临近效期时应立即通知氧气组进行更换。</w:t>
      </w:r>
    </w:p>
    <w:p w14:paraId="038163EF">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12.3.3.3.中心供氧站工作人员应知晓制氧机常见故障及处理方法，并保留设备厂家工程师的联系方式。</w:t>
      </w:r>
    </w:p>
    <w:p w14:paraId="23AC38CB">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12.3.3.4.中心供氧站工作人员实行24小时值班制，应坚守岗位，做到随叫随到。</w:t>
      </w:r>
    </w:p>
    <w:p w14:paraId="13F2BDA1">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12.3.3.5.每日交接氧气瓶数量，定期检查维护氧气瓶，确保应急情况下准备充分。</w:t>
      </w:r>
    </w:p>
    <w:p w14:paraId="51AEE188">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12.3.4.医院特种设备管理制度：</w:t>
      </w:r>
    </w:p>
    <w:p w14:paraId="53031192">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12.3.4.1.特种设备人员须持证上岗并严格遵守安全操作规程。</w:t>
      </w:r>
    </w:p>
    <w:p w14:paraId="7F6F2FB1">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12.3.4.2.设备执行专人负责制，认真填写运行记录。</w:t>
      </w:r>
    </w:p>
    <w:p w14:paraId="28105515">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12.3.4.3.特种设备作业人员在作业过程中发现事故隐患或其它不安全因素应立即整改，或报告院领导处理。</w:t>
      </w:r>
    </w:p>
    <w:p w14:paraId="79CFF106">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12.3.4.4.特种设备的维护保养应符合法规、规范和技术要求。</w:t>
      </w:r>
    </w:p>
    <w:p w14:paraId="529366B7">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12.3.4.5.特种设备的日常维护和保养工作由使用部门负责并做好记录。</w:t>
      </w:r>
    </w:p>
    <w:p w14:paraId="74E8EB4E">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12.3.4.6.使用部门必须对特种设备的安全附件、安全保护装置、测量调控装置和附属仪表进行定期校验检修。</w:t>
      </w:r>
    </w:p>
    <w:p w14:paraId="28F2FED2">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12.3.4.7.对特种设备进行科学管理，合理保养，计划检修，巩固提高设备完好率。</w:t>
      </w:r>
    </w:p>
    <w:p w14:paraId="170FEBEE">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12.3.4.8.发现故障及时排除，不能立即排除的故障应详细记录，及时上报，并结合设备检修计划予以排除。</w:t>
      </w:r>
    </w:p>
    <w:p w14:paraId="41C6C7E0">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baseline"/>
        <w:rPr>
          <w:color w:val="auto"/>
          <w:highlight w:val="none"/>
          <w:lang w:eastAsia="zh-CN"/>
        </w:rPr>
      </w:pPr>
      <w:r>
        <w:rPr>
          <w:rFonts w:hint="eastAsia" w:ascii="宋体" w:hAnsi="宋体" w:eastAsia="宋体" w:cs="宋体"/>
          <w:color w:val="auto"/>
          <w:sz w:val="24"/>
          <w:szCs w:val="24"/>
          <w:highlight w:val="none"/>
          <w:lang w:val="en-US" w:eastAsia="zh-CN"/>
        </w:rPr>
        <w:t>12.3.4.9.定期检查维护，并主动向操作人员了解设备运行情况。</w:t>
      </w:r>
    </w:p>
    <w:p w14:paraId="3C9A1F7A">
      <w:pPr>
        <w:rPr>
          <w:rFonts w:ascii="宋体" w:hAnsi="宋体" w:eastAsia="宋体" w:cs="宋体"/>
          <w:color w:val="auto"/>
          <w:spacing w:val="-6"/>
          <w:sz w:val="24"/>
          <w:szCs w:val="24"/>
          <w:highlight w:val="none"/>
          <w:lang w:eastAsia="zh-CN"/>
        </w:rPr>
      </w:pPr>
      <w:r>
        <w:rPr>
          <w:rFonts w:ascii="宋体" w:hAnsi="宋体" w:eastAsia="宋体" w:cs="宋体"/>
          <w:color w:val="auto"/>
          <w:spacing w:val="-6"/>
          <w:sz w:val="24"/>
          <w:szCs w:val="24"/>
          <w:highlight w:val="none"/>
          <w:lang w:eastAsia="zh-CN"/>
        </w:rPr>
        <w:br w:type="page"/>
      </w:r>
    </w:p>
    <w:p w14:paraId="150FD43A">
      <w:pPr>
        <w:pageBreakBefore w:val="0"/>
        <w:widowControl w:val="0"/>
        <w:kinsoku/>
        <w:wordWrap/>
        <w:overflowPunct/>
        <w:topLinePunct w:val="0"/>
        <w:bidi w:val="0"/>
        <w:spacing w:before="78" w:line="219" w:lineRule="auto"/>
        <w:jc w:val="both"/>
        <w:rPr>
          <w:rFonts w:ascii="宋体" w:hAnsi="宋体" w:eastAsia="宋体" w:cs="宋体"/>
          <w:color w:val="auto"/>
          <w:sz w:val="24"/>
          <w:szCs w:val="24"/>
          <w:highlight w:val="none"/>
          <w:lang w:eastAsia="zh-CN"/>
        </w:rPr>
      </w:pPr>
      <w:r>
        <w:rPr>
          <w:rFonts w:ascii="宋体" w:hAnsi="宋体" w:eastAsia="宋体" w:cs="宋体"/>
          <w:color w:val="auto"/>
          <w:spacing w:val="-6"/>
          <w:sz w:val="24"/>
          <w:szCs w:val="24"/>
          <w:highlight w:val="none"/>
          <w:lang w:eastAsia="zh-CN"/>
        </w:rPr>
        <w:t>（二）</w:t>
      </w:r>
      <w:r>
        <w:rPr>
          <w:rFonts w:ascii="宋体" w:hAnsi="宋体" w:eastAsia="宋体" w:cs="宋体"/>
          <w:color w:val="auto"/>
          <w:spacing w:val="32"/>
          <w:sz w:val="24"/>
          <w:szCs w:val="24"/>
          <w:highlight w:val="none"/>
          <w:lang w:eastAsia="zh-CN"/>
        </w:rPr>
        <w:t xml:space="preserve"> </w:t>
      </w:r>
      <w:r>
        <w:rPr>
          <w:rFonts w:ascii="宋体" w:hAnsi="宋体" w:eastAsia="宋体" w:cs="宋体"/>
          <w:color w:val="auto"/>
          <w:spacing w:val="-6"/>
          <w:sz w:val="24"/>
          <w:szCs w:val="24"/>
          <w:highlight w:val="none"/>
          <w:lang w:eastAsia="zh-CN"/>
        </w:rPr>
        <w:t>商务条件</w:t>
      </w:r>
    </w:p>
    <w:p w14:paraId="3DA18EF3">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baseline"/>
        <w:rPr>
          <w:rFonts w:hint="eastAsia" w:ascii="宋体" w:hAnsi="宋体" w:eastAsia="宋体" w:cs="宋体"/>
          <w:color w:val="auto"/>
          <w:sz w:val="24"/>
          <w:szCs w:val="24"/>
          <w:highlight w:val="none"/>
          <w:lang w:eastAsia="zh-CN"/>
        </w:rPr>
      </w:pPr>
      <w:bookmarkStart w:id="3" w:name="bookmark82"/>
      <w:bookmarkEnd w:id="3"/>
      <w:r>
        <w:rPr>
          <w:rFonts w:hint="eastAsia" w:ascii="宋体" w:hAnsi="宋体" w:eastAsia="宋体" w:cs="宋体"/>
          <w:color w:val="auto"/>
          <w:sz w:val="24"/>
          <w:szCs w:val="24"/>
          <w:highlight w:val="none"/>
          <w:lang w:val="en-US" w:eastAsia="zh-CN"/>
        </w:rPr>
        <w:t>1.响应报价：以最高限价1800元/吨为基准，进行折扣率报价（折扣率举例说明如下：打9折，折扣率为90%，保留小数点后2位，示例：90.55%）。签订合同时折后单价（成交折扣率×最高限价1800元/吨）保留小数点后两位，四舍五入。</w:t>
      </w:r>
      <w:r>
        <w:rPr>
          <w:rFonts w:hint="eastAsia" w:ascii="宋体" w:hAnsi="宋体" w:eastAsia="宋体" w:cs="宋体"/>
          <w:color w:val="auto"/>
          <w:sz w:val="24"/>
          <w:szCs w:val="24"/>
          <w:highlight w:val="none"/>
          <w:lang w:eastAsia="zh-CN"/>
        </w:rPr>
        <w:t>液氧单价含运输费、税费等完成本项目的一切费用</w:t>
      </w:r>
      <w:r>
        <w:rPr>
          <w:rFonts w:hint="eastAsia" w:ascii="宋体" w:hAnsi="宋体" w:eastAsia="宋体" w:cs="宋体"/>
          <w:color w:val="auto"/>
          <w:sz w:val="24"/>
          <w:szCs w:val="24"/>
          <w:highlight w:val="none"/>
          <w:lang w:val="en-US" w:eastAsia="zh-CN"/>
        </w:rPr>
        <w:t>。</w:t>
      </w:r>
    </w:p>
    <w:p w14:paraId="01712298">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lang w:eastAsia="zh-CN"/>
        </w:rPr>
        <w:t>.付款方式：供应商接到采购人通知按批次按需供货，送货上门到采购人指定地点，经双方清点、检查，符合交货要求，验收合格后，采购人按</w:t>
      </w:r>
      <w:r>
        <w:rPr>
          <w:rFonts w:hint="eastAsia" w:ascii="宋体" w:hAnsi="宋体" w:eastAsia="宋体" w:cs="宋体"/>
          <w:color w:val="auto"/>
          <w:sz w:val="24"/>
          <w:szCs w:val="24"/>
          <w:highlight w:val="none"/>
          <w:lang w:val="en-US" w:eastAsia="zh-CN"/>
        </w:rPr>
        <w:t>折后单价</w:t>
      </w:r>
      <w:r>
        <w:rPr>
          <w:rFonts w:hint="eastAsia" w:ascii="宋体" w:hAnsi="宋体" w:eastAsia="宋体" w:cs="宋体"/>
          <w:color w:val="auto"/>
          <w:sz w:val="24"/>
          <w:szCs w:val="24"/>
          <w:highlight w:val="none"/>
          <w:lang w:eastAsia="zh-CN"/>
        </w:rPr>
        <w:t>计算该批次结算金额，</w:t>
      </w:r>
      <w:r>
        <w:rPr>
          <w:rFonts w:hint="eastAsia" w:ascii="宋体" w:hAnsi="宋体" w:eastAsia="宋体" w:cs="宋体"/>
          <w:color w:val="auto"/>
          <w:sz w:val="24"/>
          <w:szCs w:val="24"/>
          <w:highlight w:val="none"/>
          <w:lang w:val="en-US" w:eastAsia="zh-CN"/>
        </w:rPr>
        <w:t>采购人收到发票后</w:t>
      </w:r>
      <w:r>
        <w:rPr>
          <w:rFonts w:hint="eastAsia" w:ascii="宋体" w:hAnsi="宋体" w:eastAsia="宋体" w:cs="宋体"/>
          <w:color w:val="auto"/>
          <w:sz w:val="24"/>
          <w:szCs w:val="24"/>
          <w:highlight w:val="none"/>
          <w:lang w:eastAsia="zh-CN"/>
        </w:rPr>
        <w:t xml:space="preserve">付款给供应商。每次付款时供应商须提供液氧和运输一体式真实有效全额发票，否则采购人有权拒绝付款。 </w:t>
      </w:r>
    </w:p>
    <w:p w14:paraId="341080EC">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lang w:eastAsia="zh-CN"/>
        </w:rPr>
        <w:t>.交货地点：</w:t>
      </w:r>
      <w:r>
        <w:rPr>
          <w:rFonts w:hint="eastAsia" w:ascii="宋体" w:hAnsi="宋体" w:eastAsia="宋体" w:cs="宋体"/>
          <w:color w:val="auto"/>
          <w:sz w:val="24"/>
          <w:szCs w:val="24"/>
          <w:highlight w:val="none"/>
          <w:lang w:val="en-US" w:eastAsia="zh-CN"/>
        </w:rPr>
        <w:t>吉安市中心人民医院南院区</w:t>
      </w:r>
      <w:r>
        <w:rPr>
          <w:rFonts w:hint="eastAsia" w:ascii="宋体" w:hAnsi="宋体" w:eastAsia="宋体" w:cs="宋体"/>
          <w:color w:val="auto"/>
          <w:sz w:val="24"/>
          <w:szCs w:val="24"/>
          <w:highlight w:val="none"/>
          <w:lang w:eastAsia="zh-CN"/>
        </w:rPr>
        <w:t>采购人指定地点。</w:t>
      </w:r>
    </w:p>
    <w:p w14:paraId="2EE2874A">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z w:val="24"/>
          <w:szCs w:val="24"/>
          <w:highlight w:val="none"/>
          <w:lang w:val="en-US" w:eastAsia="zh-CN"/>
        </w:rPr>
        <w:t>4</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交货期</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pacing w:val="0"/>
          <w:position w:val="0"/>
          <w:sz w:val="24"/>
          <w:szCs w:val="24"/>
          <w:highlight w:val="none"/>
          <w:lang w:val="en-US" w:eastAsia="zh-CN"/>
        </w:rPr>
        <w:t>随时接采购人通知，按需供货。</w:t>
      </w:r>
    </w:p>
    <w:p w14:paraId="16A525D6">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baseline"/>
        <w:rPr>
          <w:rFonts w:hint="default" w:ascii="宋体" w:hAnsi="宋体" w:eastAsia="宋体" w:cs="宋体"/>
          <w:color w:val="auto"/>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5.结算方式：</w:t>
      </w:r>
      <w:r>
        <w:rPr>
          <w:rFonts w:hint="eastAsia" w:ascii="宋体" w:hAnsi="宋体" w:eastAsia="宋体" w:cs="宋体"/>
          <w:color w:val="auto"/>
          <w:sz w:val="24"/>
          <w:szCs w:val="24"/>
          <w:highlight w:val="none"/>
          <w:lang w:eastAsia="zh-CN"/>
        </w:rPr>
        <w:t>以实际发生</w:t>
      </w:r>
      <w:r>
        <w:rPr>
          <w:rFonts w:hint="eastAsia" w:ascii="宋体" w:hAnsi="宋体" w:eastAsia="宋体" w:cs="宋体"/>
          <w:color w:val="auto"/>
          <w:sz w:val="24"/>
          <w:szCs w:val="24"/>
          <w:highlight w:val="none"/>
          <w:lang w:val="en-US" w:eastAsia="zh-CN"/>
        </w:rPr>
        <w:t>的供货</w:t>
      </w:r>
      <w:r>
        <w:rPr>
          <w:rFonts w:hint="eastAsia" w:ascii="宋体" w:hAnsi="宋体" w:eastAsia="宋体" w:cs="宋体"/>
          <w:color w:val="auto"/>
          <w:sz w:val="24"/>
          <w:szCs w:val="24"/>
          <w:highlight w:val="none"/>
          <w:lang w:eastAsia="zh-CN"/>
        </w:rPr>
        <w:t>量进行结算，预算总额</w:t>
      </w:r>
      <w:r>
        <w:rPr>
          <w:rFonts w:hint="eastAsia" w:ascii="宋体" w:hAnsi="宋体" w:eastAsia="宋体" w:cs="宋体"/>
          <w:color w:val="auto"/>
          <w:sz w:val="24"/>
          <w:szCs w:val="24"/>
          <w:highlight w:val="none"/>
          <w:lang w:val="en-US" w:eastAsia="zh-CN"/>
        </w:rPr>
        <w:t>用完即合同终止</w:t>
      </w:r>
      <w:r>
        <w:rPr>
          <w:rFonts w:hint="eastAsia" w:ascii="宋体" w:hAnsi="宋体" w:eastAsia="宋体" w:cs="宋体"/>
          <w:color w:val="auto"/>
          <w:sz w:val="24"/>
          <w:szCs w:val="24"/>
          <w:highlight w:val="none"/>
          <w:lang w:eastAsia="zh-CN"/>
        </w:rPr>
        <w:t>。</w:t>
      </w:r>
    </w:p>
    <w:p w14:paraId="5F03D8CD">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val="en-US" w:eastAsia="zh-CN"/>
        </w:rPr>
        <w:t>6</w:t>
      </w:r>
      <w:r>
        <w:rPr>
          <w:rFonts w:hint="eastAsia" w:ascii="宋体" w:hAnsi="宋体" w:eastAsia="宋体" w:cs="宋体"/>
          <w:color w:val="auto"/>
          <w:sz w:val="24"/>
          <w:szCs w:val="24"/>
          <w:highlight w:val="none"/>
          <w:lang w:eastAsia="zh-CN"/>
        </w:rPr>
        <w:t>.售后响应：满足全年</w:t>
      </w:r>
      <w:r>
        <w:rPr>
          <w:rFonts w:hint="eastAsia" w:ascii="宋体" w:hAnsi="宋体" w:eastAsia="宋体" w:cs="宋体"/>
          <w:color w:val="auto"/>
          <w:sz w:val="24"/>
          <w:szCs w:val="24"/>
          <w:highlight w:val="none"/>
          <w:lang w:val="en-US" w:eastAsia="zh-CN"/>
        </w:rPr>
        <w:t>7*</w:t>
      </w:r>
      <w:r>
        <w:rPr>
          <w:rFonts w:hint="eastAsia" w:ascii="宋体" w:hAnsi="宋体" w:eastAsia="宋体" w:cs="宋体"/>
          <w:color w:val="auto"/>
          <w:sz w:val="24"/>
          <w:szCs w:val="24"/>
          <w:highlight w:val="none"/>
          <w:lang w:eastAsia="zh-CN"/>
        </w:rPr>
        <w:t>24小时服务响应。如货到不及时，需6小时内为医院提供气态氧周转；设备出现故障时，12小时内，需派技术人员到达指定地点提供技术服务，如需紧急维护、维修，3小时内到达现场进行处理。</w:t>
      </w:r>
    </w:p>
    <w:p w14:paraId="04D672AC">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val="en-US" w:eastAsia="zh-CN"/>
        </w:rPr>
        <w:t>7</w:t>
      </w:r>
      <w:r>
        <w:rPr>
          <w:rFonts w:hint="eastAsia" w:ascii="宋体" w:hAnsi="宋体" w:eastAsia="宋体" w:cs="宋体"/>
          <w:color w:val="auto"/>
          <w:sz w:val="24"/>
          <w:szCs w:val="24"/>
          <w:highlight w:val="none"/>
          <w:lang w:eastAsia="zh-CN"/>
        </w:rPr>
        <w:t>.操作培训：合同期内需为采购人相关人员进行免费安全培训，保证采购人操作人员掌握安全操作技能和应急处理措施。</w:t>
      </w:r>
    </w:p>
    <w:p w14:paraId="4983572F">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8</w:t>
      </w:r>
      <w:r>
        <w:rPr>
          <w:rFonts w:hint="eastAsia" w:ascii="宋体" w:hAnsi="宋体" w:eastAsia="宋体" w:cs="宋体"/>
          <w:color w:val="auto"/>
          <w:sz w:val="24"/>
          <w:szCs w:val="24"/>
          <w:highlight w:val="none"/>
          <w:lang w:eastAsia="zh-CN"/>
        </w:rPr>
        <w:t>.验收要求：每批次供货需提供医用液氧出厂时附有的合格证、产品质检报告书，严禁使用不合格产品供货。</w:t>
      </w:r>
    </w:p>
    <w:p w14:paraId="77396B10">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val="en-US" w:eastAsia="zh-CN"/>
        </w:rPr>
        <w:t>9</w:t>
      </w:r>
      <w:r>
        <w:rPr>
          <w:rFonts w:hint="eastAsia" w:ascii="宋体" w:hAnsi="宋体" w:eastAsia="宋体" w:cs="宋体"/>
          <w:color w:val="auto"/>
          <w:sz w:val="24"/>
          <w:szCs w:val="24"/>
          <w:highlight w:val="none"/>
          <w:lang w:eastAsia="zh-CN"/>
        </w:rPr>
        <w:t>.合同期内，若成交供应商不能及时供货，采购人可自主选择第三方进行采购，成交供应商不得以任何理由干预，采购人从第三方采购产生的差价由成交供应商承担。</w:t>
      </w:r>
    </w:p>
    <w:p w14:paraId="18E33C8A">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val="en-US" w:eastAsia="zh-CN"/>
        </w:rPr>
        <w:t>10</w:t>
      </w:r>
      <w:r>
        <w:rPr>
          <w:rFonts w:hint="eastAsia" w:ascii="宋体" w:hAnsi="宋体" w:eastAsia="宋体" w:cs="宋体"/>
          <w:color w:val="auto"/>
          <w:sz w:val="24"/>
          <w:szCs w:val="24"/>
          <w:highlight w:val="none"/>
          <w:lang w:eastAsia="zh-CN"/>
        </w:rPr>
        <w:t>.所提供的货物为原厂生产的合格产品；产品到达采购人指定地点之日起实际有效期不少于10个月。产品的运输和贮存须符合法律规定，并向采购人提供相应运输记录。合同期内发生的一切费用由成交供应商承担。</w:t>
      </w:r>
    </w:p>
    <w:p w14:paraId="044FD9F1">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val="en-US" w:eastAsia="zh-CN"/>
        </w:rPr>
        <w:t>11</w:t>
      </w:r>
      <w:r>
        <w:rPr>
          <w:rFonts w:hint="eastAsia" w:ascii="宋体" w:hAnsi="宋体" w:eastAsia="宋体" w:cs="宋体"/>
          <w:color w:val="auto"/>
          <w:sz w:val="24"/>
          <w:szCs w:val="24"/>
          <w:highlight w:val="none"/>
          <w:lang w:eastAsia="zh-CN"/>
        </w:rPr>
        <w:t xml:space="preserve">.合同期内，成交供应商如因在医用液氧生产、运输、储藏过程中，发生产品质量事故，或因违反国家法律法规生产经营，而受到有关部门查处，不能履行合同；或因自身原因无法经营，导致合同不能履行，所有责任均由成交供应商负责，并承担由此产生的一切费用。院方保留对成交供应商追究法律责任同时，有权提前终止合同。 </w:t>
      </w:r>
    </w:p>
    <w:p w14:paraId="40CA8EFF">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baseline"/>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12.供应商在投标文件制作系统中，在开标一览表的投标报价中需填写折扣率。在分项报价表中要填写投标单价（元）、合价（元）时，须填写预算单价及总价1620000.00，若供应商填写的不是预算金额，将导致采购人在一体化系统中支付金额与实际支付金额不匹配。开标一览表的投标报价未填写折扣率的、分项报价表的单价及合价不等于预算金额的供应商将作无效响应处理。</w:t>
      </w:r>
    </w:p>
    <w:p w14:paraId="3890BC23">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baseline"/>
        <w:rPr>
          <w:rFonts w:hint="eastAsia" w:ascii="宋体" w:hAnsi="宋体" w:eastAsia="宋体" w:cs="宋体"/>
          <w:b/>
          <w:bCs/>
          <w:color w:val="auto"/>
          <w:sz w:val="24"/>
          <w:szCs w:val="24"/>
          <w:highlight w:val="none"/>
          <w:lang w:eastAsia="zh-CN"/>
        </w:rPr>
      </w:pPr>
    </w:p>
    <w:p w14:paraId="77CCD2D9">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baseline"/>
        <w:rPr>
          <w:rFonts w:hint="eastAsia" w:ascii="宋体" w:hAnsi="宋体" w:eastAsia="宋体" w:cs="宋体"/>
          <w:b/>
          <w:bCs/>
          <w:color w:val="auto"/>
          <w:sz w:val="24"/>
          <w:szCs w:val="24"/>
          <w:highlight w:val="none"/>
          <w:lang w:eastAsia="zh-CN"/>
        </w:rPr>
      </w:pPr>
      <w:r>
        <w:rPr>
          <w:rFonts w:hint="eastAsia" w:ascii="宋体" w:hAnsi="宋体" w:eastAsia="宋体" w:cs="宋体"/>
          <w:b/>
          <w:bCs/>
          <w:color w:val="auto"/>
          <w:sz w:val="24"/>
          <w:szCs w:val="24"/>
          <w:highlight w:val="none"/>
          <w:lang w:eastAsia="zh-CN"/>
        </w:rPr>
        <w:t>注：以上</w:t>
      </w:r>
      <w:r>
        <w:rPr>
          <w:rFonts w:hint="eastAsia" w:ascii="宋体" w:hAnsi="宋体" w:eastAsia="宋体" w:cs="宋体"/>
          <w:b/>
          <w:bCs/>
          <w:color w:val="auto"/>
          <w:sz w:val="24"/>
          <w:szCs w:val="24"/>
          <w:highlight w:val="none"/>
          <w:lang w:val="en-US" w:eastAsia="zh-CN"/>
        </w:rPr>
        <w:t>技术需求及商务条件</w:t>
      </w:r>
      <w:r>
        <w:rPr>
          <w:rFonts w:hint="eastAsia" w:ascii="宋体" w:hAnsi="宋体" w:eastAsia="宋体" w:cs="宋体"/>
          <w:b/>
          <w:bCs/>
          <w:color w:val="auto"/>
          <w:sz w:val="24"/>
          <w:szCs w:val="24"/>
          <w:highlight w:val="none"/>
          <w:lang w:eastAsia="zh-CN"/>
        </w:rPr>
        <w:t>必须完全响应，否则视为无效</w:t>
      </w:r>
      <w:r>
        <w:rPr>
          <w:rFonts w:hint="eastAsia" w:ascii="宋体" w:hAnsi="宋体" w:eastAsia="宋体" w:cs="宋体"/>
          <w:b/>
          <w:bCs/>
          <w:color w:val="auto"/>
          <w:sz w:val="24"/>
          <w:szCs w:val="24"/>
          <w:highlight w:val="none"/>
          <w:lang w:val="en-US" w:eastAsia="zh-CN"/>
        </w:rPr>
        <w:t>响应</w:t>
      </w:r>
      <w:r>
        <w:rPr>
          <w:rFonts w:hint="eastAsia" w:ascii="宋体" w:hAnsi="宋体" w:eastAsia="宋体" w:cs="宋体"/>
          <w:b/>
          <w:bCs/>
          <w:color w:val="auto"/>
          <w:sz w:val="24"/>
          <w:szCs w:val="24"/>
          <w:highlight w:val="none"/>
          <w:lang w:eastAsia="zh-CN"/>
        </w:rPr>
        <w:t>。</w:t>
      </w:r>
    </w:p>
    <w:p w14:paraId="5A455888">
      <w:bookmarkStart w:id="4" w:name="_GoBack"/>
      <w:bookmarkEnd w:id="4"/>
    </w:p>
    <w:sectPr>
      <w:footerReference r:id="rId3" w:type="default"/>
      <w:pgSz w:w="11906" w:h="16839"/>
      <w:pgMar w:top="1463" w:right="1757" w:bottom="1463" w:left="1757" w:header="0" w:footer="994"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88"/>
    <w:family w:val="roma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C2EED5">
    <w:pPr>
      <w:pStyle w:val="2"/>
      <w:rPr>
        <w:lang w:eastAsia="zh-CN"/>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55" name="文本框 5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8307CC5">
                          <w:pPr>
                            <w:pStyle w:val="2"/>
                          </w:pPr>
                          <w:r>
                            <w:fldChar w:fldCharType="begin"/>
                          </w:r>
                          <w:r>
                            <w:instrText xml:space="preserve"> PAGE  \* MERGEFORMAT </w:instrText>
                          </w:r>
                          <w:r>
                            <w:fldChar w:fldCharType="separate"/>
                          </w:r>
                          <w:r>
                            <w:t>61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J74X8zAgAAYw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PJ74X8zAgAAYwQAAA4AAAAAAAAAAQAgAAAAHwEAAGRycy9lMm9Eb2MueG1sUEsF&#10;BgAAAAAGAAYAWQEAAMQFAAAAAA==&#10;">
              <v:fill on="f" focussize="0,0"/>
              <v:stroke on="f" weight="0.5pt"/>
              <v:imagedata o:title=""/>
              <o:lock v:ext="edit" aspectratio="f"/>
              <v:textbox inset="0mm,0mm,0mm,0mm" style="mso-fit-shape-to-text:t;">
                <w:txbxContent>
                  <w:p w14:paraId="28307CC5">
                    <w:pPr>
                      <w:pStyle w:val="2"/>
                    </w:pPr>
                    <w:r>
                      <w:fldChar w:fldCharType="begin"/>
                    </w:r>
                    <w:r>
                      <w:instrText xml:space="preserve"> PAGE  \* MERGEFORMAT </w:instrText>
                    </w:r>
                    <w:r>
                      <w:fldChar w:fldCharType="separate"/>
                    </w:r>
                    <w:r>
                      <w:t>61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1FA72BD"/>
    <w:rsid w:val="21FA72B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0</Words>
  <Characters>0</Characters>
  <Lines>0</Lines>
  <Paragraphs>0</Paragraphs>
  <TotalTime>0</TotalTime>
  <ScaleCrop>false</ScaleCrop>
  <LinksUpToDate>false</LinksUpToDate>
  <CharactersWithSpaces>0</CharactersWithSpaces>
  <Application>WPS Office_12.1.0.26884_F1E327BC-269C-435d-A152-05C5408002CA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2026-06-05T08:46:00Z</dcterms:created>
  <dc:creator>86151</dc:creator>
  <cp:lastModifiedBy>86151</cp:lastModifiedBy>
  <dcterms:modified xsi:type="dcterms:W3CDTF">2026-06-05T08:46:39Z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2052-12.1.0.26884</vt:lpwstr>
  </property>
  <property fmtid="{D5CDD505-2E9C-101B-9397-08002B2CF9AE}" pid="3" name="ICV">
    <vt:lpwstr>A5A380ADB1564C528FDB350C956BDEB6_11</vt:lpwstr>
  </property>
  <property fmtid="{D5CDD505-2E9C-101B-9397-08002B2CF9AE}" pid="4" name="KSOTemplateDocerSaveRecord">
    <vt:lpwstr>eyJoZGlkIjoiZDhjZTRlZDZjYThlOGZlOGM1Y2I3MzJjZDZhMDM3MzMiLCJ1c2VySWQiOiI0NDMzODM5NDAifQ==</vt:lpwstr>
  </property>
</Properties>
</file>