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31364F">
      <w:pPr>
        <w:pageBreakBefore w:val="0"/>
        <w:widowControl w:val="0"/>
        <w:wordWrap/>
        <w:overflowPunct/>
        <w:topLinePunct w:val="0"/>
        <w:bidi w:val="0"/>
        <w:spacing w:before="63" w:line="224" w:lineRule="auto"/>
        <w:jc w:val="center"/>
        <w:outlineLvl w:val="0"/>
        <w:rPr>
          <w:color w:val="auto"/>
          <w:spacing w:val="0"/>
          <w:w w:val="100"/>
          <w:position w:val="0"/>
          <w:highlight w:val="none"/>
          <w:lang w:eastAsia="zh-CN"/>
        </w:rPr>
      </w:pPr>
      <w:bookmarkStart w:id="0" w:name="bookmark80"/>
      <w:bookmarkEnd w:id="0"/>
      <w:bookmarkStart w:id="1" w:name="bookmark79"/>
      <w:bookmarkEnd w:id="1"/>
      <w:bookmarkStart w:id="2" w:name="_Toc3944"/>
      <w:r>
        <w:rPr>
          <w:rFonts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0"/>
          <w:w w:val="100"/>
          <w:position w:val="0"/>
          <w:sz w:val="31"/>
          <w:szCs w:val="31"/>
          <w:highlight w:val="none"/>
          <w:lang w:eastAsia="zh-CN"/>
        </w:rPr>
        <w:t xml:space="preserve">  </w:t>
      </w:r>
      <w:r>
        <w:rPr>
          <w:rFonts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货物需求表及采购需求</w:t>
      </w:r>
      <w:bookmarkEnd w:id="2"/>
    </w:p>
    <w:p w14:paraId="55EE8BFF">
      <w:pPr>
        <w:pageBreakBefore w:val="0"/>
        <w:widowControl w:val="0"/>
        <w:wordWrap/>
        <w:overflowPunct/>
        <w:topLinePunct w:val="0"/>
        <w:bidi w:val="0"/>
        <w:spacing w:before="78" w:line="220" w:lineRule="auto"/>
        <w:outlineLvl w:val="9"/>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pPr>
    </w:p>
    <w:p w14:paraId="32C34EE3">
      <w:pPr>
        <w:pageBreakBefore w:val="0"/>
        <w:widowControl w:val="0"/>
        <w:wordWrap/>
        <w:overflowPunct/>
        <w:topLinePunct w:val="0"/>
        <w:bidi w:val="0"/>
        <w:spacing w:before="78" w:line="220" w:lineRule="auto"/>
        <w:outlineLvl w:val="1"/>
        <w:rPr>
          <w:color w:val="auto"/>
          <w:spacing w:val="0"/>
          <w:w w:val="100"/>
          <w:position w:val="0"/>
          <w:highlight w:val="none"/>
        </w:rPr>
      </w:pPr>
      <w:bookmarkStart w:id="3" w:name="_Toc3129"/>
      <w:bookmarkStart w:id="4" w:name="_Toc26196"/>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货物</w:t>
      </w:r>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需求表</w:t>
      </w:r>
      <w:bookmarkEnd w:id="3"/>
      <w:bookmarkEnd w:id="4"/>
    </w:p>
    <w:tbl>
      <w:tblPr>
        <w:tblStyle w:val="25"/>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27CBB6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40267216">
            <w:pPr>
              <w:pageBreakBefore w:val="0"/>
              <w:widowControl w:val="0"/>
              <w:wordWrap/>
              <w:overflowPunct/>
              <w:topLinePunct w:val="0"/>
              <w:bidi w:val="0"/>
              <w:spacing w:before="183" w:line="223" w:lineRule="auto"/>
              <w:ind w:left="1091"/>
              <w:rPr>
                <w:rFonts w:ascii="宋体" w:hAnsi="宋体" w:eastAsia="宋体" w:cs="宋体"/>
                <w:color w:val="auto"/>
                <w:spacing w:val="0"/>
                <w:w w:val="100"/>
                <w:position w:val="0"/>
                <w:sz w:val="24"/>
                <w:szCs w:val="24"/>
                <w:highlight w:val="none"/>
              </w:rPr>
            </w:pPr>
            <w:r>
              <w:rPr>
                <w:color w:val="auto"/>
                <w:spacing w:val="0"/>
                <w:w w:val="100"/>
                <w:position w:val="0"/>
                <w:highlight w:val="none"/>
              </w:rPr>
              <w:drawing>
                <wp:anchor distT="0" distB="0" distL="0" distR="0" simplePos="0" relativeHeight="251660288" behindDoc="1" locked="0" layoutInCell="1" allowOverlap="1">
                  <wp:simplePos x="0" y="0"/>
                  <wp:positionH relativeFrom="column">
                    <wp:posOffset>16510</wp:posOffset>
                  </wp:positionH>
                  <wp:positionV relativeFrom="paragraph">
                    <wp:posOffset>10160</wp:posOffset>
                  </wp:positionV>
                  <wp:extent cx="1767840" cy="1456690"/>
                  <wp:effectExtent l="0" t="0" r="381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6"/>
                          <a:stretch>
                            <a:fillRect/>
                          </a:stretch>
                        </pic:blipFill>
                        <pic:spPr>
                          <a:xfrm>
                            <a:off x="0" y="0"/>
                            <a:ext cx="1767840" cy="1456690"/>
                          </a:xfrm>
                          <a:prstGeom prst="rect">
                            <a:avLst/>
                          </a:prstGeom>
                        </pic:spPr>
                      </pic:pic>
                    </a:graphicData>
                  </a:graphic>
                </wp:anchor>
              </w:drawing>
            </w:r>
            <w:r>
              <w:rPr>
                <w:rFonts w:ascii="宋体" w:hAnsi="宋体" w:eastAsia="宋体" w:cs="宋体"/>
                <w:color w:val="auto"/>
                <w:spacing w:val="0"/>
                <w:w w:val="100"/>
                <w:position w:val="0"/>
                <w:sz w:val="24"/>
                <w:szCs w:val="24"/>
                <w:highlight w:val="none"/>
              </w:rPr>
              <w:t>名</w:t>
            </w:r>
          </w:p>
          <w:p w14:paraId="1DB9A859">
            <w:pPr>
              <w:pStyle w:val="26"/>
              <w:pageBreakBefore w:val="0"/>
              <w:widowControl w:val="0"/>
              <w:wordWrap/>
              <w:overflowPunct/>
              <w:topLinePunct w:val="0"/>
              <w:bidi w:val="0"/>
              <w:spacing w:line="245" w:lineRule="auto"/>
              <w:rPr>
                <w:color w:val="auto"/>
                <w:spacing w:val="0"/>
                <w:w w:val="100"/>
                <w:position w:val="0"/>
                <w:highlight w:val="none"/>
              </w:rPr>
            </w:pPr>
          </w:p>
          <w:p w14:paraId="1A0ABBBA">
            <w:pPr>
              <w:pStyle w:val="26"/>
              <w:pageBreakBefore w:val="0"/>
              <w:widowControl w:val="0"/>
              <w:wordWrap/>
              <w:overflowPunct/>
              <w:topLinePunct w:val="0"/>
              <w:bidi w:val="0"/>
              <w:spacing w:line="246" w:lineRule="auto"/>
              <w:rPr>
                <w:color w:val="auto"/>
                <w:spacing w:val="0"/>
                <w:w w:val="100"/>
                <w:position w:val="0"/>
                <w:highlight w:val="none"/>
              </w:rPr>
            </w:pPr>
          </w:p>
          <w:p w14:paraId="42FB7C05">
            <w:pPr>
              <w:pageBreakBefore w:val="0"/>
              <w:widowControl w:val="0"/>
              <w:wordWrap/>
              <w:overflowPunct/>
              <w:topLinePunct w:val="0"/>
              <w:bidi w:val="0"/>
              <w:spacing w:before="78" w:line="219" w:lineRule="auto"/>
              <w:ind w:left="48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内</w:t>
            </w:r>
          </w:p>
          <w:p w14:paraId="3CC81F50">
            <w:pPr>
              <w:pStyle w:val="26"/>
              <w:pageBreakBefore w:val="0"/>
              <w:widowControl w:val="0"/>
              <w:wordWrap/>
              <w:overflowPunct/>
              <w:topLinePunct w:val="0"/>
              <w:bidi w:val="0"/>
              <w:spacing w:line="338" w:lineRule="auto"/>
              <w:rPr>
                <w:color w:val="auto"/>
                <w:spacing w:val="0"/>
                <w:w w:val="100"/>
                <w:position w:val="0"/>
                <w:highlight w:val="none"/>
              </w:rPr>
            </w:pPr>
          </w:p>
          <w:p w14:paraId="17FBCE88">
            <w:pPr>
              <w:pageBreakBefore w:val="0"/>
              <w:widowControl w:val="0"/>
              <w:wordWrap/>
              <w:overflowPunct/>
              <w:topLinePunct w:val="0"/>
              <w:bidi w:val="0"/>
              <w:spacing w:before="78" w:line="220" w:lineRule="auto"/>
              <w:ind w:left="131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容</w:t>
            </w:r>
          </w:p>
        </w:tc>
        <w:tc>
          <w:tcPr>
            <w:tcW w:w="1101" w:type="dxa"/>
            <w:tcBorders>
              <w:left w:val="nil"/>
            </w:tcBorders>
          </w:tcPr>
          <w:p w14:paraId="641D948D">
            <w:pPr>
              <w:pStyle w:val="26"/>
              <w:pageBreakBefore w:val="0"/>
              <w:widowControl w:val="0"/>
              <w:wordWrap/>
              <w:overflowPunct/>
              <w:topLinePunct w:val="0"/>
              <w:bidi w:val="0"/>
              <w:spacing w:line="263" w:lineRule="auto"/>
              <w:rPr>
                <w:color w:val="auto"/>
                <w:spacing w:val="0"/>
                <w:w w:val="100"/>
                <w:position w:val="0"/>
                <w:highlight w:val="none"/>
              </w:rPr>
            </w:pPr>
          </w:p>
          <w:p w14:paraId="7AA9A68E">
            <w:pPr>
              <w:pStyle w:val="26"/>
              <w:pageBreakBefore w:val="0"/>
              <w:widowControl w:val="0"/>
              <w:wordWrap/>
              <w:overflowPunct/>
              <w:topLinePunct w:val="0"/>
              <w:bidi w:val="0"/>
              <w:spacing w:line="263" w:lineRule="auto"/>
              <w:rPr>
                <w:color w:val="auto"/>
                <w:spacing w:val="0"/>
                <w:w w:val="100"/>
                <w:position w:val="0"/>
                <w:highlight w:val="none"/>
              </w:rPr>
            </w:pPr>
          </w:p>
          <w:p w14:paraId="7CB2990A">
            <w:pPr>
              <w:pStyle w:val="26"/>
              <w:pageBreakBefore w:val="0"/>
              <w:widowControl w:val="0"/>
              <w:wordWrap/>
              <w:overflowPunct/>
              <w:topLinePunct w:val="0"/>
              <w:bidi w:val="0"/>
              <w:spacing w:line="264" w:lineRule="auto"/>
              <w:rPr>
                <w:color w:val="auto"/>
                <w:spacing w:val="0"/>
                <w:w w:val="100"/>
                <w:position w:val="0"/>
                <w:highlight w:val="none"/>
              </w:rPr>
            </w:pPr>
          </w:p>
          <w:p w14:paraId="4419B0BC">
            <w:pPr>
              <w:pageBreakBefore w:val="0"/>
              <w:widowControl w:val="0"/>
              <w:wordWrap/>
              <w:overflowPunct/>
              <w:topLinePunct w:val="0"/>
              <w:bidi w:val="0"/>
              <w:spacing w:before="78" w:line="221" w:lineRule="auto"/>
              <w:ind w:left="192"/>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称</w:t>
            </w:r>
          </w:p>
        </w:tc>
        <w:tc>
          <w:tcPr>
            <w:tcW w:w="6263" w:type="dxa"/>
            <w:vAlign w:val="center"/>
          </w:tcPr>
          <w:p w14:paraId="027E60BF">
            <w:pPr>
              <w:spacing w:line="500" w:lineRule="atLeast"/>
              <w:jc w:val="center"/>
              <w:rPr>
                <w:color w:val="auto"/>
                <w:spacing w:val="0"/>
                <w:w w:val="100"/>
                <w:position w:val="0"/>
                <w:highlight w:val="none"/>
              </w:rPr>
            </w:pPr>
            <w:r>
              <w:rPr>
                <w:rFonts w:hint="eastAsia" w:ascii="宋体" w:hAnsi="宋体" w:cs="宋体"/>
                <w:sz w:val="24"/>
                <w:highlight w:val="none"/>
              </w:rPr>
              <w:t>详见“第一章 投标邀请”</w:t>
            </w:r>
          </w:p>
        </w:tc>
      </w:tr>
      <w:tr w14:paraId="5DB3F8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123F6119">
            <w:pPr>
              <w:pageBreakBefore w:val="0"/>
              <w:widowControl w:val="0"/>
              <w:wordWrap/>
              <w:overflowPunct/>
              <w:topLinePunct w:val="0"/>
              <w:bidi w:val="0"/>
              <w:spacing w:before="253" w:line="219" w:lineRule="auto"/>
              <w:ind w:left="1188"/>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数量</w:t>
            </w:r>
          </w:p>
        </w:tc>
        <w:tc>
          <w:tcPr>
            <w:tcW w:w="6263" w:type="dxa"/>
            <w:vAlign w:val="center"/>
          </w:tcPr>
          <w:p w14:paraId="50433C51">
            <w:pPr>
              <w:spacing w:line="500" w:lineRule="atLeast"/>
              <w:jc w:val="center"/>
              <w:rPr>
                <w:color w:val="auto"/>
                <w:spacing w:val="0"/>
                <w:w w:val="100"/>
                <w:position w:val="0"/>
                <w:highlight w:val="none"/>
              </w:rPr>
            </w:pPr>
            <w:r>
              <w:rPr>
                <w:rFonts w:hint="eastAsia" w:ascii="宋体" w:hAnsi="宋体" w:cs="宋体"/>
                <w:sz w:val="24"/>
                <w:highlight w:val="none"/>
              </w:rPr>
              <w:t>详见第五章中的“技术要求”</w:t>
            </w:r>
          </w:p>
        </w:tc>
      </w:tr>
      <w:tr w14:paraId="4F9B56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6F15DEBD">
            <w:pPr>
              <w:pageBreakBefore w:val="0"/>
              <w:widowControl w:val="0"/>
              <w:wordWrap/>
              <w:overflowPunct/>
              <w:topLinePunct w:val="0"/>
              <w:bidi w:val="0"/>
              <w:spacing w:before="253" w:line="219" w:lineRule="auto"/>
              <w:ind w:left="107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交货期</w:t>
            </w:r>
          </w:p>
        </w:tc>
        <w:tc>
          <w:tcPr>
            <w:tcW w:w="6263" w:type="dxa"/>
            <w:vAlign w:val="center"/>
          </w:tcPr>
          <w:p w14:paraId="4C162A4E">
            <w:pPr>
              <w:spacing w:line="900" w:lineRule="exact"/>
              <w:jc w:val="center"/>
              <w:rPr>
                <w:color w:val="auto"/>
                <w:spacing w:val="0"/>
                <w:w w:val="100"/>
                <w:position w:val="0"/>
                <w:highlight w:val="none"/>
              </w:rPr>
            </w:pPr>
            <w:r>
              <w:rPr>
                <w:rFonts w:hint="eastAsia" w:ascii="宋体" w:hAnsi="宋体" w:cs="宋体"/>
                <w:sz w:val="24"/>
                <w:highlight w:val="none"/>
              </w:rPr>
              <w:t>详见第五章中的“商务条件”</w:t>
            </w:r>
          </w:p>
        </w:tc>
      </w:tr>
      <w:tr w14:paraId="202335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5ED9F9A8">
            <w:pPr>
              <w:pageBreakBefore w:val="0"/>
              <w:widowControl w:val="0"/>
              <w:wordWrap/>
              <w:overflowPunct/>
              <w:topLinePunct w:val="0"/>
              <w:bidi w:val="0"/>
              <w:spacing w:before="256" w:line="219" w:lineRule="auto"/>
              <w:ind w:left="95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交货地点</w:t>
            </w:r>
          </w:p>
        </w:tc>
        <w:tc>
          <w:tcPr>
            <w:tcW w:w="6263" w:type="dxa"/>
            <w:vAlign w:val="center"/>
          </w:tcPr>
          <w:p w14:paraId="4AA19BD4">
            <w:pPr>
              <w:jc w:val="center"/>
              <w:rPr>
                <w:color w:val="auto"/>
                <w:spacing w:val="0"/>
                <w:w w:val="100"/>
                <w:position w:val="0"/>
                <w:highlight w:val="none"/>
              </w:rPr>
            </w:pPr>
            <w:r>
              <w:rPr>
                <w:rFonts w:hint="eastAsia" w:ascii="宋体" w:hAnsi="宋体" w:cs="宋体"/>
                <w:sz w:val="24"/>
                <w:highlight w:val="none"/>
              </w:rPr>
              <w:t>详见第五章中的“商务条件”</w:t>
            </w:r>
          </w:p>
        </w:tc>
      </w:tr>
      <w:tr w14:paraId="26FD81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2838" w:type="dxa"/>
            <w:gridSpan w:val="2"/>
          </w:tcPr>
          <w:p w14:paraId="7C7F6BB4">
            <w:pPr>
              <w:pageBreakBefore w:val="0"/>
              <w:widowControl w:val="0"/>
              <w:wordWrap/>
              <w:overflowPunct/>
              <w:topLinePunct w:val="0"/>
              <w:bidi w:val="0"/>
              <w:spacing w:before="257" w:line="220" w:lineRule="auto"/>
              <w:ind w:left="95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安装地点</w:t>
            </w:r>
          </w:p>
        </w:tc>
        <w:tc>
          <w:tcPr>
            <w:tcW w:w="6263" w:type="dxa"/>
            <w:vAlign w:val="center"/>
          </w:tcPr>
          <w:p w14:paraId="3C56C754">
            <w:pPr>
              <w:spacing w:line="500" w:lineRule="atLeast"/>
              <w:jc w:val="center"/>
              <w:rPr>
                <w:color w:val="auto"/>
                <w:spacing w:val="0"/>
                <w:w w:val="100"/>
                <w:position w:val="0"/>
                <w:highlight w:val="none"/>
              </w:rPr>
            </w:pPr>
            <w:r>
              <w:rPr>
                <w:rFonts w:hint="eastAsia" w:ascii="宋体" w:hAnsi="宋体" w:cs="宋体"/>
                <w:sz w:val="24"/>
                <w:highlight w:val="none"/>
              </w:rPr>
              <w:t>详见第五章中的“商务条件”</w:t>
            </w:r>
          </w:p>
        </w:tc>
      </w:tr>
      <w:tr w14:paraId="7DBC01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38" w:type="dxa"/>
            <w:gridSpan w:val="2"/>
          </w:tcPr>
          <w:p w14:paraId="6AA25FED">
            <w:pPr>
              <w:pageBreakBefore w:val="0"/>
              <w:widowControl w:val="0"/>
              <w:wordWrap/>
              <w:overflowPunct/>
              <w:topLinePunct w:val="0"/>
              <w:bidi w:val="0"/>
              <w:spacing w:before="256" w:line="221" w:lineRule="auto"/>
              <w:ind w:left="1189"/>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备注</w:t>
            </w:r>
          </w:p>
        </w:tc>
        <w:tc>
          <w:tcPr>
            <w:tcW w:w="6263" w:type="dxa"/>
            <w:vAlign w:val="center"/>
          </w:tcPr>
          <w:p w14:paraId="35768CA4">
            <w:pPr>
              <w:spacing w:line="500" w:lineRule="atLeast"/>
              <w:ind w:firstLine="480" w:firstLineChars="200"/>
              <w:jc w:val="left"/>
              <w:rPr>
                <w:color w:val="auto"/>
                <w:spacing w:val="0"/>
                <w:w w:val="100"/>
                <w:position w:val="0"/>
                <w:highlight w:val="none"/>
              </w:rPr>
            </w:pPr>
            <w:r>
              <w:rPr>
                <w:rFonts w:hint="eastAsia" w:ascii="宋体" w:hAnsi="宋体" w:cs="宋体"/>
                <w:sz w:val="24"/>
                <w:szCs w:val="24"/>
                <w:highlight w:val="none"/>
              </w:rPr>
              <w:t>本项目为交钥匙项目，投标报价包含招标文件规定的完成本项目相关服务所需的设备、人员、培训、技术支持、税费等一切相关费用。</w:t>
            </w:r>
          </w:p>
        </w:tc>
      </w:tr>
    </w:tbl>
    <w:p w14:paraId="50A7ED3B">
      <w:pPr>
        <w:pageBreakBefore w:val="0"/>
        <w:widowControl w:val="0"/>
        <w:wordWrap/>
        <w:overflowPunct/>
        <w:topLinePunct w:val="0"/>
        <w:bidi w:val="0"/>
        <w:rPr>
          <w:color w:val="auto"/>
          <w:spacing w:val="0"/>
          <w:w w:val="100"/>
          <w:position w:val="0"/>
          <w:highlight w:val="none"/>
        </w:rPr>
        <w:sectPr>
          <w:footerReference r:id="rId3" w:type="default"/>
          <w:pgSz w:w="11906" w:h="16839"/>
          <w:pgMar w:top="1429" w:right="1587" w:bottom="1429" w:left="1587" w:header="0" w:footer="994" w:gutter="0"/>
          <w:cols w:space="720" w:num="1"/>
        </w:sectPr>
      </w:pPr>
    </w:p>
    <w:p w14:paraId="16670D83">
      <w:pPr>
        <w:pageBreakBefore w:val="0"/>
        <w:widowControl w:val="0"/>
        <w:wordWrap/>
        <w:overflowPunct/>
        <w:topLinePunct w:val="0"/>
        <w:bidi w:val="0"/>
        <w:spacing w:before="47" w:line="219" w:lineRule="auto"/>
        <w:jc w:val="center"/>
        <w:outlineLvl w:val="1"/>
        <w:rPr>
          <w:rFonts w:ascii="宋体" w:hAnsi="宋体" w:eastAsia="宋体" w:cs="宋体"/>
          <w:color w:val="auto"/>
          <w:spacing w:val="0"/>
          <w:w w:val="100"/>
          <w:position w:val="0"/>
          <w:sz w:val="24"/>
          <w:szCs w:val="24"/>
          <w:highlight w:val="none"/>
        </w:rPr>
      </w:pPr>
      <w:bookmarkStart w:id="5" w:name="bookmark81"/>
      <w:bookmarkEnd w:id="5"/>
      <w:bookmarkStart w:id="6" w:name="_Toc6693"/>
      <w:bookmarkStart w:id="7" w:name="_Toc23634"/>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二、采购需求</w:t>
      </w:r>
      <w:bookmarkEnd w:id="6"/>
      <w:bookmarkEnd w:id="7"/>
    </w:p>
    <w:p w14:paraId="50EC529F">
      <w:pPr>
        <w:pageBreakBefore w:val="0"/>
        <w:widowControl w:val="0"/>
        <w:wordWrap/>
        <w:overflowPunct/>
        <w:topLinePunct w:val="0"/>
        <w:bidi w:val="0"/>
        <w:spacing w:line="258" w:lineRule="auto"/>
        <w:rPr>
          <w:color w:val="auto"/>
          <w:spacing w:val="0"/>
          <w:w w:val="100"/>
          <w:position w:val="0"/>
          <w:highlight w:val="none"/>
        </w:rPr>
      </w:pPr>
    </w:p>
    <w:p w14:paraId="79EFFA9B">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（一）技术需求</w:t>
      </w:r>
    </w:p>
    <w:p w14:paraId="27A5C741">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val="en-US" w:eastAsia="zh-CN"/>
        </w:rPr>
      </w:pPr>
      <w:r>
        <w:rPr>
          <w:rFonts w:hint="eastAsia" w:asciiTheme="minorEastAsia" w:hAnsiTheme="minorEastAsia" w:eastAsiaTheme="minorEastAsia" w:cstheme="minorEastAsia"/>
          <w:color w:val="auto"/>
          <w:spacing w:val="0"/>
          <w:w w:val="100"/>
          <w:position w:val="0"/>
          <w:sz w:val="24"/>
          <w:szCs w:val="24"/>
          <w:highlight w:val="none"/>
          <w:lang w:val="en-US" w:eastAsia="zh-CN"/>
        </w:rPr>
        <w:t>采购清单</w:t>
      </w:r>
    </w:p>
    <w:tbl>
      <w:tblPr>
        <w:tblStyle w:val="17"/>
        <w:tblW w:w="823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31"/>
        <w:gridCol w:w="3037"/>
        <w:gridCol w:w="1103"/>
        <w:gridCol w:w="1492"/>
        <w:gridCol w:w="1570"/>
      </w:tblGrid>
      <w:tr w14:paraId="6ABAD5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7F389">
            <w:pPr>
              <w:keepNext w:val="0"/>
              <w:keepLines w:val="0"/>
              <w:pageBreakBefore w:val="0"/>
              <w:widowControl w:val="0"/>
              <w:kinsoku w:val="0"/>
              <w:wordWrap/>
              <w:overflowPunct/>
              <w:topLinePunct w:val="0"/>
              <w:autoSpaceDE w:val="0"/>
              <w:autoSpaceDN w:val="0"/>
              <w:bidi w:val="0"/>
              <w:adjustRightInd w:val="0"/>
              <w:snapToGrid w:val="0"/>
              <w:spacing w:line="560" w:lineRule="exact"/>
              <w:jc w:val="center"/>
              <w:textAlignment w:val="baseline"/>
              <w:rPr>
                <w:rFonts w:hint="eastAsia" w:asciiTheme="minorEastAsia" w:hAnsiTheme="minorEastAsia" w:eastAsiaTheme="minorEastAsia" w:cstheme="minorEastAsia"/>
                <w:color w:val="auto"/>
                <w:spacing w:val="0"/>
                <w:w w:val="100"/>
                <w:position w:val="0"/>
                <w:sz w:val="24"/>
                <w:szCs w:val="24"/>
                <w:highlight w:val="none"/>
              </w:rPr>
            </w:pPr>
            <w:r>
              <w:rPr>
                <w:rFonts w:hint="eastAsia" w:asciiTheme="minorEastAsia" w:hAnsiTheme="minorEastAsia" w:eastAsiaTheme="minorEastAsia" w:cstheme="minorEastAsia"/>
                <w:color w:val="auto"/>
                <w:spacing w:val="0"/>
                <w:w w:val="100"/>
                <w:position w:val="0"/>
                <w:sz w:val="24"/>
                <w:szCs w:val="24"/>
                <w:highlight w:val="none"/>
                <w:lang w:val="en-US" w:eastAsia="zh-CN"/>
              </w:rPr>
              <w:t>序号</w:t>
            </w:r>
          </w:p>
        </w:tc>
        <w:tc>
          <w:tcPr>
            <w:tcW w:w="3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BE4BF">
            <w:pPr>
              <w:keepNext w:val="0"/>
              <w:keepLines w:val="0"/>
              <w:pageBreakBefore w:val="0"/>
              <w:widowControl w:val="0"/>
              <w:kinsoku w:val="0"/>
              <w:wordWrap/>
              <w:overflowPunct/>
              <w:topLinePunct w:val="0"/>
              <w:autoSpaceDE w:val="0"/>
              <w:autoSpaceDN w:val="0"/>
              <w:bidi w:val="0"/>
              <w:adjustRightInd w:val="0"/>
              <w:snapToGrid w:val="0"/>
              <w:spacing w:line="560" w:lineRule="exact"/>
              <w:jc w:val="center"/>
              <w:textAlignment w:val="baseline"/>
              <w:rPr>
                <w:rFonts w:hint="eastAsia" w:asciiTheme="minorEastAsia" w:hAnsiTheme="minorEastAsia" w:eastAsiaTheme="minorEastAsia" w:cstheme="minorEastAsia"/>
                <w:color w:val="auto"/>
                <w:spacing w:val="0"/>
                <w:w w:val="100"/>
                <w:position w:val="0"/>
                <w:sz w:val="24"/>
                <w:szCs w:val="24"/>
                <w:highlight w:val="none"/>
              </w:rPr>
            </w:pPr>
            <w:r>
              <w:rPr>
                <w:rFonts w:hint="eastAsia" w:asciiTheme="minorEastAsia" w:hAnsiTheme="minorEastAsia" w:eastAsiaTheme="minorEastAsia" w:cstheme="minorEastAsia"/>
                <w:color w:val="auto"/>
                <w:spacing w:val="0"/>
                <w:w w:val="100"/>
                <w:position w:val="0"/>
                <w:sz w:val="24"/>
                <w:szCs w:val="24"/>
                <w:highlight w:val="none"/>
                <w:lang w:val="en-US" w:eastAsia="zh-CN"/>
              </w:rPr>
              <w:t>设备名称</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4434E">
            <w:pPr>
              <w:keepNext w:val="0"/>
              <w:keepLines w:val="0"/>
              <w:pageBreakBefore w:val="0"/>
              <w:widowControl w:val="0"/>
              <w:kinsoku w:val="0"/>
              <w:wordWrap/>
              <w:overflowPunct/>
              <w:topLinePunct w:val="0"/>
              <w:autoSpaceDE w:val="0"/>
              <w:autoSpaceDN w:val="0"/>
              <w:bidi w:val="0"/>
              <w:adjustRightInd w:val="0"/>
              <w:snapToGrid w:val="0"/>
              <w:spacing w:line="560" w:lineRule="exact"/>
              <w:jc w:val="center"/>
              <w:textAlignment w:val="baseline"/>
              <w:rPr>
                <w:rFonts w:hint="eastAsia" w:asciiTheme="minorEastAsia" w:hAnsiTheme="minorEastAsia" w:eastAsiaTheme="minorEastAsia" w:cstheme="minorEastAsia"/>
                <w:color w:val="auto"/>
                <w:spacing w:val="0"/>
                <w:w w:val="100"/>
                <w:position w:val="0"/>
                <w:sz w:val="24"/>
                <w:szCs w:val="24"/>
                <w:highlight w:val="none"/>
              </w:rPr>
            </w:pPr>
            <w:r>
              <w:rPr>
                <w:rFonts w:hint="eastAsia" w:asciiTheme="minorEastAsia" w:hAnsiTheme="minorEastAsia" w:eastAsiaTheme="minorEastAsia" w:cstheme="minorEastAsia"/>
                <w:color w:val="auto"/>
                <w:spacing w:val="0"/>
                <w:w w:val="100"/>
                <w:position w:val="0"/>
                <w:sz w:val="24"/>
                <w:szCs w:val="24"/>
                <w:highlight w:val="none"/>
                <w:lang w:val="en-US" w:eastAsia="zh-CN"/>
              </w:rPr>
              <w:t>数量</w:t>
            </w:r>
          </w:p>
        </w:tc>
        <w:tc>
          <w:tcPr>
            <w:tcW w:w="1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39D08">
            <w:pPr>
              <w:keepNext w:val="0"/>
              <w:keepLines w:val="0"/>
              <w:pageBreakBefore w:val="0"/>
              <w:widowControl w:val="0"/>
              <w:kinsoku w:val="0"/>
              <w:wordWrap/>
              <w:overflowPunct/>
              <w:topLinePunct w:val="0"/>
              <w:autoSpaceDE w:val="0"/>
              <w:autoSpaceDN w:val="0"/>
              <w:bidi w:val="0"/>
              <w:adjustRightInd w:val="0"/>
              <w:snapToGrid w:val="0"/>
              <w:spacing w:line="560" w:lineRule="exact"/>
              <w:jc w:val="center"/>
              <w:textAlignment w:val="baseline"/>
              <w:rPr>
                <w:rFonts w:hint="eastAsia" w:asciiTheme="minorEastAsia" w:hAnsiTheme="minorEastAsia" w:eastAsiaTheme="minorEastAsia" w:cstheme="minorEastAsia"/>
                <w:color w:val="auto"/>
                <w:spacing w:val="0"/>
                <w:w w:val="100"/>
                <w:position w:val="0"/>
                <w:sz w:val="24"/>
                <w:szCs w:val="24"/>
                <w:highlight w:val="none"/>
              </w:rPr>
            </w:pPr>
            <w:r>
              <w:rPr>
                <w:rFonts w:hint="eastAsia" w:asciiTheme="minorEastAsia" w:hAnsiTheme="minorEastAsia" w:eastAsiaTheme="minorEastAsia" w:cstheme="minorEastAsia"/>
                <w:color w:val="auto"/>
                <w:spacing w:val="0"/>
                <w:w w:val="100"/>
                <w:position w:val="0"/>
                <w:sz w:val="24"/>
                <w:szCs w:val="24"/>
                <w:highlight w:val="none"/>
                <w:lang w:val="en-US" w:eastAsia="zh-CN"/>
              </w:rPr>
              <w:t>单位</w:t>
            </w:r>
          </w:p>
        </w:tc>
        <w:tc>
          <w:tcPr>
            <w:tcW w:w="1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02091">
            <w:pPr>
              <w:keepNext w:val="0"/>
              <w:keepLines w:val="0"/>
              <w:pageBreakBefore w:val="0"/>
              <w:widowControl w:val="0"/>
              <w:kinsoku w:val="0"/>
              <w:wordWrap/>
              <w:overflowPunct/>
              <w:topLinePunct w:val="0"/>
              <w:autoSpaceDE w:val="0"/>
              <w:autoSpaceDN w:val="0"/>
              <w:bidi w:val="0"/>
              <w:adjustRightInd w:val="0"/>
              <w:snapToGrid w:val="0"/>
              <w:spacing w:line="560" w:lineRule="exact"/>
              <w:jc w:val="center"/>
              <w:textAlignment w:val="baseline"/>
              <w:rPr>
                <w:rFonts w:hint="eastAsia" w:asciiTheme="minorEastAsia" w:hAnsiTheme="minorEastAsia" w:eastAsiaTheme="minorEastAsia" w:cstheme="minorEastAsia"/>
                <w:color w:val="auto"/>
                <w:spacing w:val="0"/>
                <w:w w:val="100"/>
                <w:position w:val="0"/>
                <w:sz w:val="24"/>
                <w:szCs w:val="24"/>
                <w:highlight w:val="none"/>
                <w:lang w:val="en-US" w:eastAsia="zh-CN"/>
              </w:rPr>
            </w:pPr>
            <w:r>
              <w:rPr>
                <w:rFonts w:hint="eastAsia" w:asciiTheme="minorEastAsia" w:hAnsiTheme="minorEastAsia" w:eastAsiaTheme="minorEastAsia" w:cstheme="minorEastAsia"/>
                <w:color w:val="auto"/>
                <w:spacing w:val="0"/>
                <w:w w:val="100"/>
                <w:position w:val="0"/>
                <w:sz w:val="24"/>
                <w:szCs w:val="24"/>
                <w:highlight w:val="none"/>
                <w:lang w:val="en-US" w:eastAsia="zh-CN"/>
              </w:rPr>
              <w:t>采购限价</w:t>
            </w:r>
          </w:p>
          <w:p w14:paraId="4104183B">
            <w:pPr>
              <w:keepNext w:val="0"/>
              <w:keepLines w:val="0"/>
              <w:pageBreakBefore w:val="0"/>
              <w:widowControl w:val="0"/>
              <w:kinsoku w:val="0"/>
              <w:wordWrap/>
              <w:overflowPunct/>
              <w:topLinePunct w:val="0"/>
              <w:autoSpaceDE w:val="0"/>
              <w:autoSpaceDN w:val="0"/>
              <w:bidi w:val="0"/>
              <w:adjustRightInd w:val="0"/>
              <w:snapToGrid w:val="0"/>
              <w:spacing w:line="560" w:lineRule="exact"/>
              <w:jc w:val="center"/>
              <w:textAlignment w:val="baseline"/>
              <w:rPr>
                <w:rFonts w:hint="eastAsia" w:asciiTheme="minorEastAsia" w:hAnsiTheme="minorEastAsia" w:eastAsiaTheme="minorEastAsia" w:cstheme="minorEastAsia"/>
                <w:color w:val="auto"/>
                <w:spacing w:val="0"/>
                <w:w w:val="100"/>
                <w:position w:val="0"/>
                <w:sz w:val="24"/>
                <w:szCs w:val="24"/>
                <w:highlight w:val="none"/>
              </w:rPr>
            </w:pPr>
            <w:r>
              <w:rPr>
                <w:rFonts w:hint="eastAsia" w:asciiTheme="minorEastAsia" w:hAnsiTheme="minorEastAsia" w:eastAsiaTheme="minorEastAsia" w:cstheme="minorEastAsia"/>
                <w:color w:val="auto"/>
                <w:spacing w:val="0"/>
                <w:w w:val="100"/>
                <w:position w:val="0"/>
                <w:sz w:val="24"/>
                <w:szCs w:val="24"/>
                <w:highlight w:val="none"/>
                <w:lang w:val="en-US" w:eastAsia="zh-CN"/>
              </w:rPr>
              <w:t>总价（元）</w:t>
            </w:r>
          </w:p>
        </w:tc>
      </w:tr>
      <w:tr w14:paraId="59E68C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E1121">
            <w:pPr>
              <w:keepNext w:val="0"/>
              <w:keepLines w:val="0"/>
              <w:pageBreakBefore w:val="0"/>
              <w:widowControl w:val="0"/>
              <w:kinsoku w:val="0"/>
              <w:wordWrap/>
              <w:overflowPunct/>
              <w:topLinePunct w:val="0"/>
              <w:autoSpaceDE w:val="0"/>
              <w:autoSpaceDN w:val="0"/>
              <w:bidi w:val="0"/>
              <w:adjustRightInd w:val="0"/>
              <w:snapToGrid w:val="0"/>
              <w:spacing w:line="560" w:lineRule="exact"/>
              <w:jc w:val="center"/>
              <w:textAlignment w:val="baseline"/>
              <w:rPr>
                <w:rFonts w:hint="eastAsia" w:asciiTheme="minorEastAsia" w:hAnsiTheme="minorEastAsia" w:eastAsiaTheme="minorEastAsia" w:cstheme="minorEastAsia"/>
                <w:color w:val="auto"/>
                <w:spacing w:val="0"/>
                <w:w w:val="100"/>
                <w:position w:val="0"/>
                <w:sz w:val="24"/>
                <w:szCs w:val="24"/>
                <w:highlight w:val="none"/>
              </w:rPr>
            </w:pPr>
            <w:r>
              <w:rPr>
                <w:rFonts w:hint="eastAsia" w:asciiTheme="minorEastAsia" w:hAnsiTheme="minorEastAsia" w:eastAsiaTheme="minorEastAsia" w:cstheme="minorEastAsia"/>
                <w:color w:val="auto"/>
                <w:spacing w:val="0"/>
                <w:w w:val="100"/>
                <w:position w:val="0"/>
                <w:sz w:val="24"/>
                <w:szCs w:val="24"/>
                <w:highlight w:val="none"/>
                <w:lang w:val="en-US" w:eastAsia="zh-CN"/>
              </w:rPr>
              <w:t>一</w:t>
            </w:r>
          </w:p>
        </w:tc>
        <w:tc>
          <w:tcPr>
            <w:tcW w:w="3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E0BBB">
            <w:pPr>
              <w:pStyle w:val="26"/>
              <w:keepNext w:val="0"/>
              <w:keepLines w:val="0"/>
              <w:pageBreakBefore w:val="0"/>
              <w:widowControl w:val="0"/>
              <w:kinsoku w:val="0"/>
              <w:wordWrap/>
              <w:overflowPunct/>
              <w:topLinePunct w:val="0"/>
              <w:autoSpaceDE w:val="0"/>
              <w:autoSpaceDN w:val="0"/>
              <w:bidi w:val="0"/>
              <w:adjustRightInd w:val="0"/>
              <w:snapToGrid w:val="0"/>
              <w:spacing w:line="560" w:lineRule="exact"/>
              <w:jc w:val="center"/>
              <w:textAlignment w:val="baseline"/>
              <w:rPr>
                <w:rFonts w:hint="eastAsia" w:asciiTheme="minorEastAsia" w:hAnsiTheme="minorEastAsia" w:eastAsiaTheme="minorEastAsia" w:cstheme="minorEastAsia"/>
                <w:color w:val="auto"/>
                <w:spacing w:val="0"/>
                <w:w w:val="100"/>
                <w:position w:val="0"/>
                <w:sz w:val="24"/>
                <w:szCs w:val="24"/>
                <w:highlight w:val="none"/>
              </w:rPr>
            </w:pPr>
            <w:r>
              <w:rPr>
                <w:rFonts w:hint="eastAsia" w:ascii="宋体" w:hAnsi="宋体" w:eastAsia="宋体" w:cs="宋体"/>
                <w:snapToGrid w:val="0"/>
                <w:color w:val="auto"/>
                <w:spacing w:val="0"/>
                <w:w w:val="100"/>
                <w:position w:val="0"/>
                <w:sz w:val="24"/>
                <w:szCs w:val="24"/>
                <w:highlight w:val="none"/>
                <w:lang w:val="en-US" w:eastAsia="zh-CN" w:bidi="ar-SA"/>
              </w:rPr>
              <w:t>眼底激光治疗仪</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FAB3E">
            <w:pPr>
              <w:pStyle w:val="26"/>
              <w:keepNext w:val="0"/>
              <w:keepLines w:val="0"/>
              <w:pageBreakBefore w:val="0"/>
              <w:widowControl w:val="0"/>
              <w:kinsoku w:val="0"/>
              <w:wordWrap/>
              <w:overflowPunct/>
              <w:topLinePunct w:val="0"/>
              <w:autoSpaceDE w:val="0"/>
              <w:autoSpaceDN w:val="0"/>
              <w:bidi w:val="0"/>
              <w:adjustRightInd w:val="0"/>
              <w:snapToGrid w:val="0"/>
              <w:spacing w:line="560" w:lineRule="exact"/>
              <w:jc w:val="center"/>
              <w:textAlignment w:val="baseline"/>
              <w:rPr>
                <w:rFonts w:hint="eastAsia" w:asciiTheme="minorEastAsia" w:hAnsiTheme="minorEastAsia" w:eastAsiaTheme="minorEastAsia" w:cstheme="minorEastAsia"/>
                <w:color w:val="auto"/>
                <w:spacing w:val="0"/>
                <w:w w:val="100"/>
                <w:position w:val="0"/>
                <w:sz w:val="24"/>
                <w:szCs w:val="24"/>
                <w:highlight w:val="none"/>
              </w:rPr>
            </w:pPr>
            <w:r>
              <w:rPr>
                <w:rFonts w:hint="eastAsia" w:ascii="宋体" w:hAnsi="宋体" w:eastAsia="宋体" w:cs="宋体"/>
                <w:snapToGrid w:val="0"/>
                <w:color w:val="auto"/>
                <w:spacing w:val="0"/>
                <w:w w:val="100"/>
                <w:position w:val="0"/>
                <w:sz w:val="24"/>
                <w:szCs w:val="24"/>
                <w:highlight w:val="none"/>
                <w:lang w:val="en-US" w:eastAsia="zh-CN" w:bidi="ar-SA"/>
              </w:rPr>
              <w:t>1</w:t>
            </w:r>
          </w:p>
        </w:tc>
        <w:tc>
          <w:tcPr>
            <w:tcW w:w="1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C5B91">
            <w:pPr>
              <w:keepNext w:val="0"/>
              <w:keepLines w:val="0"/>
              <w:pageBreakBefore w:val="0"/>
              <w:widowControl w:val="0"/>
              <w:kinsoku w:val="0"/>
              <w:wordWrap/>
              <w:overflowPunct/>
              <w:topLinePunct w:val="0"/>
              <w:autoSpaceDE w:val="0"/>
              <w:autoSpaceDN w:val="0"/>
              <w:bidi w:val="0"/>
              <w:adjustRightInd w:val="0"/>
              <w:snapToGrid w:val="0"/>
              <w:spacing w:line="560" w:lineRule="exact"/>
              <w:jc w:val="center"/>
              <w:textAlignment w:val="baseline"/>
              <w:rPr>
                <w:rFonts w:hint="eastAsia" w:asciiTheme="minorEastAsia" w:hAnsiTheme="minorEastAsia" w:eastAsiaTheme="minorEastAsia" w:cstheme="minorEastAsia"/>
                <w:color w:val="auto"/>
                <w:spacing w:val="0"/>
                <w:w w:val="100"/>
                <w:position w:val="0"/>
                <w:sz w:val="24"/>
                <w:szCs w:val="24"/>
                <w:highlight w:val="none"/>
              </w:rPr>
            </w:pPr>
            <w:r>
              <w:rPr>
                <w:rFonts w:hint="eastAsia" w:ascii="宋体" w:hAnsi="宋体" w:eastAsia="宋体" w:cs="宋体"/>
                <w:snapToGrid w:val="0"/>
                <w:color w:val="auto"/>
                <w:spacing w:val="0"/>
                <w:w w:val="100"/>
                <w:position w:val="0"/>
                <w:sz w:val="24"/>
                <w:szCs w:val="24"/>
                <w:highlight w:val="none"/>
                <w:lang w:val="en-US" w:eastAsia="zh-CN" w:bidi="ar-SA"/>
              </w:rPr>
              <w:t>套</w:t>
            </w:r>
          </w:p>
        </w:tc>
        <w:tc>
          <w:tcPr>
            <w:tcW w:w="1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D1A44">
            <w:pPr>
              <w:pStyle w:val="26"/>
              <w:keepNext w:val="0"/>
              <w:keepLines w:val="0"/>
              <w:pageBreakBefore w:val="0"/>
              <w:widowControl w:val="0"/>
              <w:kinsoku w:val="0"/>
              <w:wordWrap/>
              <w:overflowPunct/>
              <w:topLinePunct w:val="0"/>
              <w:autoSpaceDE w:val="0"/>
              <w:autoSpaceDN w:val="0"/>
              <w:bidi w:val="0"/>
              <w:adjustRightInd w:val="0"/>
              <w:snapToGrid w:val="0"/>
              <w:spacing w:line="560" w:lineRule="exact"/>
              <w:jc w:val="center"/>
              <w:textAlignment w:val="baseline"/>
              <w:rPr>
                <w:rFonts w:hint="eastAsia" w:asciiTheme="minorEastAsia" w:hAnsiTheme="minorEastAsia" w:eastAsiaTheme="minorEastAsia" w:cstheme="minorEastAsia"/>
                <w:color w:val="auto"/>
                <w:spacing w:val="0"/>
                <w:w w:val="100"/>
                <w:position w:val="0"/>
                <w:sz w:val="24"/>
                <w:szCs w:val="24"/>
                <w:highlight w:val="none"/>
              </w:rPr>
            </w:pPr>
            <w:r>
              <w:rPr>
                <w:rFonts w:hint="eastAsia" w:ascii="宋体" w:hAnsi="宋体" w:eastAsia="宋体" w:cs="宋体"/>
                <w:snapToGrid w:val="0"/>
                <w:color w:val="auto"/>
                <w:spacing w:val="0"/>
                <w:w w:val="100"/>
                <w:position w:val="0"/>
                <w:sz w:val="24"/>
                <w:szCs w:val="24"/>
                <w:highlight w:val="none"/>
                <w:lang w:val="en-US" w:eastAsia="zh-CN" w:bidi="ar-SA"/>
              </w:rPr>
              <w:t>350000.00</w:t>
            </w:r>
          </w:p>
        </w:tc>
      </w:tr>
    </w:tbl>
    <w:p w14:paraId="134A79E1">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rPr>
      </w:pPr>
    </w:p>
    <w:p w14:paraId="583C1F6B">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val="en-US" w:eastAsia="zh-CN"/>
        </w:rPr>
      </w:pPr>
      <w:r>
        <w:rPr>
          <w:rFonts w:hint="eastAsia" w:asciiTheme="minorEastAsia" w:hAnsiTheme="minorEastAsia" w:eastAsiaTheme="minorEastAsia" w:cstheme="minorEastAsia"/>
          <w:color w:val="auto"/>
          <w:spacing w:val="0"/>
          <w:w w:val="100"/>
          <w:position w:val="0"/>
          <w:sz w:val="24"/>
          <w:szCs w:val="24"/>
          <w:highlight w:val="none"/>
          <w:lang w:val="en-US" w:eastAsia="zh-CN"/>
        </w:rPr>
        <w:t>一、眼底激光治疗仪</w:t>
      </w:r>
    </w:p>
    <w:p w14:paraId="01E3A393">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val="en-US" w:eastAsia="zh-CN"/>
        </w:rPr>
      </w:pPr>
      <w:r>
        <w:rPr>
          <w:rFonts w:hint="eastAsia" w:asciiTheme="minorEastAsia" w:hAnsiTheme="minorEastAsia" w:eastAsiaTheme="minorEastAsia" w:cstheme="minorEastAsia"/>
          <w:color w:val="auto"/>
          <w:spacing w:val="0"/>
          <w:w w:val="100"/>
          <w:position w:val="0"/>
          <w:sz w:val="24"/>
          <w:szCs w:val="24"/>
          <w:highlight w:val="none"/>
          <w:lang w:val="en-US" w:eastAsia="zh-CN"/>
        </w:rPr>
        <w:t>1、波长：532 nm绿激光</w:t>
      </w:r>
    </w:p>
    <w:p w14:paraId="39C19B60">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val="en-US" w:eastAsia="zh-CN"/>
        </w:rPr>
      </w:pPr>
      <w:r>
        <w:rPr>
          <w:rFonts w:hint="eastAsia" w:asciiTheme="minorEastAsia" w:hAnsiTheme="minorEastAsia" w:eastAsiaTheme="minorEastAsia" w:cstheme="minorEastAsia"/>
          <w:color w:val="auto"/>
          <w:spacing w:val="0"/>
          <w:w w:val="100"/>
          <w:position w:val="0"/>
          <w:sz w:val="24"/>
          <w:szCs w:val="24"/>
          <w:highlight w:val="none"/>
          <w:lang w:val="en-US" w:eastAsia="zh-CN"/>
        </w:rPr>
        <w:t>2、最大功率：</w:t>
      </w:r>
      <w:r>
        <w:rPr>
          <w:rFonts w:hint="eastAsia" w:asciiTheme="minorEastAsia" w:hAnsiTheme="minorEastAsia" w:eastAsiaTheme="minorEastAsia" w:cstheme="minorEastAsia"/>
          <w:color w:val="auto"/>
          <w:spacing w:val="0"/>
          <w:w w:val="100"/>
          <w:position w:val="0"/>
          <w:sz w:val="24"/>
          <w:szCs w:val="24"/>
          <w:highlight w:val="none"/>
          <w:lang w:val="en-US" w:eastAsia="zh-CN"/>
        </w:rPr>
        <w:tab/>
      </w:r>
      <w:r>
        <w:rPr>
          <w:rFonts w:hint="eastAsia" w:asciiTheme="minorEastAsia" w:hAnsiTheme="minorEastAsia" w:eastAsiaTheme="minorEastAsia" w:cstheme="minorEastAsia"/>
          <w:color w:val="auto"/>
          <w:spacing w:val="0"/>
          <w:w w:val="100"/>
          <w:position w:val="0"/>
          <w:sz w:val="24"/>
          <w:szCs w:val="24"/>
          <w:highlight w:val="none"/>
          <w:lang w:val="en-US" w:eastAsia="zh-CN"/>
        </w:rPr>
        <w:t>≥1500mW/1.5W</w:t>
      </w:r>
    </w:p>
    <w:p w14:paraId="0110AB89">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val="en-US" w:eastAsia="zh-CN"/>
        </w:rPr>
      </w:pPr>
      <w:r>
        <w:rPr>
          <w:rFonts w:hint="eastAsia" w:asciiTheme="minorEastAsia" w:hAnsiTheme="minorEastAsia" w:eastAsiaTheme="minorEastAsia" w:cstheme="minorEastAsia"/>
          <w:color w:val="auto"/>
          <w:spacing w:val="0"/>
          <w:w w:val="100"/>
          <w:position w:val="0"/>
          <w:sz w:val="24"/>
          <w:szCs w:val="24"/>
          <w:highlight w:val="none"/>
          <w:lang w:val="en-US" w:eastAsia="zh-CN"/>
        </w:rPr>
        <w:t xml:space="preserve">3、曝光时间：≤12ms </w:t>
      </w:r>
    </w:p>
    <w:p w14:paraId="6D9D9860">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val="en-US" w:eastAsia="zh-CN"/>
        </w:rPr>
      </w:pPr>
      <w:r>
        <w:rPr>
          <w:rFonts w:hint="eastAsia" w:asciiTheme="minorEastAsia" w:hAnsiTheme="minorEastAsia" w:eastAsiaTheme="minorEastAsia" w:cstheme="minorEastAsia"/>
          <w:color w:val="auto"/>
          <w:spacing w:val="0"/>
          <w:w w:val="100"/>
          <w:position w:val="0"/>
          <w:sz w:val="24"/>
          <w:szCs w:val="24"/>
          <w:highlight w:val="none"/>
          <w:lang w:val="en-US" w:eastAsia="zh-CN"/>
        </w:rPr>
        <w:t>4、连发间隔：</w:t>
      </w:r>
      <w:r>
        <w:rPr>
          <w:rFonts w:hint="eastAsia" w:asciiTheme="minorEastAsia" w:hAnsiTheme="minorEastAsia" w:eastAsiaTheme="minorEastAsia" w:cstheme="minorEastAsia"/>
          <w:color w:val="auto"/>
          <w:spacing w:val="0"/>
          <w:w w:val="100"/>
          <w:position w:val="0"/>
          <w:sz w:val="24"/>
          <w:szCs w:val="24"/>
          <w:highlight w:val="none"/>
          <w:lang w:val="en-US" w:eastAsia="zh-CN"/>
        </w:rPr>
        <w:tab/>
      </w:r>
      <w:r>
        <w:rPr>
          <w:rFonts w:hint="eastAsia" w:asciiTheme="minorEastAsia" w:hAnsiTheme="minorEastAsia" w:eastAsiaTheme="minorEastAsia" w:cstheme="minorEastAsia"/>
          <w:color w:val="auto"/>
          <w:spacing w:val="0"/>
          <w:w w:val="100"/>
          <w:position w:val="0"/>
          <w:sz w:val="24"/>
          <w:szCs w:val="24"/>
          <w:highlight w:val="none"/>
          <w:lang w:val="en-US" w:eastAsia="zh-CN"/>
        </w:rPr>
        <w:t>≤0.7s</w:t>
      </w:r>
    </w:p>
    <w:p w14:paraId="65B55588">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val="en-US" w:eastAsia="zh-CN"/>
        </w:rPr>
      </w:pPr>
      <w:r>
        <w:rPr>
          <w:rFonts w:hint="eastAsia" w:asciiTheme="minorEastAsia" w:hAnsiTheme="minorEastAsia" w:eastAsiaTheme="minorEastAsia" w:cstheme="minorEastAsia"/>
          <w:color w:val="auto"/>
          <w:spacing w:val="0"/>
          <w:w w:val="100"/>
          <w:position w:val="0"/>
          <w:sz w:val="24"/>
          <w:szCs w:val="24"/>
          <w:highlight w:val="none"/>
          <w:lang w:val="en-US" w:eastAsia="zh-CN"/>
        </w:rPr>
        <w:t xml:space="preserve">5、瞄准光：半导体二极管，635±20nm，输出功率＜1mW连续可调 </w:t>
      </w:r>
    </w:p>
    <w:p w14:paraId="69B944FB">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val="en-US" w:eastAsia="zh-CN"/>
        </w:rPr>
      </w:pPr>
      <w:r>
        <w:rPr>
          <w:rFonts w:hint="eastAsia" w:asciiTheme="minorEastAsia" w:hAnsiTheme="minorEastAsia" w:eastAsiaTheme="minorEastAsia" w:cstheme="minorEastAsia"/>
          <w:color w:val="auto"/>
          <w:spacing w:val="0"/>
          <w:w w:val="100"/>
          <w:position w:val="0"/>
          <w:sz w:val="24"/>
          <w:szCs w:val="24"/>
          <w:highlight w:val="none"/>
          <w:lang w:val="en-US" w:eastAsia="zh-CN"/>
        </w:rPr>
        <w:t>6、整机轻量化设计，总质量≤7kg</w:t>
      </w:r>
    </w:p>
    <w:p w14:paraId="6DB6465C">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val="en-US" w:eastAsia="zh-CN"/>
        </w:rPr>
      </w:pPr>
      <w:r>
        <w:rPr>
          <w:rFonts w:hint="eastAsia" w:asciiTheme="minorEastAsia" w:hAnsiTheme="minorEastAsia" w:eastAsiaTheme="minorEastAsia" w:cstheme="minorEastAsia"/>
          <w:color w:val="auto"/>
          <w:spacing w:val="0"/>
          <w:w w:val="100"/>
          <w:position w:val="0"/>
          <w:sz w:val="24"/>
          <w:szCs w:val="24"/>
          <w:highlight w:val="none"/>
          <w:lang w:val="en-US" w:eastAsia="zh-CN"/>
        </w:rPr>
        <w:t>7、冷却方式：帕尔贴效应原理冷却，减少宕机</w:t>
      </w:r>
    </w:p>
    <w:p w14:paraId="1D07EEF4">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val="en-US" w:eastAsia="zh-CN"/>
        </w:rPr>
      </w:pPr>
      <w:r>
        <w:rPr>
          <w:rFonts w:hint="eastAsia" w:asciiTheme="minorEastAsia" w:hAnsiTheme="minorEastAsia" w:eastAsiaTheme="minorEastAsia" w:cstheme="minorEastAsia"/>
          <w:color w:val="auto"/>
          <w:spacing w:val="0"/>
          <w:w w:val="100"/>
          <w:position w:val="0"/>
          <w:sz w:val="24"/>
          <w:szCs w:val="24"/>
          <w:highlight w:val="none"/>
          <w:lang w:val="en-US" w:eastAsia="zh-CN"/>
        </w:rPr>
        <w:t>8、电源要求：100-240 VAC, 250 VA, 50/60 Hz</w:t>
      </w:r>
    </w:p>
    <w:p w14:paraId="4621A13C">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val="en-US" w:eastAsia="zh-CN"/>
        </w:rPr>
      </w:pPr>
      <w:r>
        <w:rPr>
          <w:rFonts w:hint="eastAsia" w:asciiTheme="minorEastAsia" w:hAnsiTheme="minorEastAsia" w:eastAsiaTheme="minorEastAsia" w:cstheme="minorEastAsia"/>
          <w:color w:val="auto"/>
          <w:spacing w:val="0"/>
          <w:w w:val="100"/>
          <w:position w:val="0"/>
          <w:sz w:val="24"/>
          <w:szCs w:val="24"/>
          <w:highlight w:val="none"/>
          <w:lang w:val="en-US" w:eastAsia="zh-CN"/>
        </w:rPr>
        <w:t>9、具备功能脚踏，可控制激光发射</w:t>
      </w:r>
    </w:p>
    <w:p w14:paraId="3DDF33F3">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val="en-US" w:eastAsia="zh-CN"/>
        </w:rPr>
      </w:pPr>
      <w:r>
        <w:rPr>
          <w:rFonts w:hint="eastAsia" w:asciiTheme="minorEastAsia" w:hAnsiTheme="minorEastAsia" w:eastAsiaTheme="minorEastAsia" w:cstheme="minorEastAsia"/>
          <w:color w:val="auto"/>
          <w:spacing w:val="0"/>
          <w:w w:val="100"/>
          <w:position w:val="0"/>
          <w:sz w:val="24"/>
          <w:szCs w:val="24"/>
          <w:highlight w:val="none"/>
          <w:lang w:val="en-US" w:eastAsia="zh-CN"/>
        </w:rPr>
        <w:t>10、具备自动生成量化治疗报告功能</w:t>
      </w:r>
    </w:p>
    <w:p w14:paraId="1216F46A">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val="en-US" w:eastAsia="zh-CN"/>
        </w:rPr>
      </w:pPr>
      <w:r>
        <w:rPr>
          <w:rFonts w:hint="eastAsia" w:asciiTheme="minorEastAsia" w:hAnsiTheme="minorEastAsia" w:eastAsiaTheme="minorEastAsia" w:cstheme="minorEastAsia"/>
          <w:color w:val="auto"/>
          <w:spacing w:val="0"/>
          <w:w w:val="100"/>
          <w:position w:val="0"/>
          <w:sz w:val="24"/>
          <w:szCs w:val="24"/>
          <w:highlight w:val="none"/>
          <w:lang w:val="en-US" w:eastAsia="zh-CN"/>
        </w:rPr>
        <w:t>11、单点激光模式：可通过 4 种传输模式进行传统的单点激光器治疗：单点、重复、绘画或连续</w:t>
      </w:r>
    </w:p>
    <w:p w14:paraId="1921FD90">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val="en-US" w:eastAsia="zh-CN"/>
        </w:rPr>
      </w:pPr>
      <w:r>
        <w:rPr>
          <w:rFonts w:hint="eastAsia" w:asciiTheme="minorEastAsia" w:hAnsiTheme="minorEastAsia" w:eastAsiaTheme="minorEastAsia" w:cstheme="minorEastAsia"/>
          <w:color w:val="auto"/>
          <w:spacing w:val="0"/>
          <w:w w:val="100"/>
          <w:position w:val="0"/>
          <w:sz w:val="24"/>
          <w:szCs w:val="24"/>
          <w:highlight w:val="none"/>
          <w:lang w:val="en-US" w:eastAsia="zh-CN"/>
        </w:rPr>
        <w:t>12、最小光斑大小≤60μm；无级连续可调，增量≤15μm</w:t>
      </w:r>
    </w:p>
    <w:p w14:paraId="74E10CF7">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val="en-US" w:eastAsia="zh-CN"/>
        </w:rPr>
      </w:pPr>
      <w:r>
        <w:rPr>
          <w:rFonts w:hint="eastAsia" w:asciiTheme="minorEastAsia" w:hAnsiTheme="minorEastAsia" w:eastAsiaTheme="minorEastAsia" w:cstheme="minorEastAsia"/>
          <w:color w:val="auto"/>
          <w:spacing w:val="0"/>
          <w:w w:val="100"/>
          <w:position w:val="0"/>
          <w:sz w:val="24"/>
          <w:szCs w:val="24"/>
          <w:highlight w:val="none"/>
          <w:lang w:val="en-US" w:eastAsia="zh-CN"/>
        </w:rPr>
        <w:t>13、配备上光源裂隙灯</w:t>
      </w:r>
    </w:p>
    <w:p w14:paraId="003B27BC">
      <w:pPr>
        <w:keepNext w:val="0"/>
        <w:keepLines w:val="0"/>
        <w:pageBreakBefore w:val="0"/>
        <w:widowControl w:val="0"/>
        <w:kinsoku w:val="0"/>
        <w:wordWrap/>
        <w:overflowPunct/>
        <w:topLinePunct w:val="0"/>
        <w:autoSpaceDE w:val="0"/>
        <w:autoSpaceDN w:val="0"/>
        <w:bidi w:val="0"/>
        <w:adjustRightInd w:val="0"/>
        <w:snapToGrid w:val="0"/>
        <w:spacing w:line="560" w:lineRule="exact"/>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14、激光光纤接入裂隙灯，输出光斑形状≥1种。</w:t>
      </w:r>
    </w:p>
    <w:p w14:paraId="2DF2A22D">
      <w:pPr>
        <w:keepNext w:val="0"/>
        <w:keepLines w:val="0"/>
        <w:pageBreakBefore w:val="0"/>
        <w:widowControl w:val="0"/>
        <w:kinsoku w:val="0"/>
        <w:wordWrap/>
        <w:overflowPunct/>
        <w:topLinePunct w:val="0"/>
        <w:autoSpaceDE w:val="0"/>
        <w:autoSpaceDN w:val="0"/>
        <w:bidi w:val="0"/>
        <w:adjustRightInd w:val="0"/>
        <w:snapToGrid w:val="0"/>
        <w:spacing w:line="560" w:lineRule="exact"/>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15、接触镜数据库：≥12种预设常用接触镜参数，在设置中可添加。</w:t>
      </w:r>
    </w:p>
    <w:p w14:paraId="298DA5E8">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highlight w:val="none"/>
          <w:lang w:eastAsia="zh-CN"/>
        </w:rPr>
      </w:pPr>
    </w:p>
    <w:p w14:paraId="4F336BA5">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highlight w:val="none"/>
          <w:lang w:eastAsia="zh-CN"/>
        </w:rPr>
      </w:pPr>
    </w:p>
    <w:p w14:paraId="558C8510">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highlight w:val="none"/>
          <w:lang w:eastAsia="zh-CN"/>
        </w:rPr>
      </w:pPr>
    </w:p>
    <w:p w14:paraId="74FBE158">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（二）商务条件</w:t>
      </w:r>
    </w:p>
    <w:p w14:paraId="0B23E111">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1.交付的时间和地点：</w:t>
      </w:r>
    </w:p>
    <w:p w14:paraId="13537686">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1.1.交付的时间：合同签订后</w:t>
      </w:r>
      <w:r>
        <w:rPr>
          <w:rFonts w:hint="eastAsia" w:asciiTheme="minorEastAsia" w:hAnsiTheme="minorEastAsia" w:eastAsiaTheme="minorEastAsia" w:cstheme="minorEastAsia"/>
          <w:color w:val="auto"/>
          <w:spacing w:val="0"/>
          <w:w w:val="100"/>
          <w:position w:val="0"/>
          <w:sz w:val="24"/>
          <w:szCs w:val="24"/>
          <w:highlight w:val="none"/>
          <w:lang w:val="en-US" w:eastAsia="zh-CN"/>
        </w:rPr>
        <w:t>6</w:t>
      </w:r>
      <w:r>
        <w:rPr>
          <w:rFonts w:hint="eastAsia" w:asciiTheme="minorEastAsia" w:hAnsiTheme="minorEastAsia" w:eastAsiaTheme="minorEastAsia" w:cstheme="minorEastAsia"/>
          <w:color w:val="auto"/>
          <w:spacing w:val="0"/>
          <w:w w:val="100"/>
          <w:position w:val="0"/>
          <w:sz w:val="24"/>
          <w:szCs w:val="24"/>
          <w:highlight w:val="none"/>
          <w:lang w:eastAsia="zh-CN"/>
        </w:rPr>
        <w:t>0日内。中标人应保证在要求时间内完成全部货物的供货、安装、调试、培训和验收工作，符合国家标准、行业规范和合同等相关文件的要求。</w:t>
      </w:r>
    </w:p>
    <w:p w14:paraId="4021CE19">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1.2.交货期限延误处理：中标人应按采购需求保证供货，如未按规定的供货期交付，按“第三章 拟签订的合同文本”中相应的条款处理。若有断货等特殊情况时，供应商应提前</w:t>
      </w:r>
      <w:r>
        <w:rPr>
          <w:rFonts w:hint="eastAsia" w:asciiTheme="minorEastAsia" w:hAnsiTheme="minorEastAsia" w:eastAsiaTheme="minorEastAsia" w:cstheme="minorEastAsia"/>
          <w:color w:val="auto"/>
          <w:spacing w:val="0"/>
          <w:w w:val="100"/>
          <w:position w:val="0"/>
          <w:sz w:val="24"/>
          <w:szCs w:val="24"/>
          <w:highlight w:val="none"/>
          <w:lang w:val="en-US" w:eastAsia="zh-CN"/>
        </w:rPr>
        <w:t>15</w:t>
      </w:r>
      <w:r>
        <w:rPr>
          <w:rFonts w:hint="eastAsia" w:asciiTheme="minorEastAsia" w:hAnsiTheme="minorEastAsia" w:eastAsiaTheme="minorEastAsia" w:cstheme="minorEastAsia"/>
          <w:color w:val="auto"/>
          <w:spacing w:val="0"/>
          <w:w w:val="100"/>
          <w:position w:val="0"/>
          <w:sz w:val="24"/>
          <w:szCs w:val="24"/>
          <w:highlight w:val="none"/>
          <w:lang w:eastAsia="zh-CN"/>
        </w:rPr>
        <w:t>天通知采购人，并出示加盖公章的停货书面说明，并提出切实可行的解决方案。断货期间，采购人有权向其他供应商购买产品，直到原供货方能继续供货为止。</w:t>
      </w:r>
    </w:p>
    <w:p w14:paraId="0398B601">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1.3.交货、安装地点：吉安市中心人民医院眼耳鼻喉医院眼科。</w:t>
      </w:r>
    </w:p>
    <w:p w14:paraId="7EF8F652">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2.付款条件：</w:t>
      </w:r>
    </w:p>
    <w:p w14:paraId="248E8B19">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default" w:asciiTheme="minorEastAsia" w:hAnsiTheme="minorEastAsia" w:eastAsiaTheme="minorEastAsia" w:cstheme="minorEastAsia"/>
          <w:color w:val="auto"/>
          <w:spacing w:val="0"/>
          <w:w w:val="100"/>
          <w:position w:val="0"/>
          <w:sz w:val="24"/>
          <w:szCs w:val="24"/>
          <w:highlight w:val="none"/>
          <w:lang w:val="en-US"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2.1.付款要求：本项目</w:t>
      </w:r>
      <w:r>
        <w:rPr>
          <w:rFonts w:hint="eastAsia" w:asciiTheme="minorEastAsia" w:hAnsiTheme="minorEastAsia" w:eastAsiaTheme="minorEastAsia" w:cstheme="minorEastAsia"/>
          <w:color w:val="auto"/>
          <w:spacing w:val="0"/>
          <w:w w:val="100"/>
          <w:position w:val="0"/>
          <w:sz w:val="24"/>
          <w:szCs w:val="24"/>
          <w:highlight w:val="none"/>
          <w:lang w:val="en-US" w:eastAsia="zh-CN"/>
        </w:rPr>
        <w:t>所有</w:t>
      </w:r>
      <w:r>
        <w:rPr>
          <w:rFonts w:hint="eastAsia" w:asciiTheme="minorEastAsia" w:hAnsiTheme="minorEastAsia" w:eastAsiaTheme="minorEastAsia" w:cstheme="minorEastAsia"/>
          <w:color w:val="auto"/>
          <w:spacing w:val="0"/>
          <w:w w:val="100"/>
          <w:position w:val="0"/>
          <w:sz w:val="24"/>
          <w:szCs w:val="24"/>
          <w:highlight w:val="none"/>
          <w:lang w:eastAsia="zh-CN"/>
        </w:rPr>
        <w:t>货物（整机、所有辅助设备及零配件）安装完毕，并且整体经验收合格后支付合同总价的</w:t>
      </w:r>
      <w:r>
        <w:rPr>
          <w:rFonts w:hint="eastAsia" w:asciiTheme="minorEastAsia" w:hAnsiTheme="minorEastAsia" w:eastAsiaTheme="minorEastAsia" w:cstheme="minorEastAsia"/>
          <w:color w:val="auto"/>
          <w:spacing w:val="0"/>
          <w:w w:val="100"/>
          <w:position w:val="0"/>
          <w:sz w:val="24"/>
          <w:szCs w:val="24"/>
          <w:highlight w:val="none"/>
          <w:lang w:val="en-US" w:eastAsia="zh-CN"/>
        </w:rPr>
        <w:t>10</w:t>
      </w:r>
      <w:r>
        <w:rPr>
          <w:rFonts w:hint="eastAsia" w:asciiTheme="minorEastAsia" w:hAnsiTheme="minorEastAsia" w:eastAsiaTheme="minorEastAsia" w:cstheme="minorEastAsia"/>
          <w:color w:val="auto"/>
          <w:spacing w:val="0"/>
          <w:w w:val="100"/>
          <w:position w:val="0"/>
          <w:sz w:val="24"/>
          <w:szCs w:val="24"/>
          <w:highlight w:val="none"/>
          <w:lang w:eastAsia="zh-CN"/>
        </w:rPr>
        <w:t>0%。</w:t>
      </w:r>
    </w:p>
    <w:p w14:paraId="46C54642">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default" w:asciiTheme="minorEastAsia" w:hAnsiTheme="minorEastAsia" w:eastAsiaTheme="minorEastAsia" w:cstheme="minorEastAsia"/>
          <w:color w:val="auto"/>
          <w:spacing w:val="0"/>
          <w:w w:val="100"/>
          <w:position w:val="0"/>
          <w:sz w:val="24"/>
          <w:szCs w:val="24"/>
          <w:highlight w:val="none"/>
          <w:lang w:val="en-US" w:eastAsia="zh-CN"/>
        </w:rPr>
      </w:pPr>
      <w:r>
        <w:rPr>
          <w:rFonts w:hint="eastAsia" w:asciiTheme="minorEastAsia" w:hAnsiTheme="minorEastAsia" w:eastAsiaTheme="minorEastAsia" w:cstheme="minorEastAsia"/>
          <w:color w:val="auto"/>
          <w:spacing w:val="0"/>
          <w:w w:val="100"/>
          <w:position w:val="0"/>
          <w:sz w:val="24"/>
          <w:szCs w:val="24"/>
          <w:highlight w:val="none"/>
          <w:lang w:val="en-US" w:eastAsia="zh-CN"/>
        </w:rPr>
        <w:t>2.2.履约保证金：合同金额的10%，履约保证金应当在签订合同时采用支票、汇票、本票、网上银行支付或者金融机构、担保机构出具的保函等非现金形式交纳。若中标人未出现违反招标文件及采购合同规定之情形，所有合同约定的履约义务全完成后，采购人将履约保证金一次性无息退还给中标人。</w:t>
      </w:r>
    </w:p>
    <w:p w14:paraId="6734B182">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3.包装和运输：</w:t>
      </w:r>
    </w:p>
    <w:p w14:paraId="0819A2B5">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3.1.货物的拆箱、安装等工作由中标人负责，但必须在采购人或采购人指定人员的参与下进行。中标人拆箱、安装前必须先经采购人同意方可进行。</w:t>
      </w:r>
    </w:p>
    <w:p w14:paraId="07A945AC">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3.2.所有货物、材料、备品备件等均须由中标人送货到指定地点并负责安装，必须提供产品的全部资料，如产品合格证、装箱单、使用说明书等。中标人应派熟练的工程师现场进行安装，若发生任一项指标不符合采购文件要求的，中标人应在7天内免费更换其不合格产品，使之达到采购文件要求，所有费用由中标人负担。</w:t>
      </w:r>
    </w:p>
    <w:p w14:paraId="049BBB6B">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4.售后服务：</w:t>
      </w:r>
    </w:p>
    <w:p w14:paraId="301FA39D">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4.1.质量保证期：在项目验收通过后，中标人必须提供为期</w:t>
      </w:r>
      <w:r>
        <w:rPr>
          <w:rFonts w:hint="eastAsia" w:asciiTheme="minorEastAsia" w:hAnsiTheme="minorEastAsia" w:eastAsiaTheme="minorEastAsia" w:cstheme="minorEastAsia"/>
          <w:color w:val="auto"/>
          <w:spacing w:val="0"/>
          <w:w w:val="100"/>
          <w:position w:val="0"/>
          <w:sz w:val="24"/>
          <w:szCs w:val="24"/>
          <w:highlight w:val="none"/>
          <w:lang w:val="en-US" w:eastAsia="zh-CN"/>
        </w:rPr>
        <w:t>一</w:t>
      </w:r>
      <w:r>
        <w:rPr>
          <w:rFonts w:hint="eastAsia" w:asciiTheme="minorEastAsia" w:hAnsiTheme="minorEastAsia" w:eastAsiaTheme="minorEastAsia" w:cstheme="minorEastAsia"/>
          <w:color w:val="auto"/>
          <w:spacing w:val="0"/>
          <w:w w:val="100"/>
          <w:position w:val="0"/>
          <w:sz w:val="24"/>
          <w:szCs w:val="24"/>
          <w:highlight w:val="none"/>
          <w:lang w:eastAsia="zh-CN"/>
        </w:rPr>
        <w:t>年的质量保证期（国家法规另有规定和制造企业优于的除外），在质保期内，中标人应提供上门维修或更换服务，所需费用包含在供应商报价中。</w:t>
      </w:r>
    </w:p>
    <w:p w14:paraId="4D23131C">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4.2.售后服务标准要求：</w:t>
      </w:r>
    </w:p>
    <w:p w14:paraId="142DE88E">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4.2.1.在质保期内，对所投设备提供7×24小时电话技术支持服务，所需费用包含在供应商报价中。</w:t>
      </w:r>
    </w:p>
    <w:p w14:paraId="6CFE31DE">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4.2.2.在质保期内，中标人收到采购人的故障通知后，维修人员必须60分钟内响应、48小时内赶至现场处理问题，所需费用包含在供应商报价中。设备故障维修期间内，若超过48小时没有故障排除的，应先提供同档次备用机供采购人使用。</w:t>
      </w:r>
    </w:p>
    <w:p w14:paraId="25C35802">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4.2.3.在质保期内，如果设备发生故障，中标人要调查故障原因并修复直至满足设备性能的要求，或者更换整机或部分有缺陷的组件和材料，所需费用包含在投标报价中。</w:t>
      </w:r>
    </w:p>
    <w:p w14:paraId="62996070">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4.2.4.培训：中标人须派专业技术人员到采购人指定地点提供针对采购人的操作人员及设备维修人员的现场培训，使采购人的相关技术人员能熟练独立工作并完全掌握设备的使用与日常运行维护为止。中标人须提供培训记录及培训考核记录、仪器保养要求及操作流程、操作、维修注意事项，并提供操作手册、操作规程及维修手册。</w:t>
      </w:r>
    </w:p>
    <w:p w14:paraId="47208B75">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4.2.5.中标人的其它售后服务承诺属于本合同的一部分，如果有不同约定的，以服务水平和层级更高的为准。</w:t>
      </w:r>
    </w:p>
    <w:p w14:paraId="7A4BB53D">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5.保险：包含财产保险（货物运输保险等）、人身保险、责任保险（公众责任保险、雇主责任保险等）、信用保险等。均应包含在投标总价中。</w:t>
      </w:r>
    </w:p>
    <w:p w14:paraId="183CBAB6">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6.其他要求：</w:t>
      </w:r>
    </w:p>
    <w:p w14:paraId="12F6A448">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6.1.报价要求：本项目为交钥匙工程：所有货物、材料、运输、转运、装卸、辅材、安装、施工、调试、安全文明生产、机械设备及耗材费、检测、验收、上线运行、培训、技术支持、保险、人员工资福利、国家法定假日加班费、劳保用品费、办公设备及办公费、管理费、利润、税金、售后服务、质保期内维修材料、缺陷期间维护及为完成该项目不可预见的费用等一切费用均包含在投标报价总价中，且合同期内单价不作调整。中标人应充分考虑本项目合同实施期间可能发生的一切费用，并承担由此而带来的风险。凡中标人在报价中未列明但又是建成该项目所必备的项目或遗漏项目，采购人将一律视为已包括在其报价中。</w:t>
      </w:r>
    </w:p>
    <w:p w14:paraId="443121B7">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6.2.安装及货物验收要求：</w:t>
      </w:r>
    </w:p>
    <w:p w14:paraId="476761C9">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6.2.1.验收方式、验收程序、验收内容：</w:t>
      </w:r>
    </w:p>
    <w:p w14:paraId="4B17BFAB">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货物达到指定地点后，由中标人提出到货验收申请，采购人同意后，按照职责权限，组织相关部门及人员形成验收小组，验收小组根据招标文件、投标文件、合同等项目文件约定内容进行货物的包装的检查、开箱检查，对合同货物的品名、型号规格、数量、附件及备件（如产品说明书、产品合格证书）等是否齐全进行核查，核查无误后进行硬件设备到货验收。合同货物安装调试完毕后，由中标人提出交付验收申请，采购人同意后，按照职责权限，组织相关部门及人员形成验收小组，验收小组根据招标文件、投标文件、合同等项目文件约定内容进行交付验收。</w:t>
      </w:r>
    </w:p>
    <w:p w14:paraId="361F7299">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视项目实施情况，采购人有权选择是否邀请第三方人员或检测机构，对货物进行验收或检测。如货物未能通过检测验收，中标人应按照采购人的要求更换相应货物直至达标，并承担由此产生的一切费用和损失。</w:t>
      </w:r>
    </w:p>
    <w:p w14:paraId="1ED6DF47">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如验收达不到规定要求，比如在验收过程中发现数量不足或有质量、技术等问题，中标人应负责按照采购人的要求采取补足、更换或退货等措施妥善处理，并承担由此发生的一切费用和损失；对于不合格的货物，中标人必须在10个工作日里及时更换。中标人若违约，采购人将依法追究相应法律责任。</w:t>
      </w:r>
    </w:p>
    <w:p w14:paraId="24DF8FAF">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6.2.2.验收标准：</w:t>
      </w:r>
    </w:p>
    <w:p w14:paraId="65F1DCCC">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（1）符合中华人民共和国国家安全质量标准、环保标准或行业标准；</w:t>
      </w:r>
    </w:p>
    <w:p w14:paraId="2F2A0763">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（2）符合招标文件和投标承诺中采购人认可的合理最佳配置、参数及各项要求；</w:t>
      </w:r>
    </w:p>
    <w:p w14:paraId="2C0AC1BE">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（3）货物来源符合官方标准。上述标准必须是有关官方机构发布的最新版本的标准；</w:t>
      </w:r>
    </w:p>
    <w:p w14:paraId="644EADDC">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eastAsia="zh-CN"/>
        </w:rPr>
        <w:t>（4）如招标文件的技术要求或招标文件中承诺的技术要求，高于国家或行业标准，以高的标准进行验收。</w:t>
      </w:r>
    </w:p>
    <w:p w14:paraId="0E43412B">
      <w:pPr>
        <w:pageBreakBefore w:val="0"/>
        <w:widowControl w:val="0"/>
        <w:wordWrap/>
        <w:overflowPunct/>
        <w:topLinePunct w:val="0"/>
        <w:bidi w:val="0"/>
        <w:spacing w:beforeAutospacing="0" w:line="360" w:lineRule="auto"/>
        <w:outlineLvl w:val="0"/>
        <w:rPr>
          <w:rFonts w:ascii="宋体" w:hAnsi="宋体" w:eastAsia="宋体" w:cs="宋体"/>
          <w:color w:val="auto"/>
          <w:spacing w:val="0"/>
          <w:w w:val="100"/>
          <w:position w:val="0"/>
          <w:sz w:val="24"/>
          <w:szCs w:val="24"/>
          <w:highlight w:val="none"/>
          <w:lang w:eastAsia="zh-CN"/>
        </w:rPr>
      </w:pPr>
    </w:p>
    <w:p w14:paraId="13577922">
      <w:pPr>
        <w:pageBreakBefore w:val="0"/>
        <w:widowControl w:val="0"/>
        <w:wordWrap/>
        <w:overflowPunct/>
        <w:topLinePunct w:val="0"/>
        <w:bidi w:val="0"/>
        <w:rPr>
          <w:color w:val="auto"/>
          <w:spacing w:val="0"/>
          <w:w w:val="100"/>
          <w:position w:val="0"/>
          <w:highlight w:val="none"/>
          <w:lang w:eastAsia="zh-CN"/>
        </w:rPr>
      </w:pPr>
      <w:bookmarkStart w:id="8" w:name="_GoBack"/>
      <w:bookmarkEnd w:id="8"/>
    </w:p>
    <w:sectPr>
      <w:footerReference r:id="rId4" w:type="default"/>
      <w:pgSz w:w="11906" w:h="16839"/>
      <w:pgMar w:top="1429" w:right="1304" w:bottom="1156" w:left="130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Arial Unicode MS">
    <w:altName w:val="Arial"/>
    <w:panose1 w:val="020B0604020202020204"/>
    <w:charset w:val="7A"/>
    <w:family w:val="swiss"/>
    <w:pitch w:val="default"/>
    <w:sig w:usb0="00000000" w:usb1="00000000" w:usb2="0000003F" w:usb3="00000000" w:csb0="603F01FF" w:csb1="FFFF0000"/>
  </w:font>
  <w:font w:name="方正小标宋简体">
    <w:panose1 w:val="02000000000000000000"/>
    <w:charset w:val="86"/>
    <w:family w:val="auto"/>
    <w:pitch w:val="default"/>
    <w:sig w:usb0="00000001" w:usb1="08000000" w:usb2="00000000" w:usb3="00000000" w:csb0="00040000" w:csb1="00000000"/>
  </w:font>
  <w:font w:name="Cambria Math">
    <w:panose1 w:val="02040503050406030204"/>
    <w:charset w:val="00"/>
    <w:family w:val="auto"/>
    <w:pitch w:val="default"/>
    <w:sig w:usb0="E00006FF" w:usb1="420024FF" w:usb2="02000000" w:usb3="00000000" w:csb0="2000019F" w:csb1="00000000"/>
  </w:font>
  <w:font w:name="WPSEMBED6">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27D798">
    <w:pPr>
      <w:pStyle w:val="10"/>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5EE3A5">
                          <w:pPr>
                            <w:pStyle w:val="10"/>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775EE3A5">
                    <w:pPr>
                      <w:pStyle w:val="10"/>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0C3AE9">
    <w:pPr>
      <w:pStyle w:val="10"/>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9707A0">
                          <w:pPr>
                            <w:pStyle w:val="10"/>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279707A0">
                    <w:pPr>
                      <w:pStyle w:val="10"/>
                    </w:pPr>
                    <w:r>
                      <w:fldChar w:fldCharType="begin"/>
                    </w:r>
                    <w:r>
                      <w:instrText xml:space="preserve"> PAGE  \* MERGEFORMAT </w:instrText>
                    </w:r>
                    <w:r>
                      <w:fldChar w:fldCharType="separate"/>
                    </w:r>
                    <w:r>
                      <w:t>61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1"/>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31198B"/>
    <w:rsid w:val="00412A37"/>
    <w:rsid w:val="006308AB"/>
    <w:rsid w:val="00847DE1"/>
    <w:rsid w:val="00CD47AB"/>
    <w:rsid w:val="00D6521D"/>
    <w:rsid w:val="00E80370"/>
    <w:rsid w:val="00F72BE7"/>
    <w:rsid w:val="013D404E"/>
    <w:rsid w:val="014707D5"/>
    <w:rsid w:val="0183453D"/>
    <w:rsid w:val="01E178D6"/>
    <w:rsid w:val="01F176F8"/>
    <w:rsid w:val="0248587B"/>
    <w:rsid w:val="02820AD7"/>
    <w:rsid w:val="02F62DEB"/>
    <w:rsid w:val="03065296"/>
    <w:rsid w:val="030A5CFD"/>
    <w:rsid w:val="034049F6"/>
    <w:rsid w:val="039753F9"/>
    <w:rsid w:val="03A14F29"/>
    <w:rsid w:val="03A27AFA"/>
    <w:rsid w:val="044D1E30"/>
    <w:rsid w:val="04BD4BCE"/>
    <w:rsid w:val="04DE51A5"/>
    <w:rsid w:val="04F64D19"/>
    <w:rsid w:val="04FA5415"/>
    <w:rsid w:val="052B325D"/>
    <w:rsid w:val="05A629A4"/>
    <w:rsid w:val="05F07017"/>
    <w:rsid w:val="0600615C"/>
    <w:rsid w:val="062D088E"/>
    <w:rsid w:val="065779B9"/>
    <w:rsid w:val="066257FB"/>
    <w:rsid w:val="06F21F49"/>
    <w:rsid w:val="07280AA2"/>
    <w:rsid w:val="076566A7"/>
    <w:rsid w:val="079A2F4B"/>
    <w:rsid w:val="07B64740"/>
    <w:rsid w:val="07FC21A6"/>
    <w:rsid w:val="081F5E69"/>
    <w:rsid w:val="08234384"/>
    <w:rsid w:val="085062EC"/>
    <w:rsid w:val="08D800EA"/>
    <w:rsid w:val="08D86F1C"/>
    <w:rsid w:val="0986545C"/>
    <w:rsid w:val="098C4275"/>
    <w:rsid w:val="099C2AD0"/>
    <w:rsid w:val="09F76A86"/>
    <w:rsid w:val="0A5474C3"/>
    <w:rsid w:val="0A596B97"/>
    <w:rsid w:val="0A5F7AD5"/>
    <w:rsid w:val="0A630BD7"/>
    <w:rsid w:val="0A911A78"/>
    <w:rsid w:val="0AAA50E9"/>
    <w:rsid w:val="0ABB6AF5"/>
    <w:rsid w:val="0B4E017C"/>
    <w:rsid w:val="0BCE5A19"/>
    <w:rsid w:val="0BD25EA5"/>
    <w:rsid w:val="0C027923"/>
    <w:rsid w:val="0C1E16F8"/>
    <w:rsid w:val="0C743400"/>
    <w:rsid w:val="0C744286"/>
    <w:rsid w:val="0CB0345E"/>
    <w:rsid w:val="0DB63714"/>
    <w:rsid w:val="0DBF7C0D"/>
    <w:rsid w:val="0DD264ED"/>
    <w:rsid w:val="0DD809E2"/>
    <w:rsid w:val="0E045967"/>
    <w:rsid w:val="0E304D8B"/>
    <w:rsid w:val="0E306947"/>
    <w:rsid w:val="0E9A1704"/>
    <w:rsid w:val="0EA83095"/>
    <w:rsid w:val="0F0E7B3C"/>
    <w:rsid w:val="0F8346BB"/>
    <w:rsid w:val="0FAD17DF"/>
    <w:rsid w:val="0FF52EEC"/>
    <w:rsid w:val="101C46B9"/>
    <w:rsid w:val="10202B84"/>
    <w:rsid w:val="107F306E"/>
    <w:rsid w:val="10D80401"/>
    <w:rsid w:val="114948FA"/>
    <w:rsid w:val="119223E6"/>
    <w:rsid w:val="11C5195B"/>
    <w:rsid w:val="11FC022D"/>
    <w:rsid w:val="125329BB"/>
    <w:rsid w:val="126757A9"/>
    <w:rsid w:val="1292624E"/>
    <w:rsid w:val="129C0FBA"/>
    <w:rsid w:val="12BD1CEC"/>
    <w:rsid w:val="13517FF7"/>
    <w:rsid w:val="139F6FB4"/>
    <w:rsid w:val="13A45C16"/>
    <w:rsid w:val="143E0B0F"/>
    <w:rsid w:val="14B561ED"/>
    <w:rsid w:val="14D27EAB"/>
    <w:rsid w:val="14F13A81"/>
    <w:rsid w:val="1538599A"/>
    <w:rsid w:val="158B0678"/>
    <w:rsid w:val="15C90C81"/>
    <w:rsid w:val="165F5C3E"/>
    <w:rsid w:val="16A356CC"/>
    <w:rsid w:val="170610F8"/>
    <w:rsid w:val="173418E5"/>
    <w:rsid w:val="17342109"/>
    <w:rsid w:val="1740460A"/>
    <w:rsid w:val="17B76D45"/>
    <w:rsid w:val="17D60801"/>
    <w:rsid w:val="17F46015"/>
    <w:rsid w:val="18187290"/>
    <w:rsid w:val="182E6B2B"/>
    <w:rsid w:val="1836143D"/>
    <w:rsid w:val="18363C5F"/>
    <w:rsid w:val="186009B5"/>
    <w:rsid w:val="18846779"/>
    <w:rsid w:val="188971C9"/>
    <w:rsid w:val="18C97898"/>
    <w:rsid w:val="18E84F59"/>
    <w:rsid w:val="18F643B3"/>
    <w:rsid w:val="19241D0A"/>
    <w:rsid w:val="193E2DCB"/>
    <w:rsid w:val="196206F1"/>
    <w:rsid w:val="19AD2FD4"/>
    <w:rsid w:val="19F33BB6"/>
    <w:rsid w:val="1A1F0E4F"/>
    <w:rsid w:val="1A551963"/>
    <w:rsid w:val="1A912B15"/>
    <w:rsid w:val="1AF44F33"/>
    <w:rsid w:val="1B4548E5"/>
    <w:rsid w:val="1B5457AF"/>
    <w:rsid w:val="1B702014"/>
    <w:rsid w:val="1BD47A17"/>
    <w:rsid w:val="1C766D20"/>
    <w:rsid w:val="1C9B22E3"/>
    <w:rsid w:val="1D085BCA"/>
    <w:rsid w:val="1D136AE0"/>
    <w:rsid w:val="1D74500E"/>
    <w:rsid w:val="1DCD471E"/>
    <w:rsid w:val="1DD800C0"/>
    <w:rsid w:val="1E1D0230"/>
    <w:rsid w:val="1E43791C"/>
    <w:rsid w:val="1E450556"/>
    <w:rsid w:val="1F2952CA"/>
    <w:rsid w:val="1F416791"/>
    <w:rsid w:val="1FAB6CE1"/>
    <w:rsid w:val="206155F1"/>
    <w:rsid w:val="20B54DB2"/>
    <w:rsid w:val="21042B4C"/>
    <w:rsid w:val="213A566A"/>
    <w:rsid w:val="2195298B"/>
    <w:rsid w:val="21CE72BA"/>
    <w:rsid w:val="22072FB3"/>
    <w:rsid w:val="220B02AE"/>
    <w:rsid w:val="22112B50"/>
    <w:rsid w:val="224433AA"/>
    <w:rsid w:val="22791318"/>
    <w:rsid w:val="22A85555"/>
    <w:rsid w:val="22E62ADA"/>
    <w:rsid w:val="22FD3CF7"/>
    <w:rsid w:val="23056708"/>
    <w:rsid w:val="234D0A23"/>
    <w:rsid w:val="23746473"/>
    <w:rsid w:val="237B00EF"/>
    <w:rsid w:val="23C04A55"/>
    <w:rsid w:val="24142584"/>
    <w:rsid w:val="24457704"/>
    <w:rsid w:val="245E134D"/>
    <w:rsid w:val="252227BA"/>
    <w:rsid w:val="25533D7B"/>
    <w:rsid w:val="25823163"/>
    <w:rsid w:val="25A00D95"/>
    <w:rsid w:val="25B23DB8"/>
    <w:rsid w:val="25E2090D"/>
    <w:rsid w:val="25F37706"/>
    <w:rsid w:val="266D3942"/>
    <w:rsid w:val="26BE3321"/>
    <w:rsid w:val="2722776F"/>
    <w:rsid w:val="27457A1B"/>
    <w:rsid w:val="274B704D"/>
    <w:rsid w:val="279C2686"/>
    <w:rsid w:val="27EF1D1C"/>
    <w:rsid w:val="280660E7"/>
    <w:rsid w:val="28706D19"/>
    <w:rsid w:val="28CF7D70"/>
    <w:rsid w:val="28D241FB"/>
    <w:rsid w:val="28F951A2"/>
    <w:rsid w:val="291F3D28"/>
    <w:rsid w:val="29262738"/>
    <w:rsid w:val="296B1898"/>
    <w:rsid w:val="2A071140"/>
    <w:rsid w:val="2AC967C3"/>
    <w:rsid w:val="2AFA115F"/>
    <w:rsid w:val="2B0F5B99"/>
    <w:rsid w:val="2B296C56"/>
    <w:rsid w:val="2BDA2720"/>
    <w:rsid w:val="2BE93C1A"/>
    <w:rsid w:val="2BED313B"/>
    <w:rsid w:val="2C695F59"/>
    <w:rsid w:val="2C7159C4"/>
    <w:rsid w:val="2C8B6CDE"/>
    <w:rsid w:val="2CA90A4C"/>
    <w:rsid w:val="2CF55C1F"/>
    <w:rsid w:val="2D142369"/>
    <w:rsid w:val="2D665E74"/>
    <w:rsid w:val="2D6A1EDF"/>
    <w:rsid w:val="2D99286E"/>
    <w:rsid w:val="2DC82B17"/>
    <w:rsid w:val="2DD921D9"/>
    <w:rsid w:val="2DF41412"/>
    <w:rsid w:val="2E234DC0"/>
    <w:rsid w:val="2E2648DC"/>
    <w:rsid w:val="2E2B0E5E"/>
    <w:rsid w:val="2E575FCC"/>
    <w:rsid w:val="2E693B84"/>
    <w:rsid w:val="2E960B5C"/>
    <w:rsid w:val="2EB108A7"/>
    <w:rsid w:val="2ECD6C74"/>
    <w:rsid w:val="2EEB534C"/>
    <w:rsid w:val="2EF51D26"/>
    <w:rsid w:val="2F5F3B7C"/>
    <w:rsid w:val="2F7679A0"/>
    <w:rsid w:val="2FB63E0A"/>
    <w:rsid w:val="2FC17E5A"/>
    <w:rsid w:val="305E1890"/>
    <w:rsid w:val="30EF0166"/>
    <w:rsid w:val="311A0F3D"/>
    <w:rsid w:val="31353885"/>
    <w:rsid w:val="314D409C"/>
    <w:rsid w:val="31526CE7"/>
    <w:rsid w:val="316B62D0"/>
    <w:rsid w:val="318178A1"/>
    <w:rsid w:val="31AC0DC2"/>
    <w:rsid w:val="31C55E0D"/>
    <w:rsid w:val="31E76326"/>
    <w:rsid w:val="31FE5396"/>
    <w:rsid w:val="32182594"/>
    <w:rsid w:val="321C6AB4"/>
    <w:rsid w:val="3233535A"/>
    <w:rsid w:val="329A3D4F"/>
    <w:rsid w:val="32BE2A91"/>
    <w:rsid w:val="33074498"/>
    <w:rsid w:val="33AE791F"/>
    <w:rsid w:val="33B74A52"/>
    <w:rsid w:val="33F26834"/>
    <w:rsid w:val="33FB393B"/>
    <w:rsid w:val="3408478C"/>
    <w:rsid w:val="34325184"/>
    <w:rsid w:val="346E1C27"/>
    <w:rsid w:val="34DF14AF"/>
    <w:rsid w:val="34F27B67"/>
    <w:rsid w:val="35591BE5"/>
    <w:rsid w:val="35BE0A09"/>
    <w:rsid w:val="36064E50"/>
    <w:rsid w:val="362863AF"/>
    <w:rsid w:val="362E6E61"/>
    <w:rsid w:val="36597105"/>
    <w:rsid w:val="36844F22"/>
    <w:rsid w:val="36C9207F"/>
    <w:rsid w:val="37C76C0B"/>
    <w:rsid w:val="38740160"/>
    <w:rsid w:val="388C0BF4"/>
    <w:rsid w:val="388E28F1"/>
    <w:rsid w:val="3899102A"/>
    <w:rsid w:val="38D90E24"/>
    <w:rsid w:val="38E452E6"/>
    <w:rsid w:val="391853A7"/>
    <w:rsid w:val="39225E0E"/>
    <w:rsid w:val="39D96E5F"/>
    <w:rsid w:val="39E651C8"/>
    <w:rsid w:val="3A1B5E20"/>
    <w:rsid w:val="3A5913BB"/>
    <w:rsid w:val="3A6B125E"/>
    <w:rsid w:val="3B163B4E"/>
    <w:rsid w:val="3B7E51F7"/>
    <w:rsid w:val="3B8811A4"/>
    <w:rsid w:val="3BAC10D3"/>
    <w:rsid w:val="3C0F220A"/>
    <w:rsid w:val="3C2264C9"/>
    <w:rsid w:val="3C267544"/>
    <w:rsid w:val="3C8C6D91"/>
    <w:rsid w:val="3CA37266"/>
    <w:rsid w:val="3D36354C"/>
    <w:rsid w:val="3D4770E2"/>
    <w:rsid w:val="3DBB413B"/>
    <w:rsid w:val="3DC93A44"/>
    <w:rsid w:val="3DD11BB1"/>
    <w:rsid w:val="3DED4811"/>
    <w:rsid w:val="3E1E3D08"/>
    <w:rsid w:val="3E1F3CAD"/>
    <w:rsid w:val="3E292C29"/>
    <w:rsid w:val="3E333298"/>
    <w:rsid w:val="3E78615B"/>
    <w:rsid w:val="3E8E35FE"/>
    <w:rsid w:val="3EA54219"/>
    <w:rsid w:val="3F0331A0"/>
    <w:rsid w:val="3F19434D"/>
    <w:rsid w:val="3F36616F"/>
    <w:rsid w:val="3F9162D7"/>
    <w:rsid w:val="3F984C13"/>
    <w:rsid w:val="3FE23C01"/>
    <w:rsid w:val="41015B84"/>
    <w:rsid w:val="41865D94"/>
    <w:rsid w:val="422F3CD1"/>
    <w:rsid w:val="428E7BE1"/>
    <w:rsid w:val="42AF3032"/>
    <w:rsid w:val="42B20B36"/>
    <w:rsid w:val="42FB66C8"/>
    <w:rsid w:val="43192944"/>
    <w:rsid w:val="43394480"/>
    <w:rsid w:val="43BD14B8"/>
    <w:rsid w:val="43FB7EF0"/>
    <w:rsid w:val="447255E6"/>
    <w:rsid w:val="44B416B1"/>
    <w:rsid w:val="44CD7E13"/>
    <w:rsid w:val="450B3BFA"/>
    <w:rsid w:val="453A628D"/>
    <w:rsid w:val="454B2248"/>
    <w:rsid w:val="45921C25"/>
    <w:rsid w:val="45A64394"/>
    <w:rsid w:val="45B61DB8"/>
    <w:rsid w:val="45D2152F"/>
    <w:rsid w:val="45E5444B"/>
    <w:rsid w:val="45EE0F95"/>
    <w:rsid w:val="45F42F70"/>
    <w:rsid w:val="45F85626"/>
    <w:rsid w:val="462273F5"/>
    <w:rsid w:val="466556B5"/>
    <w:rsid w:val="46710516"/>
    <w:rsid w:val="4692195B"/>
    <w:rsid w:val="470E15D4"/>
    <w:rsid w:val="471548BC"/>
    <w:rsid w:val="47234C6F"/>
    <w:rsid w:val="476B2762"/>
    <w:rsid w:val="479902D2"/>
    <w:rsid w:val="47C91AD2"/>
    <w:rsid w:val="47E36768"/>
    <w:rsid w:val="48347672"/>
    <w:rsid w:val="48643D4D"/>
    <w:rsid w:val="487D7E3E"/>
    <w:rsid w:val="48967192"/>
    <w:rsid w:val="489A6313"/>
    <w:rsid w:val="48A95C04"/>
    <w:rsid w:val="48CE0A5C"/>
    <w:rsid w:val="4949445D"/>
    <w:rsid w:val="496A50FA"/>
    <w:rsid w:val="49B51BAE"/>
    <w:rsid w:val="49EB06AE"/>
    <w:rsid w:val="4A23705B"/>
    <w:rsid w:val="4A442B3D"/>
    <w:rsid w:val="4A5E47CC"/>
    <w:rsid w:val="4A7E09CA"/>
    <w:rsid w:val="4A884CC6"/>
    <w:rsid w:val="4A8B22E6"/>
    <w:rsid w:val="4A991E43"/>
    <w:rsid w:val="4AA55BC3"/>
    <w:rsid w:val="4ABC7D85"/>
    <w:rsid w:val="4B1B446B"/>
    <w:rsid w:val="4B5005B9"/>
    <w:rsid w:val="4B8D5A9D"/>
    <w:rsid w:val="4B936377"/>
    <w:rsid w:val="4BD44D46"/>
    <w:rsid w:val="4C254B4B"/>
    <w:rsid w:val="4C9A3174"/>
    <w:rsid w:val="4CED7A83"/>
    <w:rsid w:val="4D07114B"/>
    <w:rsid w:val="4D403EDA"/>
    <w:rsid w:val="4D954046"/>
    <w:rsid w:val="4E202AF3"/>
    <w:rsid w:val="4E616B56"/>
    <w:rsid w:val="4E6D29C4"/>
    <w:rsid w:val="4E7B5BA1"/>
    <w:rsid w:val="4E9A0D74"/>
    <w:rsid w:val="4F003F2F"/>
    <w:rsid w:val="4F282F37"/>
    <w:rsid w:val="4F502112"/>
    <w:rsid w:val="4F6B7B6A"/>
    <w:rsid w:val="4F701691"/>
    <w:rsid w:val="4FAA2095"/>
    <w:rsid w:val="4FC60E49"/>
    <w:rsid w:val="4FF52C71"/>
    <w:rsid w:val="4FFD7AA9"/>
    <w:rsid w:val="503A7A08"/>
    <w:rsid w:val="5055041F"/>
    <w:rsid w:val="509A51EA"/>
    <w:rsid w:val="509E3ED1"/>
    <w:rsid w:val="50CC74DB"/>
    <w:rsid w:val="514E559A"/>
    <w:rsid w:val="51E92988"/>
    <w:rsid w:val="520E62B8"/>
    <w:rsid w:val="523F41DA"/>
    <w:rsid w:val="52754DA9"/>
    <w:rsid w:val="528312E8"/>
    <w:rsid w:val="529A4BA7"/>
    <w:rsid w:val="52B50FFA"/>
    <w:rsid w:val="52C31E67"/>
    <w:rsid w:val="52C92BAB"/>
    <w:rsid w:val="52DA54E7"/>
    <w:rsid w:val="52E468A6"/>
    <w:rsid w:val="52E8669F"/>
    <w:rsid w:val="53073E17"/>
    <w:rsid w:val="531F42E7"/>
    <w:rsid w:val="53283A63"/>
    <w:rsid w:val="532A5284"/>
    <w:rsid w:val="537D0873"/>
    <w:rsid w:val="53BB3592"/>
    <w:rsid w:val="53D6797D"/>
    <w:rsid w:val="53E775E0"/>
    <w:rsid w:val="53EF4599"/>
    <w:rsid w:val="54B12493"/>
    <w:rsid w:val="54BC690A"/>
    <w:rsid w:val="54FD5330"/>
    <w:rsid w:val="55132EB9"/>
    <w:rsid w:val="557F7201"/>
    <w:rsid w:val="55E101CF"/>
    <w:rsid w:val="55E9126C"/>
    <w:rsid w:val="55F00828"/>
    <w:rsid w:val="561B7A15"/>
    <w:rsid w:val="561F7505"/>
    <w:rsid w:val="56431446"/>
    <w:rsid w:val="56E5591B"/>
    <w:rsid w:val="57631674"/>
    <w:rsid w:val="5794495B"/>
    <w:rsid w:val="57A500D0"/>
    <w:rsid w:val="57C351F2"/>
    <w:rsid w:val="58247055"/>
    <w:rsid w:val="58476489"/>
    <w:rsid w:val="58532224"/>
    <w:rsid w:val="586903C5"/>
    <w:rsid w:val="58711142"/>
    <w:rsid w:val="58794F18"/>
    <w:rsid w:val="593212FE"/>
    <w:rsid w:val="59590F80"/>
    <w:rsid w:val="59A732EE"/>
    <w:rsid w:val="59C3464B"/>
    <w:rsid w:val="59D029DB"/>
    <w:rsid w:val="59DE2BBE"/>
    <w:rsid w:val="5A410A6F"/>
    <w:rsid w:val="5A8E4C59"/>
    <w:rsid w:val="5B7C33A2"/>
    <w:rsid w:val="5C65447A"/>
    <w:rsid w:val="5CCD039C"/>
    <w:rsid w:val="5CE05C01"/>
    <w:rsid w:val="5D067F46"/>
    <w:rsid w:val="5DA56542"/>
    <w:rsid w:val="5DEA6484"/>
    <w:rsid w:val="5E2A0506"/>
    <w:rsid w:val="5E3F2B2D"/>
    <w:rsid w:val="5F5A2063"/>
    <w:rsid w:val="5F673FB2"/>
    <w:rsid w:val="5F8A2976"/>
    <w:rsid w:val="5F8B5C0B"/>
    <w:rsid w:val="5FB9070F"/>
    <w:rsid w:val="5FE039CC"/>
    <w:rsid w:val="5FF710A5"/>
    <w:rsid w:val="607B4C90"/>
    <w:rsid w:val="60B66CB8"/>
    <w:rsid w:val="60D137C0"/>
    <w:rsid w:val="60E47102"/>
    <w:rsid w:val="611C2FBF"/>
    <w:rsid w:val="613D03AF"/>
    <w:rsid w:val="62023994"/>
    <w:rsid w:val="62840C9B"/>
    <w:rsid w:val="62DE3E52"/>
    <w:rsid w:val="62E95123"/>
    <w:rsid w:val="63753EA0"/>
    <w:rsid w:val="63923347"/>
    <w:rsid w:val="63A60D41"/>
    <w:rsid w:val="63A86D8C"/>
    <w:rsid w:val="63C45248"/>
    <w:rsid w:val="63C6035F"/>
    <w:rsid w:val="63C84E4B"/>
    <w:rsid w:val="63DC6A36"/>
    <w:rsid w:val="649A1D1D"/>
    <w:rsid w:val="64E04304"/>
    <w:rsid w:val="65011C71"/>
    <w:rsid w:val="65120816"/>
    <w:rsid w:val="652A0972"/>
    <w:rsid w:val="659B691E"/>
    <w:rsid w:val="65D242C5"/>
    <w:rsid w:val="65F10142"/>
    <w:rsid w:val="65FC33BF"/>
    <w:rsid w:val="66124991"/>
    <w:rsid w:val="66770C98"/>
    <w:rsid w:val="66E10C4D"/>
    <w:rsid w:val="671E42CA"/>
    <w:rsid w:val="67766FAB"/>
    <w:rsid w:val="6796371E"/>
    <w:rsid w:val="685D140B"/>
    <w:rsid w:val="68D15963"/>
    <w:rsid w:val="68D47A7B"/>
    <w:rsid w:val="68DF193E"/>
    <w:rsid w:val="68E84E3F"/>
    <w:rsid w:val="68F76E5C"/>
    <w:rsid w:val="69455133"/>
    <w:rsid w:val="694F7CAA"/>
    <w:rsid w:val="69937B96"/>
    <w:rsid w:val="69C2222A"/>
    <w:rsid w:val="6A3757AC"/>
    <w:rsid w:val="6A701523"/>
    <w:rsid w:val="6AB4645B"/>
    <w:rsid w:val="6AC1406F"/>
    <w:rsid w:val="6AD30444"/>
    <w:rsid w:val="6AD6799D"/>
    <w:rsid w:val="6AF4421E"/>
    <w:rsid w:val="6B2879FE"/>
    <w:rsid w:val="6B4120C8"/>
    <w:rsid w:val="6B596BBE"/>
    <w:rsid w:val="6B704733"/>
    <w:rsid w:val="6B8630E6"/>
    <w:rsid w:val="6BDB5E99"/>
    <w:rsid w:val="6BDD42B9"/>
    <w:rsid w:val="6BE84649"/>
    <w:rsid w:val="6C085287"/>
    <w:rsid w:val="6C401523"/>
    <w:rsid w:val="6CD00EA6"/>
    <w:rsid w:val="6CDB7153"/>
    <w:rsid w:val="6CE6131C"/>
    <w:rsid w:val="6D313420"/>
    <w:rsid w:val="6D51156A"/>
    <w:rsid w:val="6D8A6E3A"/>
    <w:rsid w:val="6DDB7D5E"/>
    <w:rsid w:val="6DDD5A51"/>
    <w:rsid w:val="6DE51FC5"/>
    <w:rsid w:val="6DE82F60"/>
    <w:rsid w:val="6EA15698"/>
    <w:rsid w:val="6EA231BA"/>
    <w:rsid w:val="6F0754DD"/>
    <w:rsid w:val="6F482D42"/>
    <w:rsid w:val="6FA46308"/>
    <w:rsid w:val="6FA523D2"/>
    <w:rsid w:val="6FF27051"/>
    <w:rsid w:val="701045B5"/>
    <w:rsid w:val="701834ED"/>
    <w:rsid w:val="703D37EB"/>
    <w:rsid w:val="70692892"/>
    <w:rsid w:val="70F12A72"/>
    <w:rsid w:val="712D6B22"/>
    <w:rsid w:val="715B4B81"/>
    <w:rsid w:val="717B055E"/>
    <w:rsid w:val="721F6A53"/>
    <w:rsid w:val="729E26DA"/>
    <w:rsid w:val="72F763A4"/>
    <w:rsid w:val="7301390F"/>
    <w:rsid w:val="735C45B6"/>
    <w:rsid w:val="73B07EB2"/>
    <w:rsid w:val="73ED585D"/>
    <w:rsid w:val="741E6BF6"/>
    <w:rsid w:val="747607E0"/>
    <w:rsid w:val="74885165"/>
    <w:rsid w:val="74943D16"/>
    <w:rsid w:val="74EA366E"/>
    <w:rsid w:val="757A7E5C"/>
    <w:rsid w:val="75BB0D91"/>
    <w:rsid w:val="75F5592C"/>
    <w:rsid w:val="76065B94"/>
    <w:rsid w:val="76654669"/>
    <w:rsid w:val="767A3148"/>
    <w:rsid w:val="768C388F"/>
    <w:rsid w:val="768C7E47"/>
    <w:rsid w:val="76D56593"/>
    <w:rsid w:val="77B91160"/>
    <w:rsid w:val="77C678A9"/>
    <w:rsid w:val="77DF59B7"/>
    <w:rsid w:val="77F04406"/>
    <w:rsid w:val="783F640D"/>
    <w:rsid w:val="787F7958"/>
    <w:rsid w:val="78AE6557"/>
    <w:rsid w:val="78CA2EA9"/>
    <w:rsid w:val="78CD0901"/>
    <w:rsid w:val="790A1B99"/>
    <w:rsid w:val="794B57C1"/>
    <w:rsid w:val="796C7B0A"/>
    <w:rsid w:val="79762737"/>
    <w:rsid w:val="79817C2A"/>
    <w:rsid w:val="798312C8"/>
    <w:rsid w:val="79AA4E00"/>
    <w:rsid w:val="79FE1404"/>
    <w:rsid w:val="7A043533"/>
    <w:rsid w:val="7A0549E1"/>
    <w:rsid w:val="7A4B1055"/>
    <w:rsid w:val="7A7B02C9"/>
    <w:rsid w:val="7ADC47C3"/>
    <w:rsid w:val="7AF00555"/>
    <w:rsid w:val="7B3D3E06"/>
    <w:rsid w:val="7B4B6523"/>
    <w:rsid w:val="7B5D6256"/>
    <w:rsid w:val="7B8F0A21"/>
    <w:rsid w:val="7BB37959"/>
    <w:rsid w:val="7BD07335"/>
    <w:rsid w:val="7BD227A0"/>
    <w:rsid w:val="7C2D5E41"/>
    <w:rsid w:val="7CA010C3"/>
    <w:rsid w:val="7CA34E54"/>
    <w:rsid w:val="7CAB5BD2"/>
    <w:rsid w:val="7CCE6A29"/>
    <w:rsid w:val="7CE427BB"/>
    <w:rsid w:val="7CF33270"/>
    <w:rsid w:val="7D02603F"/>
    <w:rsid w:val="7D2C2B03"/>
    <w:rsid w:val="7D4A280A"/>
    <w:rsid w:val="7D500239"/>
    <w:rsid w:val="7D8F3EBA"/>
    <w:rsid w:val="7DA3197A"/>
    <w:rsid w:val="7E146C66"/>
    <w:rsid w:val="7E1D3989"/>
    <w:rsid w:val="7ED54355"/>
    <w:rsid w:val="7ED61979"/>
    <w:rsid w:val="7F051133"/>
    <w:rsid w:val="7F150C8C"/>
    <w:rsid w:val="7F61079B"/>
    <w:rsid w:val="7FB81C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4">
    <w:name w:val="heading 4"/>
    <w:basedOn w:val="1"/>
    <w:next w:val="1"/>
    <w:link w:val="30"/>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ody Text"/>
    <w:basedOn w:val="1"/>
    <w:next w:val="1"/>
    <w:qFormat/>
    <w:uiPriority w:val="0"/>
    <w:rPr>
      <w:rFonts w:ascii="仿宋" w:hAnsi="仿宋" w:eastAsia="仿宋" w:cs="仿宋"/>
      <w:sz w:val="30"/>
      <w:szCs w:val="30"/>
    </w:rPr>
  </w:style>
  <w:style w:type="paragraph" w:styleId="7">
    <w:name w:val="Body Text Indent"/>
    <w:basedOn w:val="1"/>
    <w:unhideWhenUsed/>
    <w:qFormat/>
    <w:uiPriority w:val="99"/>
    <w:pPr>
      <w:spacing w:after="120"/>
      <w:ind w:left="420" w:leftChars="200"/>
    </w:pPr>
    <w:rPr>
      <w:rFonts w:eastAsia="微软雅黑"/>
      <w:kern w:val="0"/>
      <w:sz w:val="24"/>
      <w:szCs w:val="20"/>
    </w:rPr>
  </w:style>
  <w:style w:type="paragraph" w:styleId="8">
    <w:name w:val="toc 3"/>
    <w:basedOn w:val="1"/>
    <w:next w:val="1"/>
    <w:qFormat/>
    <w:uiPriority w:val="0"/>
    <w:pPr>
      <w:ind w:left="840" w:leftChars="400"/>
    </w:pPr>
  </w:style>
  <w:style w:type="paragraph" w:styleId="9">
    <w:name w:val="Plain Text"/>
    <w:basedOn w:val="1"/>
    <w:qFormat/>
    <w:uiPriority w:val="0"/>
    <w:rPr>
      <w:rFonts w:ascii="宋体" w:hAnsi="Courier New"/>
      <w:kern w:val="0"/>
      <w:sz w:val="20"/>
      <w:szCs w:val="21"/>
    </w:rPr>
  </w:style>
  <w:style w:type="paragraph" w:styleId="10">
    <w:name w:val="footer"/>
    <w:basedOn w:val="1"/>
    <w:qFormat/>
    <w:uiPriority w:val="0"/>
    <w:pPr>
      <w:tabs>
        <w:tab w:val="center" w:pos="4153"/>
        <w:tab w:val="right" w:pos="8306"/>
      </w:tabs>
    </w:pPr>
    <w:rPr>
      <w:sz w:val="18"/>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2">
    <w:name w:val="toc 1"/>
    <w:basedOn w:val="1"/>
    <w:next w:val="1"/>
    <w:qFormat/>
    <w:uiPriority w:val="0"/>
  </w:style>
  <w:style w:type="paragraph" w:styleId="13">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4">
    <w:name w:val="toc 2"/>
    <w:basedOn w:val="1"/>
    <w:next w:val="1"/>
    <w:qFormat/>
    <w:uiPriority w:val="0"/>
    <w:pPr>
      <w:ind w:left="420" w:leftChars="200"/>
    </w:pPr>
  </w:style>
  <w:style w:type="paragraph" w:styleId="15">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16">
    <w:name w:val="Body Text First Indent"/>
    <w:basedOn w:val="6"/>
    <w:qFormat/>
    <w:uiPriority w:val="0"/>
    <w:pPr>
      <w:ind w:firstLine="420" w:firstLineChars="100"/>
    </w:pPr>
  </w:style>
  <w:style w:type="table" w:styleId="18">
    <w:name w:val="Table Grid"/>
    <w:basedOn w:val="1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qFormat/>
    <w:uiPriority w:val="22"/>
    <w:rPr>
      <w:b/>
      <w:bCs/>
    </w:rPr>
  </w:style>
  <w:style w:type="character" w:styleId="21">
    <w:name w:val="Emphasis"/>
    <w:qFormat/>
    <w:uiPriority w:val="0"/>
  </w:style>
  <w:style w:type="character" w:styleId="22">
    <w:name w:val="Hyperlink"/>
    <w:basedOn w:val="19"/>
    <w:qFormat/>
    <w:uiPriority w:val="0"/>
    <w:rPr>
      <w:color w:val="0000FF"/>
      <w:u w:val="single"/>
    </w:rPr>
  </w:style>
  <w:style w:type="character" w:styleId="23">
    <w:name w:val="annotation reference"/>
    <w:unhideWhenUsed/>
    <w:qFormat/>
    <w:uiPriority w:val="0"/>
    <w:rPr>
      <w:sz w:val="21"/>
      <w:szCs w:val="21"/>
    </w:rPr>
  </w:style>
  <w:style w:type="paragraph" w:customStyle="1" w:styleId="24">
    <w:name w:val="Normal Indent"/>
    <w:basedOn w:val="1"/>
    <w:qFormat/>
    <w:uiPriority w:val="0"/>
    <w:pPr>
      <w:widowControl/>
      <w:ind w:firstLine="420" w:firstLineChars="200"/>
    </w:pPr>
  </w:style>
  <w:style w:type="table" w:customStyle="1" w:styleId="25">
    <w:name w:val="Table Normal"/>
    <w:semiHidden/>
    <w:unhideWhenUsed/>
    <w:qFormat/>
    <w:uiPriority w:val="0"/>
    <w:tblPr>
      <w:tblCellMar>
        <w:top w:w="0" w:type="dxa"/>
        <w:left w:w="0" w:type="dxa"/>
        <w:bottom w:w="0" w:type="dxa"/>
        <w:right w:w="0" w:type="dxa"/>
      </w:tblCellMar>
    </w:tblPr>
  </w:style>
  <w:style w:type="paragraph" w:customStyle="1" w:styleId="26">
    <w:name w:val="Table Text"/>
    <w:basedOn w:val="1"/>
    <w:semiHidden/>
    <w:qFormat/>
    <w:uiPriority w:val="0"/>
  </w:style>
  <w:style w:type="paragraph" w:customStyle="1" w:styleId="27">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28">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29">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30">
    <w:name w:val="标题 4 Char"/>
    <w:link w:val="4"/>
    <w:qFormat/>
    <w:uiPriority w:val="0"/>
    <w:rPr>
      <w:rFonts w:ascii="Arial" w:hAnsi="Arial" w:eastAsia="黑体"/>
      <w:b/>
      <w:sz w:val="28"/>
    </w:rPr>
  </w:style>
  <w:style w:type="paragraph" w:customStyle="1" w:styleId="31">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2">
    <w:name w:val="样式1"/>
    <w:basedOn w:val="2"/>
    <w:qFormat/>
    <w:uiPriority w:val="0"/>
    <w:pPr>
      <w:spacing w:before="240" w:after="240" w:line="440" w:lineRule="exact"/>
      <w:ind w:firstLine="0" w:firstLineChars="0"/>
      <w:jc w:val="center"/>
    </w:pPr>
    <w:rPr>
      <w:rFonts w:eastAsia="楷体"/>
      <w:sz w:val="36"/>
      <w:szCs w:val="28"/>
    </w:rPr>
  </w:style>
  <w:style w:type="character" w:customStyle="1" w:styleId="33">
    <w:name w:val="font31"/>
    <w:qFormat/>
    <w:uiPriority w:val="0"/>
    <w:rPr>
      <w:rFonts w:hint="eastAsia" w:ascii="宋体" w:hAnsi="宋体" w:eastAsia="宋体" w:cs="宋体"/>
      <w:color w:val="000000"/>
      <w:sz w:val="21"/>
      <w:szCs w:val="21"/>
      <w:u w:val="none"/>
    </w:rPr>
  </w:style>
  <w:style w:type="paragraph" w:customStyle="1" w:styleId="34">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5">
    <w:name w:val="WPSOffice手动目录 1"/>
    <w:qFormat/>
    <w:uiPriority w:val="0"/>
    <w:pPr>
      <w:ind w:leftChars="0"/>
    </w:pPr>
    <w:rPr>
      <w:rFonts w:ascii="Times New Roman" w:hAnsi="Times New Roman" w:eastAsia="宋体" w:cs="Times New Roman"/>
      <w:sz w:val="20"/>
      <w:szCs w:val="20"/>
    </w:rPr>
  </w:style>
  <w:style w:type="character" w:customStyle="1" w:styleId="36">
    <w:name w:val="font91"/>
    <w:basedOn w:val="19"/>
    <w:autoRedefine/>
    <w:unhideWhenUsed/>
    <w:qFormat/>
    <w:uiPriority w:val="0"/>
    <w:rPr>
      <w:rFonts w:hint="eastAsia" w:ascii="微软雅黑" w:hAnsi="微软雅黑" w:eastAsia="微软雅黑" w:cs="微软雅黑"/>
      <w:color w:val="000000"/>
      <w:sz w:val="20"/>
      <w:szCs w:val="20"/>
    </w:rPr>
  </w:style>
  <w:style w:type="character" w:customStyle="1" w:styleId="37">
    <w:name w:val="font71"/>
    <w:basedOn w:val="19"/>
    <w:autoRedefine/>
    <w:unhideWhenUsed/>
    <w:qFormat/>
    <w:uiPriority w:val="0"/>
    <w:rPr>
      <w:rFonts w:hint="eastAsia" w:ascii="微软雅黑" w:hAnsi="微软雅黑" w:eastAsia="微软雅黑" w:cs="微软雅黑"/>
      <w:b/>
      <w:color w:val="000000"/>
      <w:sz w:val="22"/>
      <w:szCs w:val="22"/>
    </w:rPr>
  </w:style>
  <w:style w:type="character" w:customStyle="1" w:styleId="38">
    <w:name w:val="font101"/>
    <w:basedOn w:val="19"/>
    <w:qFormat/>
    <w:uiPriority w:val="0"/>
    <w:rPr>
      <w:rFonts w:hint="eastAsia" w:ascii="宋体" w:hAnsi="宋体" w:eastAsia="宋体" w:cs="宋体"/>
      <w:color w:val="000000"/>
      <w:sz w:val="22"/>
      <w:szCs w:val="22"/>
      <w:u w:val="none"/>
    </w:rPr>
  </w:style>
  <w:style w:type="character" w:customStyle="1" w:styleId="39">
    <w:name w:val="font51"/>
    <w:basedOn w:val="19"/>
    <w:autoRedefine/>
    <w:unhideWhenUsed/>
    <w:qFormat/>
    <w:uiPriority w:val="0"/>
    <w:rPr>
      <w:rFonts w:hint="eastAsia" w:ascii="微软雅黑" w:hAnsi="微软雅黑" w:eastAsia="微软雅黑" w:cs="微软雅黑"/>
      <w:color w:val="000000"/>
      <w:sz w:val="20"/>
      <w:szCs w:val="20"/>
    </w:rPr>
  </w:style>
  <w:style w:type="character" w:customStyle="1" w:styleId="40">
    <w:name w:val="font81"/>
    <w:basedOn w:val="19"/>
    <w:autoRedefine/>
    <w:unhideWhenUsed/>
    <w:qFormat/>
    <w:uiPriority w:val="0"/>
    <w:rPr>
      <w:rFonts w:hint="eastAsia" w:ascii="微软雅黑" w:hAnsi="微软雅黑" w:eastAsia="微软雅黑" w:cs="微软雅黑"/>
      <w:b/>
      <w:color w:val="000000"/>
      <w:sz w:val="20"/>
      <w:szCs w:val="20"/>
    </w:rPr>
  </w:style>
  <w:style w:type="paragraph" w:styleId="41">
    <w:name w:val="List Paragraph"/>
    <w:basedOn w:val="1"/>
    <w:qFormat/>
    <w:uiPriority w:val="34"/>
    <w:pPr>
      <w:ind w:firstLine="420" w:firstLineChars="200"/>
    </w:pPr>
    <w:rPr>
      <w:rFonts w:ascii="Times New Roman" w:hAnsi="Times New Roman" w:eastAsia="宋体" w:cs="Times New Roman"/>
      <w:szCs w:val="24"/>
    </w:rPr>
  </w:style>
  <w:style w:type="character" w:customStyle="1" w:styleId="42">
    <w:name w:val="15"/>
    <w:basedOn w:val="19"/>
    <w:qFormat/>
    <w:uiPriority w:val="0"/>
    <w:rPr>
      <w:rFonts w:hint="default" w:ascii="Times New Roman" w:hAnsi="Times New Roman" w:cs="Times New Roman"/>
      <w:b/>
      <w:bCs/>
    </w:rPr>
  </w:style>
  <w:style w:type="paragraph" w:customStyle="1" w:styleId="43">
    <w:name w:val="正文 A"/>
    <w:qFormat/>
    <w:uiPriority w:val="99"/>
    <w:pPr>
      <w:widowControl w:val="0"/>
      <w:jc w:val="both"/>
    </w:pPr>
    <w:rPr>
      <w:rFonts w:hint="eastAsia" w:ascii="Arial Unicode MS" w:hAnsi="Arial Unicode MS" w:eastAsia="Arial Unicode MS" w:cs="Arial Unicode MS"/>
      <w:color w:val="000000"/>
      <w:kern w:val="2"/>
      <w:sz w:val="21"/>
      <w:szCs w:val="21"/>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27159</Words>
  <Characters>29151</Characters>
  <Lines>230</Lines>
  <Paragraphs>64</Paragraphs>
  <TotalTime>7</TotalTime>
  <ScaleCrop>false</ScaleCrop>
  <LinksUpToDate>false</LinksUpToDate>
  <CharactersWithSpaces>30779</CharactersWithSpaces>
  <Application>WPS Office_12.1.0.26884_F1E327BC-269C-435d-A152-05C5408002CA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123456</cp:lastModifiedBy>
  <cp:lastPrinted>2025-07-08T01:30:00Z</cp:lastPrinted>
  <dcterms:modified xsi:type="dcterms:W3CDTF">2026-06-05T08:22:27Z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2052-12.1.0.26884</vt:lpwstr>
  </property>
  <property fmtid="{D5CDD505-2E9C-101B-9397-08002B2CF9AE}" pid="5" name="ICV">
    <vt:lpwstr>B54FBF86E11244BC8E79AFAC53A4AA64_13</vt:lpwstr>
  </property>
  <property fmtid="{D5CDD505-2E9C-101B-9397-08002B2CF9AE}" pid="6" name="KSOTemplateDocerSaveRecord">
    <vt:lpwstr>eyJoZGlkIjoiZDhjZTRlZDZjYThlOGZlOGM1Y2I3MzJjZDZhMDM3MzMiLCJ1c2VySWQiOiI0NDMzODM5NDAifQ==</vt:lpwstr>
  </property>
</Properties>
</file>