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1D8B82">
      <w:pPr>
        <w:pStyle w:val="3"/>
        <w:bidi w:val="0"/>
        <w:spacing w:line="240" w:lineRule="auto"/>
        <w:jc w:val="center"/>
        <w:outlineLvl w:val="0"/>
        <w:rPr>
          <w:sz w:val="32"/>
          <w:szCs w:val="20"/>
          <w:lang w:eastAsia="zh-CN"/>
        </w:rPr>
      </w:pPr>
      <w:r>
        <w:rPr>
          <w:sz w:val="32"/>
          <w:szCs w:val="20"/>
          <w:lang w:eastAsia="zh-CN"/>
        </w:rPr>
        <w:t>技术需求或服务需求</w:t>
      </w:r>
      <w:bookmarkStart w:id="2" w:name="_GoBack"/>
      <w:bookmarkEnd w:id="2"/>
    </w:p>
    <w:p w14:paraId="2FB5FBB3">
      <w:pPr>
        <w:widowControl w:val="0"/>
        <w:spacing w:before="78" w:line="360" w:lineRule="auto"/>
        <w:rPr>
          <w:rFonts w:hint="default" w:ascii="宋体" w:hAnsi="宋体" w:eastAsia="宋体" w:cs="宋体"/>
          <w:b/>
          <w:bCs/>
          <w:color w:val="auto"/>
          <w:sz w:val="24"/>
          <w:szCs w:val="24"/>
          <w:lang w:val="en-US" w:eastAsia="zh-CN"/>
        </w:rPr>
      </w:pPr>
      <w:bookmarkStart w:id="0" w:name="bookmark81"/>
      <w:bookmarkEnd w:id="0"/>
      <w:r>
        <w:rPr>
          <w:rFonts w:hint="eastAsia" w:ascii="宋体" w:hAnsi="宋体" w:eastAsia="宋体" w:cs="宋体"/>
          <w:b/>
          <w:bCs/>
          <w:color w:val="auto"/>
          <w:spacing w:val="-5"/>
          <w:sz w:val="24"/>
          <w:szCs w:val="24"/>
          <w:lang w:val="en-US" w:eastAsia="zh-CN"/>
        </w:rPr>
        <w:t>一、</w:t>
      </w:r>
      <w:r>
        <w:rPr>
          <w:rFonts w:hint="eastAsia" w:ascii="宋体" w:hAnsi="宋体" w:eastAsia="宋体" w:cs="宋体"/>
          <w:b/>
          <w:bCs/>
          <w:color w:val="auto"/>
          <w:spacing w:val="25"/>
          <w:sz w:val="24"/>
          <w:szCs w:val="24"/>
          <w:lang w:val="en-US" w:eastAsia="zh-CN"/>
        </w:rPr>
        <w:t>技术要求</w:t>
      </w:r>
    </w:p>
    <w:p w14:paraId="322D961A">
      <w:pPr>
        <w:keepNext w:val="0"/>
        <w:keepLines w:val="0"/>
        <w:pageBreakBefore w:val="0"/>
        <w:numPr>
          <w:ilvl w:val="0"/>
          <w:numId w:val="1"/>
        </w:numPr>
        <w:kinsoku w:val="0"/>
        <w:wordWrap/>
        <w:overflowPunct/>
        <w:topLinePunct w:val="0"/>
        <w:autoSpaceDE w:val="0"/>
        <w:autoSpaceDN w:val="0"/>
        <w:bidi w:val="0"/>
        <w:adjustRightInd w:val="0"/>
        <w:snapToGrid w:val="0"/>
        <w:spacing w:after="0" w:line="360" w:lineRule="auto"/>
        <w:ind w:left="0" w:leftChars="0" w:right="0" w:rightChars="0"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项目概况</w:t>
      </w:r>
    </w:p>
    <w:p w14:paraId="112F77A2">
      <w:pPr>
        <w:keepNext w:val="0"/>
        <w:keepLines w:val="0"/>
        <w:pageBreakBefore w:val="0"/>
        <w:numPr>
          <w:ilvl w:val="0"/>
          <w:numId w:val="0"/>
        </w:numPr>
        <w:kinsoku w:val="0"/>
        <w:wordWrap/>
        <w:overflowPunct/>
        <w:topLinePunct w:val="0"/>
        <w:autoSpaceDE w:val="0"/>
        <w:autoSpaceDN w:val="0"/>
        <w:bidi w:val="0"/>
        <w:adjustRightInd w:val="0"/>
        <w:snapToGrid w:val="0"/>
        <w:spacing w:after="0" w:line="360" w:lineRule="auto"/>
        <w:ind w:left="0" w:leftChars="0" w:right="0" w:rightChars="0"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采购“四位一体”（松材线虫杀灭药剂、媒介天牛杀灭药剂、高效靶标携带剂、新型耐雨水冲刷助剂）的</w:t>
      </w:r>
      <w:r>
        <w:rPr>
          <w:rFonts w:hint="eastAsia" w:ascii="宋体" w:hAnsi="宋体" w:eastAsia="宋体" w:cs="宋体"/>
          <w:sz w:val="24"/>
          <w:szCs w:val="24"/>
          <w:lang w:eastAsia="zh-CN"/>
        </w:rPr>
        <w:t>松材线虫病新型绿色药剂</w:t>
      </w:r>
      <w:r>
        <w:rPr>
          <w:rFonts w:hint="eastAsia" w:ascii="宋体" w:hAnsi="宋体" w:eastAsia="宋体" w:cs="宋体"/>
          <w:sz w:val="24"/>
          <w:szCs w:val="24"/>
          <w:lang w:val="en-US" w:eastAsia="zh-CN"/>
        </w:rPr>
        <w:t>利用无人机飞防施药相关技术服务，要求在2026年10月1日前完成庐山市牯岭镇建城区附近示范松林10119.95亩的三次施药（累计施药有效面积30000亩以上）</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期间进行环境生物影响评估、药效检测以及施药前后的遥感监测等。</w:t>
      </w:r>
    </w:p>
    <w:p w14:paraId="33536958">
      <w:pPr>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right="0" w:rightChars="0" w:firstLine="460" w:firstLineChars="200"/>
        <w:textAlignment w:val="baseline"/>
        <w:rPr>
          <w:rFonts w:hint="eastAsia"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2、</w:t>
      </w:r>
      <w:r>
        <w:rPr>
          <w:rFonts w:hint="eastAsia" w:ascii="宋体" w:hAnsi="宋体" w:eastAsia="宋体" w:cs="宋体"/>
          <w:color w:val="auto"/>
          <w:spacing w:val="-5"/>
          <w:sz w:val="24"/>
          <w:szCs w:val="24"/>
          <w:lang w:val="en-US" w:eastAsia="zh-CN"/>
        </w:rPr>
        <w:t>实施</w:t>
      </w:r>
      <w:r>
        <w:rPr>
          <w:rFonts w:hint="eastAsia" w:ascii="宋体" w:hAnsi="宋体" w:eastAsia="宋体" w:cs="宋体"/>
          <w:color w:val="auto"/>
          <w:spacing w:val="-5"/>
          <w:sz w:val="24"/>
          <w:szCs w:val="24"/>
          <w:lang w:eastAsia="zh-CN"/>
        </w:rPr>
        <w:t>地点、面积</w:t>
      </w:r>
    </w:p>
    <w:p w14:paraId="60C59912">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飞防规划区域为庐山市牯岭镇建成区周边区域，包括女儿城-</w:t>
      </w:r>
      <w:r>
        <w:rPr>
          <w:rFonts w:hint="eastAsia" w:ascii="宋体" w:hAnsi="宋体" w:eastAsia="宋体" w:cs="宋体"/>
          <w:sz w:val="24"/>
          <w:szCs w:val="24"/>
          <w:lang w:val="en-US" w:eastAsia="zh-CN"/>
        </w:rPr>
        <w:t>日照峰-</w:t>
      </w:r>
      <w:r>
        <w:rPr>
          <w:rFonts w:hint="eastAsia" w:ascii="宋体" w:hAnsi="宋体" w:eastAsia="宋体" w:cs="宋体"/>
          <w:sz w:val="24"/>
          <w:szCs w:val="24"/>
          <w:lang w:eastAsia="zh-CN"/>
        </w:rPr>
        <w:t>大月山、胜利村-橄榄山、铁船峰-龙首崖等</w:t>
      </w:r>
      <w:r>
        <w:rPr>
          <w:rFonts w:hint="eastAsia" w:ascii="宋体" w:hAnsi="宋体" w:eastAsia="宋体" w:cs="宋体"/>
          <w:sz w:val="24"/>
          <w:szCs w:val="24"/>
          <w:lang w:val="en-US" w:eastAsia="zh-CN"/>
        </w:rPr>
        <w:t>松林</w:t>
      </w:r>
      <w:r>
        <w:rPr>
          <w:rFonts w:hint="eastAsia" w:ascii="宋体" w:hAnsi="宋体" w:eastAsia="宋体" w:cs="宋体"/>
          <w:sz w:val="24"/>
          <w:szCs w:val="24"/>
          <w:lang w:eastAsia="zh-CN"/>
        </w:rPr>
        <w:t>区</w:t>
      </w:r>
      <w:r>
        <w:rPr>
          <w:rFonts w:hint="eastAsia" w:ascii="宋体" w:hAnsi="宋体" w:eastAsia="宋体" w:cs="宋体"/>
          <w:sz w:val="24"/>
          <w:szCs w:val="24"/>
          <w:lang w:val="en-US" w:eastAsia="zh-CN"/>
        </w:rPr>
        <w:t>域</w:t>
      </w:r>
      <w:r>
        <w:rPr>
          <w:rFonts w:hint="eastAsia" w:ascii="宋体" w:hAnsi="宋体" w:eastAsia="宋体" w:cs="宋体"/>
          <w:sz w:val="24"/>
          <w:szCs w:val="24"/>
          <w:lang w:eastAsia="zh-CN"/>
        </w:rPr>
        <w:t>，飞防</w:t>
      </w:r>
      <w:r>
        <w:rPr>
          <w:rFonts w:hint="eastAsia" w:ascii="宋体" w:hAnsi="宋体" w:eastAsia="宋体" w:cs="宋体"/>
          <w:sz w:val="24"/>
          <w:szCs w:val="24"/>
          <w:lang w:val="en-US" w:eastAsia="zh-CN"/>
        </w:rPr>
        <w:t>施药</w:t>
      </w:r>
      <w:r>
        <w:rPr>
          <w:rFonts w:hint="eastAsia" w:ascii="宋体" w:hAnsi="宋体" w:eastAsia="宋体" w:cs="宋体"/>
          <w:sz w:val="24"/>
          <w:szCs w:val="24"/>
          <w:lang w:eastAsia="zh-CN"/>
        </w:rPr>
        <w:t>面积</w:t>
      </w:r>
      <w:r>
        <w:rPr>
          <w:rFonts w:hint="eastAsia" w:ascii="宋体" w:hAnsi="宋体" w:eastAsia="宋体" w:cs="宋体"/>
          <w:sz w:val="24"/>
          <w:szCs w:val="24"/>
          <w:lang w:val="en-US" w:eastAsia="zh-CN"/>
        </w:rPr>
        <w:t>10119.95</w:t>
      </w:r>
      <w:r>
        <w:rPr>
          <w:rFonts w:hint="eastAsia" w:ascii="宋体" w:hAnsi="宋体" w:eastAsia="宋体" w:cs="宋体"/>
          <w:sz w:val="24"/>
          <w:szCs w:val="24"/>
          <w:lang w:eastAsia="zh-CN"/>
        </w:rPr>
        <w:t>亩。</w:t>
      </w:r>
    </w:p>
    <w:p w14:paraId="03DEAD45">
      <w:pPr>
        <w:keepNext w:val="0"/>
        <w:keepLines w:val="0"/>
        <w:pageBreakBefore w:val="0"/>
        <w:widowControl w:val="0"/>
        <w:kinsoku w:val="0"/>
        <w:wordWrap/>
        <w:overflowPunct/>
        <w:topLinePunct w:val="0"/>
        <w:bidi w:val="0"/>
        <w:adjustRightInd w:val="0"/>
        <w:snapToGrid w:val="0"/>
        <w:spacing w:line="360" w:lineRule="auto"/>
        <w:ind w:left="0" w:leftChars="0" w:right="0" w:rightChars="0" w:firstLine="460" w:firstLineChars="200"/>
        <w:textAlignment w:val="baseline"/>
        <w:rPr>
          <w:rFonts w:hint="eastAsia"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3、飞防</w:t>
      </w:r>
      <w:r>
        <w:rPr>
          <w:rFonts w:hint="eastAsia" w:ascii="宋体" w:hAnsi="宋体" w:eastAsia="宋体" w:cs="宋体"/>
          <w:color w:val="auto"/>
          <w:spacing w:val="-5"/>
          <w:sz w:val="24"/>
          <w:szCs w:val="24"/>
          <w:lang w:val="en-US" w:eastAsia="zh-CN"/>
        </w:rPr>
        <w:t>施药次数与</w:t>
      </w:r>
      <w:r>
        <w:rPr>
          <w:rFonts w:hint="eastAsia" w:ascii="宋体" w:hAnsi="宋体" w:eastAsia="宋体" w:cs="宋体"/>
          <w:color w:val="auto"/>
          <w:spacing w:val="-5"/>
          <w:sz w:val="24"/>
          <w:szCs w:val="24"/>
          <w:lang w:eastAsia="zh-CN"/>
        </w:rPr>
        <w:t>时间安排</w:t>
      </w:r>
    </w:p>
    <w:p w14:paraId="0A0DEB6D">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飞防施药三次，2026年10</w:t>
      </w:r>
      <w:r>
        <w:rPr>
          <w:rFonts w:hint="eastAsia" w:ascii="宋体" w:hAnsi="宋体" w:eastAsia="宋体" w:cs="宋体"/>
          <w:sz w:val="24"/>
          <w:szCs w:val="24"/>
          <w:lang w:eastAsia="zh-CN"/>
        </w:rPr>
        <w:t>月1日前完成。</w:t>
      </w:r>
    </w:p>
    <w:p w14:paraId="2564DDED">
      <w:pPr>
        <w:keepNext w:val="0"/>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采购药剂和无人机型选择</w:t>
      </w:r>
    </w:p>
    <w:p w14:paraId="6F6CA91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（1）新型绿色药剂、助剂材料明细如下：</w:t>
      </w:r>
    </w:p>
    <w:p w14:paraId="6F03CA9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sz w:val="24"/>
          <w:szCs w:val="24"/>
          <w:lang w:val="en-US" w:eastAsia="zh-CN"/>
        </w:rPr>
      </w:pPr>
      <w:r>
        <w:rPr>
          <w:rFonts w:hint="eastAsia" w:ascii="宋体" w:hAnsi="宋体" w:eastAsia="宋体" w:cs="宋体"/>
          <w:sz w:val="24"/>
          <w:szCs w:val="24"/>
          <w:lang w:eastAsia="zh-CN"/>
        </w:rPr>
        <w:t>①</w:t>
      </w:r>
      <w:r>
        <w:rPr>
          <w:rFonts w:hint="eastAsia" w:ascii="宋体" w:hAnsi="宋体" w:eastAsia="宋体" w:cs="宋体"/>
          <w:sz w:val="24"/>
          <w:szCs w:val="24"/>
          <w:lang w:val="en-US" w:eastAsia="zh-CN"/>
        </w:rPr>
        <w:t>松材线虫杀灭药剂（主要药物成分：硝苯菌酰胺）：1350升；</w:t>
      </w:r>
    </w:p>
    <w:p w14:paraId="7576D4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eastAsia="zh-CN"/>
        </w:rPr>
        <w:t>②</w:t>
      </w:r>
      <w:r>
        <w:rPr>
          <w:rFonts w:hint="eastAsia" w:ascii="宋体" w:hAnsi="宋体" w:eastAsia="宋体" w:cs="宋体"/>
          <w:sz w:val="24"/>
          <w:szCs w:val="24"/>
          <w:lang w:val="en-US" w:eastAsia="zh-CN"/>
        </w:rPr>
        <w:t>媒介天牛杀灭药剂：1500升；</w:t>
      </w:r>
    </w:p>
    <w:p w14:paraId="376CDA0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sz w:val="24"/>
          <w:szCs w:val="24"/>
          <w:lang w:val="en-US" w:eastAsia="zh-CN"/>
        </w:rPr>
      </w:pPr>
      <w:r>
        <w:rPr>
          <w:rFonts w:hint="eastAsia" w:ascii="宋体" w:hAnsi="宋体" w:eastAsia="宋体" w:cs="宋体"/>
          <w:sz w:val="24"/>
          <w:szCs w:val="24"/>
          <w:lang w:eastAsia="zh-CN"/>
        </w:rPr>
        <w:t>③</w:t>
      </w:r>
      <w:r>
        <w:rPr>
          <w:rFonts w:hint="eastAsia" w:ascii="宋体" w:hAnsi="宋体" w:eastAsia="宋体" w:cs="宋体"/>
          <w:sz w:val="24"/>
          <w:szCs w:val="24"/>
          <w:lang w:val="en-US" w:eastAsia="zh-CN"/>
        </w:rPr>
        <w:t>高效靶标携带剂：900升；</w:t>
      </w:r>
    </w:p>
    <w:p w14:paraId="0E0642C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④新型耐雨水冲刷助剂：120升。</w:t>
      </w:r>
    </w:p>
    <w:p w14:paraId="6EE4BB9D">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施药方法：</w:t>
      </w:r>
    </w:p>
    <w:p w14:paraId="3D51963D">
      <w:pPr>
        <w:keepNext w:val="0"/>
        <w:keepLines w:val="0"/>
        <w:pageBreakBefore w:val="0"/>
        <w:widowControl w:val="0"/>
        <w:numPr>
          <w:ilvl w:val="0"/>
          <w:numId w:val="0"/>
        </w:numPr>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olor w:val="auto"/>
          <w:sz w:val="24"/>
          <w:szCs w:val="24"/>
          <w:lang w:eastAsia="zh-CN"/>
        </w:rPr>
      </w:pPr>
      <w:r>
        <w:rPr>
          <w:rFonts w:hint="eastAsia" w:ascii="宋体" w:hAnsi="宋体" w:eastAsia="宋体"/>
          <w:color w:val="auto"/>
          <w:sz w:val="24"/>
          <w:szCs w:val="24"/>
          <w:lang w:eastAsia="zh-CN"/>
        </w:rPr>
        <w:t>在飞防作业区域内采用多旋翼无人机按规划的飞防作业线路将</w:t>
      </w:r>
      <w:r>
        <w:rPr>
          <w:rFonts w:hint="eastAsia" w:ascii="宋体" w:hAnsi="宋体" w:eastAsia="宋体"/>
          <w:color w:val="auto"/>
          <w:sz w:val="24"/>
          <w:szCs w:val="24"/>
          <w:lang w:val="en-US" w:eastAsia="zh-CN"/>
        </w:rPr>
        <w:t>配比好的</w:t>
      </w:r>
      <w:r>
        <w:rPr>
          <w:rFonts w:hint="eastAsia" w:ascii="宋体" w:hAnsi="宋体" w:eastAsia="宋体"/>
          <w:color w:val="auto"/>
          <w:sz w:val="24"/>
          <w:szCs w:val="24"/>
          <w:lang w:eastAsia="zh-CN"/>
        </w:rPr>
        <w:t>药液均匀的喷洒在松树上。</w:t>
      </w:r>
    </w:p>
    <w:p w14:paraId="5E4EBC01">
      <w:pPr>
        <w:keepNext w:val="0"/>
        <w:keepLines w:val="0"/>
        <w:pageBreakBefore w:val="0"/>
        <w:widowControl w:val="0"/>
        <w:numPr>
          <w:ilvl w:val="0"/>
          <w:numId w:val="3"/>
        </w:numPr>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olor w:val="auto"/>
          <w:sz w:val="24"/>
          <w:szCs w:val="24"/>
          <w:lang w:eastAsia="zh-CN"/>
        </w:rPr>
      </w:pPr>
      <w:r>
        <w:rPr>
          <w:rFonts w:hint="eastAsia" w:ascii="宋体" w:hAnsi="宋体" w:eastAsia="宋体"/>
          <w:color w:val="auto"/>
          <w:sz w:val="24"/>
          <w:szCs w:val="24"/>
          <w:lang w:eastAsia="zh-CN"/>
        </w:rPr>
        <w:t>机型选择</w:t>
      </w:r>
    </w:p>
    <w:p w14:paraId="27F36EA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olor w:val="auto"/>
          <w:sz w:val="24"/>
          <w:szCs w:val="24"/>
          <w:lang w:eastAsia="zh-CN"/>
        </w:rPr>
      </w:pPr>
      <w:r>
        <w:rPr>
          <w:rFonts w:hint="eastAsia" w:ascii="宋体" w:hAnsi="宋体" w:eastAsia="宋体"/>
          <w:color w:val="auto"/>
          <w:sz w:val="24"/>
          <w:szCs w:val="24"/>
          <w:lang w:eastAsia="zh-CN"/>
        </w:rPr>
        <w:t>选择能够安全有效进行飞防的无人机，</w:t>
      </w:r>
      <w:r>
        <w:rPr>
          <w:rFonts w:hint="eastAsia" w:ascii="宋体" w:hAnsi="宋体" w:eastAsia="宋体"/>
          <w:color w:val="auto"/>
          <w:sz w:val="24"/>
          <w:szCs w:val="24"/>
          <w:lang w:val="en-US" w:eastAsia="zh-CN"/>
        </w:rPr>
        <w:t>至少配备专用植保无人机三台</w:t>
      </w:r>
      <w:r>
        <w:rPr>
          <w:rFonts w:hint="eastAsia" w:ascii="宋体" w:hAnsi="宋体" w:eastAsia="宋体"/>
          <w:color w:val="auto"/>
          <w:sz w:val="24"/>
          <w:szCs w:val="24"/>
          <w:lang w:eastAsia="zh-CN"/>
        </w:rPr>
        <w:t>。飞机性能必须完好、安全，喷药设备先进，具有手动飞行和APP飞行线路规划等功能。根据机型载药量确定的每架次飞防面积等要满足防治要求。</w:t>
      </w:r>
      <w:r>
        <w:rPr>
          <w:rFonts w:hint="eastAsia" w:ascii="宋体" w:hAnsi="宋体" w:eastAsia="宋体"/>
          <w:color w:val="auto"/>
          <w:sz w:val="24"/>
          <w:szCs w:val="24"/>
          <w:lang w:val="en-US" w:eastAsia="zh-CN"/>
        </w:rPr>
        <w:t>要求</w:t>
      </w:r>
      <w:r>
        <w:rPr>
          <w:rFonts w:hint="eastAsia" w:ascii="宋体" w:hAnsi="宋体" w:eastAsia="宋体"/>
          <w:color w:val="auto"/>
          <w:sz w:val="24"/>
          <w:szCs w:val="24"/>
          <w:lang w:eastAsia="zh-CN"/>
        </w:rPr>
        <w:t>配备先进喷药设备的四旋翼或六旋翼无人机进行飞防作业，选用载药量（</w:t>
      </w:r>
      <w:r>
        <w:rPr>
          <w:rFonts w:hint="eastAsia" w:ascii="宋体" w:hAnsi="宋体" w:eastAsia="宋体"/>
          <w:color w:val="auto"/>
          <w:sz w:val="24"/>
          <w:szCs w:val="24"/>
          <w:lang w:val="en-US" w:eastAsia="zh-CN"/>
        </w:rPr>
        <w:t>单个无人机</w:t>
      </w: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载药量≥20公斤</w:t>
      </w:r>
      <w:r>
        <w:rPr>
          <w:rFonts w:hint="eastAsia" w:ascii="宋体" w:hAnsi="宋体" w:eastAsia="宋体"/>
          <w:color w:val="auto"/>
          <w:sz w:val="24"/>
          <w:szCs w:val="24"/>
          <w:lang w:eastAsia="zh-CN"/>
        </w:rPr>
        <w:t>，续航时间（</w:t>
      </w:r>
      <w:r>
        <w:rPr>
          <w:rFonts w:hint="eastAsia" w:ascii="宋体" w:hAnsi="宋体" w:eastAsia="宋体"/>
          <w:color w:val="auto"/>
          <w:sz w:val="24"/>
          <w:szCs w:val="24"/>
          <w:lang w:val="en-US" w:eastAsia="zh-CN"/>
        </w:rPr>
        <w:t>单个无人机</w:t>
      </w:r>
      <w:r>
        <w:rPr>
          <w:rFonts w:hint="eastAsia" w:ascii="宋体" w:hAnsi="宋体" w:eastAsia="宋体"/>
          <w:color w:val="auto"/>
          <w:sz w:val="24"/>
          <w:szCs w:val="24"/>
          <w:lang w:eastAsia="zh-CN"/>
        </w:rPr>
        <w:t>）：续航时间</w:t>
      </w:r>
      <w:r>
        <w:rPr>
          <w:rFonts w:hint="eastAsia" w:ascii="宋体" w:hAnsi="宋体" w:eastAsia="宋体"/>
          <w:color w:val="auto"/>
          <w:sz w:val="24"/>
          <w:szCs w:val="24"/>
          <w:lang w:val="en-US" w:eastAsia="zh-CN"/>
        </w:rPr>
        <w:t>≥20分钟</w:t>
      </w:r>
      <w:r>
        <w:rPr>
          <w:rFonts w:hint="eastAsia" w:ascii="宋体" w:hAnsi="宋体" w:eastAsia="宋体"/>
          <w:color w:val="auto"/>
          <w:sz w:val="24"/>
          <w:szCs w:val="24"/>
          <w:lang w:eastAsia="zh-CN"/>
        </w:rPr>
        <w:t>。</w:t>
      </w:r>
    </w:p>
    <w:p w14:paraId="13B22F5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（3）人员要求</w:t>
      </w:r>
    </w:p>
    <w:p w14:paraId="07560D02">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进驻工作组至少由7人组成，其中技术负责人1人；项目负责人1人；团队技术人员不少于2人</w:t>
      </w:r>
      <w:r>
        <w:rPr>
          <w:rFonts w:hint="eastAsia" w:ascii="宋体" w:hAnsi="宋体" w:eastAsia="宋体"/>
          <w:color w:val="auto"/>
          <w:sz w:val="24"/>
          <w:szCs w:val="24"/>
          <w:highlight w:val="none"/>
          <w:lang w:val="en-US" w:eastAsia="zh-CN"/>
        </w:rPr>
        <w:t>；其他作业人员不少于3人，均为中国民用航空局认证的合格民用无人驾驶航空器操控员（中标后将对人员证照真实性进行核查）。进驻工作组在工作过程中产生的劳务、社保、差旅等可能产生的人员费用由投标单位自行承担。</w:t>
      </w:r>
      <w:r>
        <w:rPr>
          <w:rFonts w:hint="eastAsia" w:ascii="宋体" w:hAnsi="宋体" w:eastAsia="宋体" w:cs="宋体"/>
          <w:sz w:val="24"/>
          <w:szCs w:val="24"/>
          <w:highlight w:val="none"/>
          <w:lang w:eastAsia="zh-CN"/>
        </w:rPr>
        <w:t>未经招标人许可不得随意变更人员团队。</w:t>
      </w:r>
    </w:p>
    <w:p w14:paraId="4CF3B377">
      <w:pPr>
        <w:keepNext w:val="0"/>
        <w:keepLines w:val="0"/>
        <w:pageBreakBefore w:val="0"/>
        <w:widowControl w:val="0"/>
        <w:kinsoku w:val="0"/>
        <w:wordWrap/>
        <w:overflowPunct/>
        <w:topLinePunct w:val="0"/>
        <w:bidi w:val="0"/>
        <w:adjustRightInd w:val="0"/>
        <w:snapToGrid w:val="0"/>
        <w:spacing w:line="360" w:lineRule="auto"/>
        <w:ind w:left="0" w:leftChars="0" w:right="0" w:rightChars="0" w:firstLine="460" w:firstLineChars="200"/>
        <w:textAlignment w:val="baseline"/>
        <w:rPr>
          <w:rFonts w:hint="eastAsia"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val="en-US" w:eastAsia="zh-CN"/>
        </w:rPr>
        <w:t>5</w:t>
      </w:r>
      <w:r>
        <w:rPr>
          <w:rFonts w:hint="eastAsia" w:ascii="宋体" w:hAnsi="宋体" w:eastAsia="宋体" w:cs="宋体"/>
          <w:color w:val="auto"/>
          <w:spacing w:val="-5"/>
          <w:sz w:val="24"/>
          <w:szCs w:val="24"/>
          <w:lang w:eastAsia="zh-CN"/>
        </w:rPr>
        <w:t>、飞防效果检查</w:t>
      </w:r>
    </w:p>
    <w:p w14:paraId="300705D6">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）药液密度检查</w:t>
      </w:r>
    </w:p>
    <w:p w14:paraId="657D2D16">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由于飞防小班大多人不可及，飞防前由业主单位抽取人可以到达的小班进行药液雾滴密度检查，飞防前在抽取小班内放置5个水敏纸，放置位置包括松林密度大区域和相对空旷区域。飞防结束后立即收集测试卡并观察雾滴数，每平方厘米平均雾滴在50滴以上为合格。测试卡放置时可根据地形和林间小道灵活掌握。</w:t>
      </w:r>
    </w:p>
    <w:p w14:paraId="001BAC48">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）飞防效果检查</w:t>
      </w:r>
    </w:p>
    <w:p w14:paraId="48037849">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对飞防区域及对照区域进行两次遥感监测，分别为</w:t>
      </w:r>
      <w:r>
        <w:rPr>
          <w:rFonts w:hint="eastAsia" w:ascii="宋体" w:hAnsi="宋体" w:eastAsia="宋体" w:cs="宋体"/>
          <w:sz w:val="24"/>
          <w:szCs w:val="24"/>
          <w:lang w:val="en-US" w:eastAsia="zh-CN"/>
        </w:rPr>
        <w:t>飞防前</w:t>
      </w:r>
      <w:r>
        <w:rPr>
          <w:rFonts w:hint="eastAsia" w:ascii="宋体" w:hAnsi="宋体" w:eastAsia="宋体" w:cs="宋体"/>
          <w:sz w:val="24"/>
          <w:szCs w:val="24"/>
          <w:lang w:eastAsia="zh-CN"/>
        </w:rPr>
        <w:t>和</w:t>
      </w:r>
      <w:r>
        <w:rPr>
          <w:rFonts w:hint="eastAsia" w:ascii="宋体" w:hAnsi="宋体" w:eastAsia="宋体" w:cs="宋体"/>
          <w:sz w:val="24"/>
          <w:szCs w:val="24"/>
          <w:lang w:val="en-US" w:eastAsia="zh-CN"/>
        </w:rPr>
        <w:t>飞防后</w:t>
      </w:r>
      <w:r>
        <w:rPr>
          <w:rFonts w:hint="eastAsia" w:ascii="宋体" w:hAnsi="宋体" w:eastAsia="宋体" w:cs="宋体"/>
          <w:sz w:val="24"/>
          <w:szCs w:val="24"/>
          <w:lang w:eastAsia="zh-CN"/>
        </w:rPr>
        <w:t>，以监测施药后各药剂处理区域和空白区域枯死树量变化情况，计算各施药区域枯死树减退率。</w:t>
      </w:r>
    </w:p>
    <w:p w14:paraId="4E588E30">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）药剂监测检测</w:t>
      </w:r>
    </w:p>
    <w:p w14:paraId="79051B58">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每次施药7天后，对飞防区域内</w:t>
      </w:r>
      <w:r>
        <w:rPr>
          <w:rFonts w:hint="eastAsia" w:ascii="宋体" w:hAnsi="宋体" w:eastAsia="宋体" w:cs="宋体"/>
          <w:sz w:val="24"/>
          <w:szCs w:val="24"/>
          <w:lang w:val="en-US" w:eastAsia="zh-CN"/>
        </w:rPr>
        <w:t>随机选取</w:t>
      </w:r>
      <w:r>
        <w:rPr>
          <w:rFonts w:hint="eastAsia" w:ascii="宋体" w:hAnsi="宋体" w:eastAsia="宋体" w:cs="宋体"/>
          <w:sz w:val="24"/>
          <w:szCs w:val="24"/>
          <w:lang w:eastAsia="zh-CN"/>
        </w:rPr>
        <w:t>松树部分部位中药剂含量进行检测，</w:t>
      </w:r>
      <w:r>
        <w:rPr>
          <w:rFonts w:hint="eastAsia" w:ascii="宋体" w:hAnsi="宋体" w:eastAsia="宋体" w:cs="宋体"/>
          <w:sz w:val="24"/>
          <w:szCs w:val="24"/>
          <w:lang w:val="en-US" w:eastAsia="zh-CN"/>
        </w:rPr>
        <w:t>三次累计选取350株松树样本，</w:t>
      </w:r>
      <w:r>
        <w:rPr>
          <w:rFonts w:hint="eastAsia" w:ascii="宋体" w:hAnsi="宋体" w:eastAsia="宋体" w:cs="宋体"/>
          <w:sz w:val="24"/>
          <w:szCs w:val="24"/>
          <w:lang w:eastAsia="zh-CN"/>
        </w:rPr>
        <w:t>以明确松树体内药剂剂量。第一次飞防作业前，采购200头中华蜜蜂，放在养蜂笼内置于施药区域，飞防作业结束后观察蜂笼内中华蜜蜂在24 h、48 h的中毒和死亡情况；采购200条水生模式生物斑马鱼，放在敞口皿内置于施药区域，飞防作业结束后观察斑马鱼在24h、48h的中毒和死亡情况。</w:t>
      </w:r>
    </w:p>
    <w:p w14:paraId="55355827">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、安全措施</w:t>
      </w:r>
    </w:p>
    <w:p w14:paraId="31B93F64">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）无人机作业时飞行高度距离松林的树冠为</w:t>
      </w:r>
      <w:r>
        <w:rPr>
          <w:rFonts w:ascii="宋体" w:hAnsi="宋体" w:eastAsia="宋体" w:cs="宋体"/>
          <w:sz w:val="24"/>
          <w:szCs w:val="24"/>
          <w:lang w:eastAsia="zh-CN"/>
        </w:rPr>
        <w:t>5-10</w:t>
      </w:r>
      <w:r>
        <w:rPr>
          <w:rFonts w:hint="eastAsia" w:ascii="宋体" w:hAnsi="宋体" w:eastAsia="宋体" w:cs="宋体"/>
          <w:sz w:val="24"/>
          <w:szCs w:val="24"/>
          <w:lang w:eastAsia="zh-CN"/>
        </w:rPr>
        <w:t>米，主要采用视距内飞防作业，根据飞防区域地形情况选取临时起降点，并采取临时限制措施，确保飞防作业安全。</w:t>
      </w:r>
    </w:p>
    <w:p w14:paraId="7DC322AE">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ascii="宋体" w:hAnsi="宋体" w:eastAsia="宋体" w:cs="宋体"/>
          <w:sz w:val="24"/>
          <w:szCs w:val="24"/>
          <w:lang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）编制飞防作业图，确定飞防线路、飞防面积、标注</w:t>
      </w:r>
      <w:r>
        <w:rPr>
          <w:rFonts w:ascii="宋体" w:hAnsi="宋体" w:eastAsia="宋体" w:cs="宋体"/>
          <w:sz w:val="24"/>
          <w:szCs w:val="24"/>
          <w:lang w:eastAsia="zh-CN"/>
        </w:rPr>
        <w:t>GPS</w:t>
      </w:r>
      <w:r>
        <w:rPr>
          <w:rFonts w:hint="eastAsia" w:ascii="宋体" w:hAnsi="宋体" w:eastAsia="宋体" w:cs="宋体"/>
          <w:sz w:val="24"/>
          <w:szCs w:val="24"/>
          <w:lang w:eastAsia="zh-CN"/>
        </w:rPr>
        <w:t>坐标，标明防治作业区域内的电塔、高大建筑物、养鱼池、养</w:t>
      </w:r>
      <w:r>
        <w:rPr>
          <w:rFonts w:ascii="宋体" w:hAnsi="宋体" w:eastAsia="宋体" w:cs="宋体"/>
          <w:sz w:val="24"/>
          <w:szCs w:val="24"/>
          <w:lang w:eastAsia="zh-CN"/>
        </w:rPr>
        <w:t xml:space="preserve"> </w:t>
      </w:r>
      <w:r>
        <w:rPr>
          <w:rFonts w:hint="eastAsia" w:ascii="宋体" w:hAnsi="宋体" w:eastAsia="宋体" w:cs="宋体"/>
          <w:sz w:val="24"/>
          <w:szCs w:val="24"/>
          <w:lang w:eastAsia="zh-CN"/>
        </w:rPr>
        <w:t>虾池、高压电线走向等位置。</w:t>
      </w:r>
    </w:p>
    <w:p w14:paraId="23BD256A">
      <w:pPr>
        <w:keepNext w:val="0"/>
        <w:keepLines w:val="0"/>
        <w:pageBreakBefore w:val="0"/>
        <w:kinsoku w:val="0"/>
        <w:wordWrap/>
        <w:overflowPunct/>
        <w:topLinePunct w:val="0"/>
        <w:bidi w:val="0"/>
        <w:adjustRightInd w:val="0"/>
        <w:snapToGrid w:val="0"/>
        <w:spacing w:line="360" w:lineRule="auto"/>
        <w:ind w:left="0" w:leftChars="0" w:right="0" w:rightChars="0"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飞防作业前由当地政府或林业部门在飞机防治所涉区域发布通告，提前做好宣传及安全防范工作，保证飞防作业安全。</w:t>
      </w:r>
    </w:p>
    <w:p w14:paraId="191CEDAE">
      <w:pPr>
        <w:pStyle w:val="4"/>
        <w:keepNext w:val="0"/>
        <w:keepLines w:val="0"/>
        <w:pageBreakBefore w:val="0"/>
        <w:widowControl/>
        <w:kinsoku w:val="0"/>
        <w:wordWrap/>
        <w:overflowPunct/>
        <w:topLinePunct w:val="0"/>
        <w:autoSpaceDE/>
        <w:autoSpaceDN/>
        <w:bidi w:val="0"/>
        <w:adjustRightInd w:val="0"/>
        <w:snapToGrid w:val="0"/>
        <w:spacing w:after="0" w:line="360" w:lineRule="auto"/>
        <w:ind w:left="0" w:leftChars="0" w:right="0" w:rightChars="0" w:firstLine="516" w:firstLineChars="200"/>
        <w:textAlignment w:val="baseline"/>
        <w:rPr>
          <w:rFonts w:hint="eastAsia" w:ascii="宋体" w:hAnsi="宋体" w:eastAsia="宋体" w:cs="宋体"/>
          <w:spacing w:val="9"/>
          <w:sz w:val="24"/>
          <w:szCs w:val="24"/>
        </w:rPr>
      </w:pPr>
      <w:r>
        <w:rPr>
          <w:rFonts w:hint="eastAsia" w:ascii="宋体" w:hAnsi="宋体" w:eastAsia="宋体" w:cs="宋体"/>
          <w:spacing w:val="9"/>
          <w:sz w:val="24"/>
          <w:szCs w:val="24"/>
          <w:lang w:val="en-US" w:eastAsia="zh-CN"/>
        </w:rPr>
        <w:t>7、有关</w:t>
      </w:r>
      <w:r>
        <w:rPr>
          <w:rFonts w:hint="eastAsia" w:ascii="宋体" w:hAnsi="宋体" w:eastAsia="宋体" w:cs="宋体"/>
          <w:spacing w:val="9"/>
          <w:sz w:val="24"/>
          <w:szCs w:val="24"/>
        </w:rPr>
        <w:t>附件：</w:t>
      </w:r>
    </w:p>
    <w:p w14:paraId="616F39E1">
      <w:pPr>
        <w:pStyle w:val="4"/>
        <w:keepNext w:val="0"/>
        <w:keepLines w:val="0"/>
        <w:pageBreakBefore w:val="0"/>
        <w:widowControl/>
        <w:kinsoku w:val="0"/>
        <w:wordWrap/>
        <w:overflowPunct/>
        <w:topLinePunct w:val="0"/>
        <w:autoSpaceDE/>
        <w:autoSpaceDN/>
        <w:bidi w:val="0"/>
        <w:adjustRightInd w:val="0"/>
        <w:snapToGrid w:val="0"/>
        <w:spacing w:after="0" w:line="360" w:lineRule="auto"/>
        <w:ind w:left="0" w:leftChars="0" w:right="0" w:rightChars="0" w:firstLine="516" w:firstLineChars="200"/>
        <w:textAlignment w:val="baseline"/>
        <w:rPr>
          <w:rFonts w:hint="eastAsia" w:ascii="宋体" w:hAnsi="宋体" w:eastAsia="宋体" w:cs="宋体"/>
          <w:sz w:val="24"/>
          <w:szCs w:val="24"/>
          <w:lang w:eastAsia="zh-CN"/>
        </w:rPr>
      </w:pPr>
      <w:r>
        <w:rPr>
          <w:rFonts w:hint="eastAsia" w:ascii="宋体" w:hAnsi="宋体" w:eastAsia="宋体" w:cs="宋体"/>
          <w:spacing w:val="9"/>
          <w:sz w:val="24"/>
          <w:szCs w:val="24"/>
          <w:lang w:eastAsia="zh-CN"/>
        </w:rPr>
        <w:t>（</w:t>
      </w:r>
      <w:r>
        <w:rPr>
          <w:rFonts w:hint="eastAsia" w:ascii="宋体" w:hAnsi="宋体" w:eastAsia="宋体" w:cs="宋体"/>
          <w:spacing w:val="9"/>
          <w:sz w:val="24"/>
          <w:szCs w:val="24"/>
          <w:lang w:val="en-US" w:eastAsia="zh-CN"/>
        </w:rPr>
        <w:t>1</w:t>
      </w:r>
      <w:r>
        <w:rPr>
          <w:rFonts w:hint="eastAsia" w:ascii="宋体" w:hAnsi="宋体" w:eastAsia="宋体" w:cs="宋体"/>
          <w:spacing w:val="9"/>
          <w:sz w:val="24"/>
          <w:szCs w:val="24"/>
          <w:lang w:eastAsia="zh-CN"/>
        </w:rPr>
        <w:t>）</w:t>
      </w:r>
      <w:r>
        <w:rPr>
          <w:rFonts w:hint="eastAsia" w:ascii="宋体" w:hAnsi="宋体" w:eastAsia="宋体" w:cs="宋体"/>
          <w:spacing w:val="9"/>
          <w:sz w:val="24"/>
          <w:szCs w:val="24"/>
        </w:rPr>
        <w:t>项目</w:t>
      </w:r>
      <w:r>
        <w:rPr>
          <w:rFonts w:hint="eastAsia" w:ascii="宋体" w:hAnsi="宋体" w:eastAsia="宋体" w:cs="宋体"/>
          <w:spacing w:val="8"/>
          <w:sz w:val="24"/>
          <w:szCs w:val="24"/>
        </w:rPr>
        <w:t>施药</w:t>
      </w:r>
      <w:r>
        <w:rPr>
          <w:rFonts w:hint="eastAsia" w:ascii="宋体" w:hAnsi="宋体" w:eastAsia="宋体" w:cs="宋体"/>
          <w:spacing w:val="5"/>
          <w:sz w:val="24"/>
          <w:szCs w:val="24"/>
        </w:rPr>
        <w:t>小班表</w:t>
      </w:r>
      <w:r>
        <w:rPr>
          <w:rFonts w:hint="eastAsia" w:ascii="宋体" w:hAnsi="宋体" w:eastAsia="宋体" w:cs="宋体"/>
          <w:spacing w:val="5"/>
          <w:sz w:val="24"/>
          <w:szCs w:val="24"/>
          <w:lang w:eastAsia="zh-CN"/>
        </w:rPr>
        <w:t>；</w:t>
      </w:r>
    </w:p>
    <w:p w14:paraId="119C1E58">
      <w:pPr>
        <w:pStyle w:val="4"/>
        <w:keepNext w:val="0"/>
        <w:keepLines w:val="0"/>
        <w:pageBreakBefore w:val="0"/>
        <w:widowControl/>
        <w:numPr>
          <w:ilvl w:val="0"/>
          <w:numId w:val="0"/>
        </w:numPr>
        <w:kinsoku w:val="0"/>
        <w:wordWrap/>
        <w:overflowPunct/>
        <w:topLinePunct w:val="0"/>
        <w:autoSpaceDE/>
        <w:autoSpaceDN/>
        <w:bidi w:val="0"/>
        <w:adjustRightInd w:val="0"/>
        <w:snapToGrid w:val="0"/>
        <w:spacing w:after="0" w:line="360" w:lineRule="auto"/>
        <w:ind w:left="0" w:leftChars="0" w:right="0" w:rightChars="0" w:firstLine="516" w:firstLineChars="200"/>
        <w:textAlignment w:val="baseline"/>
        <w:rPr>
          <w:rFonts w:hint="eastAsia" w:ascii="宋体" w:hAnsi="宋体" w:eastAsia="宋体" w:cs="宋体"/>
          <w:spacing w:val="14"/>
          <w:sz w:val="24"/>
          <w:szCs w:val="24"/>
          <w:lang w:val="en-US" w:eastAsia="zh-CN"/>
        </w:rPr>
      </w:pPr>
      <w:r>
        <w:rPr>
          <w:rFonts w:hint="eastAsia" w:ascii="宋体" w:hAnsi="宋体" w:eastAsia="宋体" w:cs="宋体"/>
          <w:spacing w:val="9"/>
          <w:sz w:val="24"/>
          <w:szCs w:val="24"/>
          <w:lang w:eastAsia="zh-CN"/>
        </w:rPr>
        <w:t>（</w:t>
      </w:r>
      <w:r>
        <w:rPr>
          <w:rFonts w:hint="eastAsia" w:ascii="宋体" w:hAnsi="宋体" w:eastAsia="宋体" w:cs="宋体"/>
          <w:spacing w:val="9"/>
          <w:sz w:val="24"/>
          <w:szCs w:val="24"/>
          <w:lang w:val="en-US" w:eastAsia="zh-CN"/>
        </w:rPr>
        <w:t>2</w:t>
      </w:r>
      <w:r>
        <w:rPr>
          <w:rFonts w:hint="eastAsia" w:ascii="宋体" w:hAnsi="宋体" w:eastAsia="宋体" w:cs="宋体"/>
          <w:spacing w:val="9"/>
          <w:sz w:val="24"/>
          <w:szCs w:val="24"/>
          <w:lang w:eastAsia="zh-CN"/>
        </w:rPr>
        <w:t>）</w:t>
      </w:r>
      <w:r>
        <w:rPr>
          <w:rFonts w:hint="eastAsia" w:ascii="宋体" w:hAnsi="宋体" w:eastAsia="宋体" w:cs="宋体"/>
          <w:spacing w:val="9"/>
          <w:sz w:val="24"/>
          <w:szCs w:val="24"/>
        </w:rPr>
        <w:t>项目</w:t>
      </w:r>
      <w:r>
        <w:rPr>
          <w:rFonts w:hint="eastAsia" w:ascii="宋体" w:hAnsi="宋体" w:eastAsia="宋体" w:cs="宋体"/>
          <w:spacing w:val="14"/>
          <w:sz w:val="24"/>
          <w:szCs w:val="24"/>
        </w:rPr>
        <w:t>施药小</w:t>
      </w:r>
      <w:r>
        <w:rPr>
          <w:rFonts w:hint="eastAsia" w:ascii="宋体" w:hAnsi="宋体" w:eastAsia="宋体" w:cs="宋体"/>
          <w:spacing w:val="14"/>
          <w:sz w:val="24"/>
          <w:szCs w:val="24"/>
          <w:lang w:val="en-US" w:eastAsia="zh-CN"/>
        </w:rPr>
        <w:t>班图；</w:t>
      </w:r>
    </w:p>
    <w:p w14:paraId="485A6894">
      <w:pPr>
        <w:pStyle w:val="4"/>
        <w:keepNext w:val="0"/>
        <w:keepLines w:val="0"/>
        <w:pageBreakBefore w:val="0"/>
        <w:widowControl/>
        <w:numPr>
          <w:ilvl w:val="0"/>
          <w:numId w:val="0"/>
        </w:numPr>
        <w:kinsoku w:val="0"/>
        <w:wordWrap/>
        <w:overflowPunct/>
        <w:topLinePunct w:val="0"/>
        <w:autoSpaceDE/>
        <w:autoSpaceDN/>
        <w:bidi w:val="0"/>
        <w:adjustRightInd w:val="0"/>
        <w:snapToGrid w:val="0"/>
        <w:spacing w:after="0" w:line="360" w:lineRule="auto"/>
        <w:ind w:left="0" w:leftChars="0" w:right="0" w:rightChars="0" w:firstLine="480" w:firstLineChars="200"/>
        <w:textAlignment w:val="baseline"/>
        <w:rPr>
          <w:rFonts w:hint="eastAsia" w:ascii="宋体" w:hAnsi="宋体" w:eastAsia="宋体" w:cs="宋体"/>
          <w:b/>
          <w:bCs/>
          <w:spacing w:val="5"/>
          <w:sz w:val="24"/>
          <w:szCs w:val="24"/>
          <w:lang w:val="en-US" w:eastAsia="zh-CN"/>
        </w:rPr>
      </w:pPr>
      <w:r>
        <w:rPr>
          <w:rFonts w:hint="eastAsia" w:ascii="宋体" w:hAnsi="宋体" w:eastAsia="宋体" w:cs="宋体"/>
          <w:sz w:val="24"/>
          <w:szCs w:val="24"/>
          <w:lang w:val="en-US" w:eastAsia="zh-CN"/>
        </w:rPr>
        <w:t>附件1：</w:t>
      </w:r>
      <w:r>
        <w:rPr>
          <w:rFonts w:hint="eastAsia" w:ascii="宋体" w:hAnsi="宋体" w:eastAsia="宋体" w:cs="宋体"/>
          <w:sz w:val="24"/>
          <w:szCs w:val="24"/>
        </w:rPr>
        <w:t>项目施药小班表</w:t>
      </w:r>
    </w:p>
    <w:tbl>
      <w:tblPr>
        <w:tblStyle w:val="5"/>
        <w:tblW w:w="854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8"/>
        <w:gridCol w:w="2235"/>
        <w:gridCol w:w="1540"/>
        <w:gridCol w:w="1218"/>
        <w:gridCol w:w="1201"/>
        <w:gridCol w:w="939"/>
        <w:gridCol w:w="711"/>
      </w:tblGrid>
      <w:tr w14:paraId="2D342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blHeader/>
          <w:jc w:val="center"/>
        </w:trPr>
        <w:tc>
          <w:tcPr>
            <w:tcW w:w="8542" w:type="dxa"/>
            <w:gridSpan w:val="7"/>
            <w:tcBorders>
              <w:top w:val="nil"/>
              <w:left w:val="nil"/>
              <w:bottom w:val="nil"/>
              <w:right w:val="nil"/>
            </w:tcBorders>
            <w:shd w:val="clear" w:color="auto" w:fill="auto"/>
            <w:noWrap/>
            <w:vAlign w:val="center"/>
          </w:tcPr>
          <w:p w14:paraId="3BE86B3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庐山市2026年一万亩飞防小班加对照区域小班一览表</w:t>
            </w:r>
          </w:p>
        </w:tc>
      </w:tr>
      <w:tr w14:paraId="793B1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blHeader/>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84D7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序号</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6BFA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小班号</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071F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林权单位</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BEA0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snapToGrid w:val="0"/>
                <w:color w:val="000000"/>
                <w:kern w:val="0"/>
                <w:sz w:val="24"/>
                <w:szCs w:val="24"/>
                <w:u w:val="none"/>
                <w:lang w:val="en-US" w:eastAsia="zh-CN" w:bidi="ar"/>
              </w:rPr>
            </w:pPr>
            <w:r>
              <w:rPr>
                <w:rFonts w:hint="eastAsia" w:ascii="宋体" w:hAnsi="宋体" w:eastAsia="宋体" w:cs="宋体"/>
                <w:b/>
                <w:bCs/>
                <w:i w:val="0"/>
                <w:iCs w:val="0"/>
                <w:snapToGrid w:val="0"/>
                <w:color w:val="000000"/>
                <w:kern w:val="0"/>
                <w:sz w:val="24"/>
                <w:szCs w:val="24"/>
                <w:u w:val="none"/>
                <w:lang w:val="en-US" w:eastAsia="zh-CN" w:bidi="ar"/>
              </w:rPr>
              <w:t>面积</w:t>
            </w:r>
          </w:p>
          <w:p w14:paraId="19C2672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（亩）</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A1DB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实施类型</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6D06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区划色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DAF5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备注</w:t>
            </w:r>
          </w:p>
        </w:tc>
      </w:tr>
      <w:tr w14:paraId="3E67D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BF9D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8247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G360411030100130</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AE91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庐山植物园</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3657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248.46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CD616">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256B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12963">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51DE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FC24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0193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G360411010102406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6074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CDF4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41.82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9E016">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5000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87C2B">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0E84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A018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5487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G360411010109704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4059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E6CB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123.11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24294">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30DB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0989B">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895D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3290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A077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G360411010111003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9887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4235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89.07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8B7CB">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592B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B6306">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FDD7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9E46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5916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G360411010109607</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A205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BE58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17.84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118ED">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CB0D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AAA0C">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3AA2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3815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EB82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G360411010102906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5CEE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5195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39.32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28C9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3BF2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B4759">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653E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ADE8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10B4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G360411010111004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C288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A371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24.05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B04A1">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7134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6BC29">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5241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21BB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98E0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G360411010102401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13C7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92DA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34.72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D0CA2">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F41E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E0945">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FA4B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E3C5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D1BC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G360411010102407</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DD2D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7133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70.28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DAC7F">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4E1E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1E2B4">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F798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6766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579B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167E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4F7A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10.92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0F5DC">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AF84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8F5CD">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7C1B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02CC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9AD8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G360411010103003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7E8D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D7E2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108.52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6612F">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9C09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65FC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0F0E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23B9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02FD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G360411010102905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810D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FBCC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18.96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9F0E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3422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85BD9">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3A16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5886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2ECD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G360411010102402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DBA2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9FB1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26.42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826E1">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82A0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51F6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9A98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8C62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297F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G360411010102403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7466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7FB3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19.47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97C2C">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6914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CA398">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BFF8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D8FC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36D1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G360411010102404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25A0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4E7D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31.44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63706">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3764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DDCEA">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C767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38AB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2E0D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G360411010111215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CB7D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0834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40.96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5B64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86E8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EBB1B">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5D7E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F0B3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1E73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G360411010111208</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27E1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81B4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8.95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3C64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F00E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BB17A">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1A39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F837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A468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G360411010109706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CEB8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37E1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11.53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105A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D135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6370F">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32983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A780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68ED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A405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0418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249.82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6754C">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0C29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7C55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2B81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8F8E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C81C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G360411010102311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4B31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09FD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17.53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9EA6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74A6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0816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F610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D265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B73D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G360411010111001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7D17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1476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40.51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140A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1556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50838">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4A08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B210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8257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G360411010111002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DB4D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2D6E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143.22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13EA3">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48A6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01863">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1F52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6857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63F4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G360411010110902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4818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E909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47.81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835C6">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6994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45AFA">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B92A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2190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CF3A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G360411010113201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C94B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13CA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123.94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22993">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A7F5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5F8D9">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5EEF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18F8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E389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G360411010105401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5CF0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5D57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420.47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7016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9F66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B2CF4">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5F55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9487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7FC7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G360411010111305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E2A9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A22F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48.36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D490C">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48C5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6AA56">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9381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0BC3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BD98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G360411010110903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81CA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E2EB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8.51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EC28C">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F356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0E59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A334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D9B3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96E1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G360411010110904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0641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B3EC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162.24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B1E6F">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9EE9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4BC09">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3E6B6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C6CD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F910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G360411010105302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964A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A089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528.71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E9D63">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9D36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ED624">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A1CF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0F14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FD6B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G360411010109601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887A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CCF3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56.3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1CEC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6B51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6305F">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1190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ABB8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90C2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G360411010103304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4DCF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333E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121.97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AA78F">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E54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EF015">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71EB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370A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4567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E4EA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AE69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80.84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5A9D0">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F382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81C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2234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8360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A09C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G360411010103207</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7366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9A4A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58.45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A15CF">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B1A1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61F2D">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38F6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897A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C71E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G360411010102005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629E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3A53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202.1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9890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3E2E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A246">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BB51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8430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EF08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G360411010103702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F422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8F8E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74.24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116F0">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34E5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F2976">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CCEA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A4DE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491F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G360411010106201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8083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D2C4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159.66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F5DD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8705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EC44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9C38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9A2C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6794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7E52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C579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53.58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2998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1071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8FFCF">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0B03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6442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3DD4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FB4D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5DFA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80.54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6CBD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DDEF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B7A14">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8CAC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621F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E2DD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C413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A5A7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115.08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D2484">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FA37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F9872">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C982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B148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7A93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G360411010105104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86DA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0173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227.03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CA9A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102C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C863">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7A5E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2814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A2DB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G360411010113102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5D87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4DD9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24.19</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E8B78">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9FAB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F59BC">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B3BB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8086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5690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646E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4266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32.32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31C2B">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B918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528CA">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88A3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4744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7FB9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G360411010101003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EF42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0315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124.16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75CE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0169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35E83">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363D1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A95B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B95F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G360411010112901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9FAB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D873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8003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CA17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8236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8BF1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CAE3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34EB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G360411010109702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4C3D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A6EC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140.68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9C206">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73A1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35343">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171D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77BF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FA96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75F3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E7DF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13.04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A447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7C39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C2288">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02B8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2B2B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F3E0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B67B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BF92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200.86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64C27">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8A92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28F7B">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2DAC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020D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8446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G360411010112902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3161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2F28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467.77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617C2">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E824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04E3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9779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4367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165A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G360411010113001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0285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6C88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71.57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BC088">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DE33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031F5">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417C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D4D8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3FF6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G360411010113202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C683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E1BF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104.01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4E8C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CE70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E86A7">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8362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1FA6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5E66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G360411010111209</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5AB1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654C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50.63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1BC7E">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2020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B9A69">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3EAF8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B9D7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84F1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G360411010111207</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010C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BDE6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36.68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0CF2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04B6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5F1E8">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F89F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1B87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6DED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G360411010113103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D6AC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4FD4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92.9</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4A558">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4E28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F97C7">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62B1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B042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CB4F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G360411010113101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0841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3CD5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376.9</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9335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312B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F7B0A">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2CC0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4230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33A9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G360411010107004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6B9D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1B31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42.45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EA151">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6AC8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C60E2">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813E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2DDF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3144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G360411010104306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8DEA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750E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122.92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5B94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30A0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44ECB">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6E8B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649D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1403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G360411010103107</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4C91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A128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50.29</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00EE0">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E62A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3F66D">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6147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975A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8D2C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G360411010103301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A64B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83A3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173.72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27B51">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E7B1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B1D16">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F308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D71C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2337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G360411010111213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5D0D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D74F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256.84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8F1F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F7BB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F196C">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98BC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85CC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21FF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10E6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5D89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12.67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8566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78FF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4B79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71B3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A3B5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6970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G360411010107001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3CD5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897B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95.63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A23C8">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C1B8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9207D">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50D3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3293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0557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G360411010103103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F762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18E5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176.6</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A57D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1DD7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F1EDD">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7FE1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2C05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FC37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G360411010107301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0B08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839C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185.95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6429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F2A8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F8D99">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31643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92F1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A367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G360411010111204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931E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F386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171.77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64F9D">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22F9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880FF">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3D600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EB33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4EAE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G360411010105206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95F3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F0A5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680.29</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758B1">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211E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9AE9C">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44BC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3246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3B0C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G360411010109002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11FB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DDFC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112.81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37470">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5079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72747">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E169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DFB3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02C2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G360411010107302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DAB0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C331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153.19</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8968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8603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97105">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9203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1E1A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5413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G360411010107303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3F0A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EE18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201.53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85CC8">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27C7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E232D">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4E4B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6C15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DF15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G360411010106101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D1FC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3480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64.89</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E3B7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5DB5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B5F7C">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F6D5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7B34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B60C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G360411010107906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FADF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D2FA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121.23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087D0">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5CE6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1914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3E0D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7229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8154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G360411010111301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F384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5C2F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350.73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0AEE0">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1810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B7468">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6F5B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1F9D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0C72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3FE8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67E5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37.58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222C5">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28C9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7EAED">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12FC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427A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E288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216E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76F5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342.92</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D694A">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36F5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35E64">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0D29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7E63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EC30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G360411010103105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41FE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1CE7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12.51</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2F3ED">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6F7E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F2C76">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88B5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D0E2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15AC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G360411010103106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3E7E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1CD0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3.75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32828">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0A35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0C963">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FF82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964D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7328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G360411010106301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E4BE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9E46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286.44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1C811">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1C8E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63EB4">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D082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5F7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261C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G360411010114602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CD5C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7E30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249.94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B23B2">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4240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ECD91">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2AB8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B15D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915A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G360411010114401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05D7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2504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354.4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5031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38BE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3D442">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9F52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1B72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78EC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G360411010114502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A30F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985D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104.17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2E7D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飞防范围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373E6">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绿色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4A24C">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0DC6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4EBC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E0BD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3902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73DF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14.44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B20AE">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3694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8B1C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4D61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5F48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922E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G360411010103202</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9927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D44A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51.38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06097">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6B22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E11D2">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C14F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08852">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82</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11B4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G360411010103203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7542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630E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3.45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3332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4B34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9539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8B71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F933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83</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43C3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G360411010111105</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D8C8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70D8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2.57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FD297">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CC7B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E8A22">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17E1B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3CD3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84</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D9E0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B7A7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DF8F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55.7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C4F3B">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075D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55B5B">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55BAD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32FD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85</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64F1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G360411010113103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86D8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41F4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1.23</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49691">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5538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2DD75">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23ED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4566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86</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D72A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G360411010113101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A40F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0754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26.84</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BBB92">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D87E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C64C5">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7832E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BBC2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87</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52731">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G360411010103107</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270EB">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A40B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B8904">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FD10C">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B9B7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0F6F1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9C35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88</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B8850">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G360411010103301</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6054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1CC4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7.5</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C1D82">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3739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E08CE">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3A058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34FFF">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89</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E028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G360411010103103</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9562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2589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68.78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A3479">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83835">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2EC42">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484FC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92BCE">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90</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89EB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G360411010111104</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DF718">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F2E93">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148.28</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8146B">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04FF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41B64">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r w14:paraId="61D24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8F97D">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91</w:t>
            </w:r>
          </w:p>
        </w:tc>
        <w:tc>
          <w:tcPr>
            <w:tcW w:w="22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048A9">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G360411010103106</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EB3C4">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庐山林场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B80D7">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16.17</w:t>
            </w:r>
          </w:p>
        </w:tc>
        <w:tc>
          <w:tcPr>
            <w:tcW w:w="1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73DC3">
            <w:pPr>
              <w:keepNext w:val="0"/>
              <w:keepLines w:val="0"/>
              <w:widowControl/>
              <w:suppressLineNumbers w:val="0"/>
              <w:snapToGrid w:val="0"/>
              <w:spacing w:line="360" w:lineRule="auto"/>
              <w:ind w:left="0" w:leftChars="0" w:right="0" w:rightChars="0" w:firstLine="0" w:firstLineChars="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对照范围</w:t>
            </w:r>
          </w:p>
        </w:tc>
        <w:tc>
          <w:tcPr>
            <w:tcW w:w="9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61E4A">
            <w:pPr>
              <w:keepNext w:val="0"/>
              <w:keepLines w:val="0"/>
              <w:widowControl/>
              <w:suppressLineNumbers w:val="0"/>
              <w:snapToGrid w:val="0"/>
              <w:spacing w:line="360" w:lineRule="auto"/>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黄色</w:t>
            </w:r>
          </w:p>
        </w:tc>
        <w:tc>
          <w:tcPr>
            <w:tcW w:w="7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A7980">
            <w:pPr>
              <w:snapToGrid w:val="0"/>
              <w:spacing w:line="360" w:lineRule="auto"/>
              <w:ind w:left="0" w:leftChars="0" w:right="0" w:rightChars="0" w:firstLine="0" w:firstLineChars="0"/>
              <w:jc w:val="center"/>
              <w:rPr>
                <w:rFonts w:hint="eastAsia" w:ascii="宋体" w:hAnsi="宋体" w:eastAsia="宋体" w:cs="宋体"/>
                <w:i w:val="0"/>
                <w:iCs w:val="0"/>
                <w:color w:val="000000"/>
                <w:sz w:val="24"/>
                <w:szCs w:val="24"/>
                <w:u w:val="none"/>
              </w:rPr>
            </w:pPr>
          </w:p>
        </w:tc>
      </w:tr>
    </w:tbl>
    <w:p w14:paraId="21692C9C">
      <w:pPr>
        <w:pStyle w:val="2"/>
        <w:spacing w:line="360" w:lineRule="auto"/>
        <w:ind w:firstLine="0" w:firstLineChars="0"/>
        <w:rPr>
          <w:rFonts w:hint="eastAsia" w:ascii="宋体" w:hAnsi="宋体" w:eastAsia="宋体" w:cs="宋体"/>
          <w:sz w:val="24"/>
          <w:szCs w:val="24"/>
          <w:lang w:val="en-US" w:eastAsia="zh-CN"/>
        </w:rPr>
      </w:pPr>
      <w:bookmarkStart w:id="1" w:name="_Toc10560"/>
      <w:r>
        <w:rPr>
          <w:rFonts w:hint="eastAsia" w:ascii="宋体" w:hAnsi="宋体" w:eastAsia="宋体" w:cs="宋体"/>
          <w:sz w:val="24"/>
          <w:szCs w:val="24"/>
          <w:lang w:val="en-US" w:eastAsia="zh-CN"/>
        </w:rPr>
        <w:t>附件2：项目施药小班图</w:t>
      </w:r>
      <w:bookmarkEnd w:id="1"/>
    </w:p>
    <w:p w14:paraId="4C8C5870">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5264150" cy="5756275"/>
            <wp:effectExtent l="0" t="0" r="12700" b="15875"/>
            <wp:docPr id="5" name="图片 5" descr="bb478008-3148-4d7e-aec5-563abdf08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bb478008-3148-4d7e-aec5-563abdf08784"/>
                    <pic:cNvPicPr>
                      <a:picLocks noChangeAspect="1"/>
                    </pic:cNvPicPr>
                  </pic:nvPicPr>
                  <pic:blipFill>
                    <a:blip r:embed="rId4"/>
                    <a:stretch>
                      <a:fillRect/>
                    </a:stretch>
                  </pic:blipFill>
                  <pic:spPr>
                    <a:xfrm>
                      <a:off x="0" y="0"/>
                      <a:ext cx="5264150" cy="5756275"/>
                    </a:xfrm>
                    <a:prstGeom prst="rect">
                      <a:avLst/>
                    </a:prstGeom>
                  </pic:spPr>
                </pic:pic>
              </a:graphicData>
            </a:graphic>
          </wp:inline>
        </w:drawing>
      </w:r>
    </w:p>
    <w:p w14:paraId="778EAB2A">
      <w:pPr>
        <w:widowControl w:val="0"/>
        <w:spacing w:before="78" w:line="360" w:lineRule="auto"/>
        <w:rPr>
          <w:rFonts w:hint="eastAsia" w:ascii="宋体" w:hAnsi="宋体" w:eastAsia="宋体" w:cs="宋体"/>
          <w:b/>
          <w:bCs/>
          <w:color w:val="auto"/>
          <w:spacing w:val="-6"/>
          <w:sz w:val="24"/>
          <w:szCs w:val="24"/>
          <w:lang w:val="en-US" w:eastAsia="zh-CN"/>
        </w:rPr>
      </w:pPr>
      <w:r>
        <w:rPr>
          <w:rFonts w:hint="eastAsia" w:ascii="宋体" w:hAnsi="宋体" w:eastAsia="宋体" w:cs="宋体"/>
          <w:b/>
          <w:bCs/>
          <w:sz w:val="24"/>
          <w:szCs w:val="24"/>
          <w:highlight w:val="none"/>
          <w:lang w:eastAsia="zh-CN"/>
        </w:rPr>
        <w:t>注：以上所有技术要求均为重要条款，投标人必须完全满足，否则无效响应。投标人对以上采购需求响应必须真实有效，如提供的内容不实，属于提供虚假材料谋取中标，依照有关规定追究相应责任</w:t>
      </w:r>
      <w:r>
        <w:rPr>
          <w:rFonts w:hint="eastAsia" w:ascii="宋体" w:hAnsi="宋体" w:eastAsia="宋体" w:cs="宋体"/>
          <w:b/>
          <w:color w:val="auto"/>
          <w:sz w:val="24"/>
          <w:szCs w:val="24"/>
          <w:lang w:eastAsia="zh-CN"/>
        </w:rPr>
        <w:t>。</w:t>
      </w:r>
    </w:p>
    <w:p w14:paraId="56BD1E94">
      <w:pPr>
        <w:widowControl w:val="0"/>
        <w:spacing w:before="78" w:line="360" w:lineRule="auto"/>
        <w:rPr>
          <w:rFonts w:hint="eastAsia" w:ascii="宋体" w:hAnsi="宋体" w:eastAsia="宋体" w:cs="宋体"/>
          <w:b/>
          <w:bCs/>
          <w:color w:val="auto"/>
          <w:spacing w:val="-6"/>
          <w:sz w:val="24"/>
          <w:szCs w:val="24"/>
          <w:lang w:val="en-US" w:eastAsia="zh-CN"/>
        </w:rPr>
      </w:pPr>
    </w:p>
    <w:p w14:paraId="6CB48FDC">
      <w:pPr>
        <w:widowControl w:val="0"/>
        <w:spacing w:before="78" w:line="360"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pacing w:val="-6"/>
          <w:sz w:val="24"/>
          <w:szCs w:val="24"/>
          <w:lang w:val="en-US" w:eastAsia="zh-CN"/>
        </w:rPr>
        <w:t>二</w:t>
      </w:r>
      <w:r>
        <w:rPr>
          <w:rFonts w:hint="eastAsia" w:ascii="宋体" w:hAnsi="宋体" w:eastAsia="宋体" w:cs="宋体"/>
          <w:b/>
          <w:bCs/>
          <w:color w:val="auto"/>
          <w:spacing w:val="32"/>
          <w:sz w:val="24"/>
          <w:szCs w:val="24"/>
          <w:lang w:eastAsia="zh-CN"/>
        </w:rPr>
        <w:t xml:space="preserve"> 、</w:t>
      </w:r>
      <w:r>
        <w:rPr>
          <w:rFonts w:hint="eastAsia" w:ascii="宋体" w:hAnsi="宋体" w:eastAsia="宋体" w:cs="宋体"/>
          <w:b/>
          <w:bCs/>
          <w:color w:val="auto"/>
          <w:spacing w:val="-6"/>
          <w:sz w:val="24"/>
          <w:szCs w:val="24"/>
          <w:lang w:eastAsia="zh-CN"/>
        </w:rPr>
        <w:t>商务要求</w:t>
      </w:r>
    </w:p>
    <w:p w14:paraId="65FFD47E">
      <w:pPr>
        <w:widowControl w:val="0"/>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color w:val="auto"/>
          <w:sz w:val="24"/>
          <w:szCs w:val="24"/>
          <w:lang w:eastAsia="zh-CN"/>
        </w:rPr>
        <w:t>1、付款方式：</w:t>
      </w:r>
      <w:r>
        <w:rPr>
          <w:rFonts w:hint="eastAsia" w:ascii="宋体" w:hAnsi="宋体" w:eastAsia="宋体" w:cs="宋体"/>
          <w:color w:val="auto"/>
          <w:sz w:val="24"/>
          <w:szCs w:val="24"/>
          <w:lang w:eastAsia="zh-CN"/>
        </w:rPr>
        <w:t>合同签订生效并具备实施条件后</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个工作日内预付合同金额的30%；投标单位完成</w:t>
      </w:r>
      <w:r>
        <w:rPr>
          <w:rFonts w:hint="eastAsia" w:ascii="宋体" w:hAnsi="宋体" w:eastAsia="宋体" w:cs="宋体"/>
          <w:color w:val="auto"/>
          <w:sz w:val="24"/>
          <w:szCs w:val="24"/>
          <w:lang w:val="en-US" w:eastAsia="zh-CN"/>
        </w:rPr>
        <w:t>货物交接及</w:t>
      </w:r>
      <w:r>
        <w:rPr>
          <w:rFonts w:hint="eastAsia" w:ascii="宋体" w:hAnsi="宋体" w:eastAsia="宋体" w:cs="宋体"/>
          <w:color w:val="auto"/>
          <w:sz w:val="24"/>
          <w:szCs w:val="24"/>
          <w:lang w:eastAsia="zh-CN"/>
        </w:rPr>
        <w:t>第三次施药后</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个工作日内支付合同金额的</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0%，招标人组织相关效果验收，验收合格且全部成果文件均交接完毕后15个工作日内一次性无息付清剩余款项（即</w:t>
      </w:r>
      <w:r>
        <w:rPr>
          <w:rFonts w:hint="eastAsia" w:ascii="宋体" w:hAnsi="宋体" w:eastAsia="宋体" w:cs="宋体"/>
          <w:color w:val="auto"/>
          <w:sz w:val="24"/>
          <w:szCs w:val="24"/>
          <w:lang w:val="en-US" w:eastAsia="zh-CN"/>
        </w:rPr>
        <w:t>付</w:t>
      </w:r>
      <w:r>
        <w:rPr>
          <w:rFonts w:hint="eastAsia" w:ascii="宋体" w:hAnsi="宋体" w:eastAsia="宋体" w:cs="宋体"/>
          <w:color w:val="auto"/>
          <w:sz w:val="24"/>
          <w:szCs w:val="24"/>
          <w:lang w:eastAsia="zh-CN"/>
        </w:rPr>
        <w:t>合同金额的</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0%）。</w:t>
      </w:r>
    </w:p>
    <w:p w14:paraId="2287E36E">
      <w:pPr>
        <w:widowControl w:val="0"/>
        <w:spacing w:line="360" w:lineRule="auto"/>
        <w:ind w:firstLine="482" w:firstLineChars="200"/>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2、服务期限：</w:t>
      </w:r>
      <w:r>
        <w:rPr>
          <w:rFonts w:hint="eastAsia" w:ascii="宋体" w:hAnsi="宋体" w:eastAsia="宋体" w:cs="宋体"/>
          <w:bCs/>
          <w:color w:val="auto"/>
          <w:sz w:val="24"/>
          <w:szCs w:val="24"/>
          <w:lang w:eastAsia="zh-CN"/>
        </w:rPr>
        <w:t>合同签订后，2026年12月底前通过全部工作验收并提交</w:t>
      </w:r>
      <w:r>
        <w:rPr>
          <w:rFonts w:hint="eastAsia" w:ascii="宋体" w:hAnsi="宋体" w:eastAsia="宋体" w:cs="宋体"/>
          <w:bCs/>
          <w:color w:val="auto"/>
          <w:sz w:val="24"/>
          <w:szCs w:val="24"/>
          <w:lang w:val="en-US" w:eastAsia="zh-CN"/>
        </w:rPr>
        <w:t>飞防实施</w:t>
      </w:r>
      <w:r>
        <w:rPr>
          <w:rFonts w:hint="eastAsia" w:ascii="宋体" w:hAnsi="宋体" w:eastAsia="宋体" w:cs="宋体"/>
          <w:bCs/>
          <w:color w:val="auto"/>
          <w:sz w:val="24"/>
          <w:szCs w:val="24"/>
          <w:lang w:eastAsia="zh-CN"/>
        </w:rPr>
        <w:t>总结。</w:t>
      </w:r>
    </w:p>
    <w:p w14:paraId="522CBDE3">
      <w:pPr>
        <w:widowControl w:val="0"/>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color w:val="auto"/>
          <w:sz w:val="24"/>
          <w:szCs w:val="24"/>
          <w:lang w:eastAsia="zh-CN"/>
        </w:rPr>
        <w:t>3、服务地点：</w:t>
      </w:r>
      <w:r>
        <w:rPr>
          <w:rFonts w:hint="eastAsia" w:ascii="宋体" w:hAnsi="宋体" w:eastAsia="宋体" w:cs="宋体"/>
          <w:color w:val="auto"/>
          <w:sz w:val="24"/>
          <w:szCs w:val="24"/>
          <w:lang w:eastAsia="zh-CN"/>
        </w:rPr>
        <w:t>招标人指定地点。</w:t>
      </w:r>
    </w:p>
    <w:p w14:paraId="197D9FE2">
      <w:pPr>
        <w:widowControl w:val="0"/>
        <w:spacing w:line="360" w:lineRule="auto"/>
        <w:ind w:firstLine="482" w:firstLineChars="200"/>
        <w:rPr>
          <w:rFonts w:hint="eastAsia" w:ascii="宋体" w:hAnsi="宋体" w:eastAsia="宋体" w:cs="宋体"/>
          <w:color w:val="auto"/>
          <w:sz w:val="24"/>
          <w:szCs w:val="24"/>
          <w:lang w:eastAsia="zh-CN"/>
        </w:rPr>
      </w:pPr>
      <w:r>
        <w:rPr>
          <w:rFonts w:hint="eastAsia" w:ascii="宋体" w:hAnsi="宋体" w:eastAsia="宋体" w:cs="宋体"/>
          <w:b/>
          <w:color w:val="auto"/>
          <w:sz w:val="24"/>
          <w:szCs w:val="24"/>
          <w:lang w:eastAsia="zh-CN"/>
        </w:rPr>
        <w:t>4、</w:t>
      </w:r>
      <w:r>
        <w:rPr>
          <w:rFonts w:hint="eastAsia" w:ascii="宋体" w:hAnsi="宋体" w:eastAsia="宋体" w:cs="宋体"/>
          <w:b/>
          <w:color w:val="auto"/>
          <w:sz w:val="24"/>
          <w:szCs w:val="24"/>
          <w:lang w:val="en-US" w:eastAsia="zh-CN"/>
        </w:rPr>
        <w:t>验收</w:t>
      </w:r>
      <w:r>
        <w:rPr>
          <w:rFonts w:hint="eastAsia" w:ascii="宋体" w:hAnsi="宋体" w:eastAsia="宋体" w:cs="宋体"/>
          <w:b/>
          <w:color w:val="auto"/>
          <w:sz w:val="24"/>
          <w:szCs w:val="24"/>
          <w:lang w:eastAsia="zh-CN"/>
        </w:rPr>
        <w:t>要求：</w:t>
      </w:r>
      <w:r>
        <w:rPr>
          <w:rFonts w:hint="eastAsia" w:ascii="宋体" w:hAnsi="宋体" w:eastAsia="宋体" w:cs="宋体"/>
          <w:color w:val="auto"/>
          <w:sz w:val="24"/>
          <w:szCs w:val="24"/>
          <w:lang w:eastAsia="zh-CN"/>
        </w:rPr>
        <w:t>满足年度枯死树减退率达80%以上，并提交</w:t>
      </w:r>
      <w:r>
        <w:rPr>
          <w:rFonts w:hint="eastAsia" w:ascii="宋体" w:hAnsi="宋体" w:eastAsia="宋体" w:cs="宋体"/>
          <w:color w:val="auto"/>
          <w:sz w:val="24"/>
          <w:szCs w:val="24"/>
          <w:lang w:val="en-US" w:eastAsia="zh-CN"/>
        </w:rPr>
        <w:t>飞防实施</w:t>
      </w:r>
      <w:r>
        <w:rPr>
          <w:rFonts w:hint="eastAsia" w:ascii="宋体" w:hAnsi="宋体" w:eastAsia="宋体" w:cs="宋体"/>
          <w:color w:val="auto"/>
          <w:sz w:val="24"/>
          <w:szCs w:val="24"/>
          <w:lang w:eastAsia="zh-CN"/>
        </w:rPr>
        <w:t>总结报告电子档材料1套，纸质材料1套（总结报告份数以具体实际成果材料需求量为准，总结报告份数应当满足招标人实际工作需要）。总结报告主要内容或重要结论应为庐山市松材线虫病新型绿色药剂防治技术应用</w:t>
      </w:r>
      <w:r>
        <w:rPr>
          <w:rFonts w:hint="eastAsia" w:ascii="宋体" w:hAnsi="宋体" w:eastAsia="宋体" w:cs="宋体"/>
          <w:color w:val="auto"/>
          <w:sz w:val="24"/>
          <w:szCs w:val="24"/>
          <w:lang w:val="en-US" w:eastAsia="zh-CN"/>
        </w:rPr>
        <w:t>的</w:t>
      </w:r>
      <w:r>
        <w:rPr>
          <w:rFonts w:hint="eastAsia" w:ascii="宋体" w:hAnsi="宋体" w:eastAsia="宋体" w:cs="宋体"/>
          <w:color w:val="auto"/>
          <w:sz w:val="24"/>
          <w:szCs w:val="24"/>
          <w:lang w:eastAsia="zh-CN"/>
        </w:rPr>
        <w:t>示范与推广工作作有效支撑，并提供研究成果知识产权后期服务保障。</w:t>
      </w:r>
    </w:p>
    <w:p w14:paraId="6C99DBFD">
      <w:pPr>
        <w:widowControl w:val="0"/>
        <w:spacing w:line="360" w:lineRule="auto"/>
        <w:ind w:firstLine="482" w:firstLineChars="200"/>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val="en-US" w:eastAsia="zh-CN"/>
        </w:rPr>
        <w:t>5、其他要求：</w:t>
      </w:r>
      <w:r>
        <w:rPr>
          <w:rFonts w:hint="eastAsia" w:ascii="宋体" w:hAnsi="宋体" w:eastAsia="宋体" w:cs="宋体"/>
          <w:b w:val="0"/>
          <w:bCs/>
          <w:color w:val="auto"/>
          <w:sz w:val="24"/>
          <w:szCs w:val="24"/>
          <w:lang w:val="en-US" w:eastAsia="zh-CN"/>
        </w:rPr>
        <w:t>投标单位需承诺中标后依托“松材线虫病新型绿色药剂防治技术”成果进行飞防，能满足采购人全部采购要求，无缝衔接庐山市前期已完成的防治情况。</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988E2"/>
    <w:multiLevelType w:val="singleLevel"/>
    <w:tmpl w:val="8D7988E2"/>
    <w:lvl w:ilvl="0" w:tentative="0">
      <w:start w:val="2"/>
      <w:numFmt w:val="decimal"/>
      <w:suff w:val="nothing"/>
      <w:lvlText w:val="（%1）"/>
      <w:lvlJc w:val="left"/>
    </w:lvl>
  </w:abstractNum>
  <w:abstractNum w:abstractNumId="1">
    <w:nsid w:val="C80C7C10"/>
    <w:multiLevelType w:val="singleLevel"/>
    <w:tmpl w:val="C80C7C10"/>
    <w:lvl w:ilvl="0" w:tentative="0">
      <w:start w:val="1"/>
      <w:numFmt w:val="decimal"/>
      <w:suff w:val="nothing"/>
      <w:lvlText w:val="%1、"/>
      <w:lvlJc w:val="left"/>
    </w:lvl>
  </w:abstractNum>
  <w:abstractNum w:abstractNumId="2">
    <w:nsid w:val="3F6A1014"/>
    <w:multiLevelType w:val="singleLevel"/>
    <w:tmpl w:val="3F6A1014"/>
    <w:lvl w:ilvl="0" w:tentative="0">
      <w:start w:val="4"/>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5D15C4"/>
    <w:rsid w:val="3E5D15C4"/>
    <w:rsid w:val="691C7D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Body Text"/>
    <w:basedOn w:val="1"/>
    <w:semiHidden/>
    <w:qFormat/>
    <w:uiPriority w:val="0"/>
    <w:rPr>
      <w:rFonts w:ascii="仿宋" w:hAnsi="仿宋" w:eastAsia="仿宋" w:cs="仿宋"/>
      <w:sz w:val="30"/>
      <w:szCs w:val="3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2026-06-05T08:55:00Z</dcterms:created>
  <dc:creator>Administrator</dc:creator>
  <cp:lastModifiedBy>Administrator</cp:lastModifiedBy>
  <dcterms:modified xsi:type="dcterms:W3CDTF">2026-06-05T08:57:25Z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10445D7730AC4D95A682B46795A62C91_11</vt:lpwstr>
  </property>
  <property fmtid="{D5CDD505-2E9C-101B-9397-08002B2CF9AE}" pid="4" name="KSOTemplateDocerSaveRecord">
    <vt:lpwstr>eyJoZGlkIjoiMTVkYjlhMjdjNmZiZGFiOGQ4N2I1OTNhMDAxYmQ3MzQiLCJ1c2VySWQiOiI1MDgxNDIzODkifQ==</vt:lpwstr>
  </property>
</Properties>
</file>