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0FDBA01">
      <w:pPr>
        <w:widowControl w:val="0"/>
        <w:spacing w:before="47" w:line="219" w:lineRule="auto"/>
        <w:ind w:left="3805"/>
        <w:outlineLvl w:val="1"/>
        <w:rPr>
          <w:rFonts w:hint="eastAsia" w:ascii="仿宋" w:hAnsi="仿宋" w:eastAsia="仿宋" w:cs="仿宋"/>
          <w:color w:val="auto"/>
          <w:sz w:val="28"/>
          <w:szCs w:val="28"/>
          <w:lang w:eastAsia="zh-CN"/>
        </w:rPr>
      </w:pPr>
      <w:bookmarkStart w:id="0" w:name="_Toc14533"/>
      <w:r>
        <w:rPr>
          <w:rFonts w:hint="eastAsia" w:ascii="仿宋" w:hAnsi="仿宋" w:eastAsia="仿宋" w:cs="仿宋"/>
          <w:color w:val="auto"/>
          <w:spacing w:val="-2"/>
          <w:sz w:val="28"/>
          <w:szCs w:val="28"/>
          <w:lang w:eastAsia="zh-CN"/>
          <w14:textOutline w14:w="4356" w14:cap="sq" w14:cmpd="sng" w14:algn="ctr">
            <w14:solidFill>
              <w14:srgbClr w14:val="000000"/>
            </w14:solidFill>
            <w14:prstDash w14:val="solid"/>
            <w14:bevel/>
          </w14:textOutline>
        </w:rPr>
        <w:t>二、采购要求</w:t>
      </w:r>
      <w:bookmarkEnd w:id="0"/>
    </w:p>
    <w:p w14:paraId="60D59B58">
      <w:pPr>
        <w:shd w:val="clear" w:color="auto" w:fill="FFFFFF"/>
        <w:spacing w:line="480" w:lineRule="exact"/>
        <w:rPr>
          <w:rFonts w:hint="eastAsia" w:ascii="仿宋" w:hAnsi="仿宋" w:eastAsia="仿宋" w:cs="仿宋"/>
          <w:sz w:val="28"/>
          <w:szCs w:val="28"/>
          <w:lang w:eastAsia="zh-CN"/>
        </w:rPr>
      </w:pPr>
      <w:r>
        <w:rPr>
          <w:rFonts w:hint="eastAsia" w:ascii="仿宋" w:hAnsi="仿宋" w:eastAsia="仿宋" w:cs="仿宋"/>
          <w:sz w:val="28"/>
          <w:szCs w:val="28"/>
          <w:lang w:eastAsia="zh-CN"/>
        </w:rPr>
        <w:t>（一）服务需求</w:t>
      </w:r>
    </w:p>
    <w:p w14:paraId="7DB556C8">
      <w:pPr>
        <w:shd w:val="clear" w:color="auto" w:fill="FFFFFF"/>
        <w:spacing w:line="480" w:lineRule="exact"/>
        <w:ind w:firstLine="640"/>
        <w:rPr>
          <w:rFonts w:hint="eastAsia" w:ascii="仿宋" w:hAnsi="仿宋" w:eastAsia="仿宋" w:cs="仿宋"/>
          <w:sz w:val="24"/>
          <w:szCs w:val="24"/>
          <w:u w:val="single"/>
          <w:lang w:eastAsia="zh-CN"/>
        </w:rPr>
      </w:pPr>
      <w:r>
        <w:rPr>
          <w:rFonts w:hint="eastAsia" w:ascii="仿宋" w:hAnsi="仿宋" w:eastAsia="仿宋" w:cs="仿宋"/>
          <w:b/>
          <w:bCs/>
          <w:sz w:val="24"/>
          <w:szCs w:val="24"/>
          <w:lang w:eastAsia="zh-CN"/>
        </w:rPr>
        <w:t>（1）档案数字化制作需求</w:t>
      </w:r>
    </w:p>
    <w:p w14:paraId="30CF325D">
      <w:pPr>
        <w:shd w:val="clear" w:color="auto" w:fill="FFFFFF"/>
        <w:spacing w:line="480" w:lineRule="exact"/>
        <w:ind w:firstLine="641"/>
        <w:rPr>
          <w:rFonts w:hint="eastAsia" w:ascii="仿宋" w:hAnsi="仿宋" w:eastAsia="仿宋" w:cs="仿宋"/>
          <w:sz w:val="24"/>
          <w:szCs w:val="24"/>
          <w:u w:val="single"/>
          <w:lang w:eastAsia="zh-CN"/>
        </w:rPr>
      </w:pPr>
      <w:r>
        <w:rPr>
          <w:rFonts w:hint="eastAsia" w:ascii="仿宋" w:hAnsi="仿宋" w:eastAsia="仿宋" w:cs="仿宋"/>
          <w:sz w:val="24"/>
          <w:szCs w:val="24"/>
          <w:lang w:eastAsia="zh-CN"/>
        </w:rPr>
        <w:t>干部数字化档案信息资源库包括以下几项工作内容：一是干部人事档案的基本信息处理和提取；二是干部人事档案的数据著录；三是干部人事档案的数字化扫描；四是干部人事档案的图像处理和优化图像制作工作。</w:t>
      </w:r>
    </w:p>
    <w:p w14:paraId="17CBEF6E">
      <w:pPr>
        <w:shd w:val="clear" w:color="auto" w:fill="FFFFFF"/>
        <w:spacing w:line="480" w:lineRule="exact"/>
        <w:ind w:firstLine="641"/>
        <w:rPr>
          <w:rFonts w:hint="eastAsia" w:ascii="仿宋" w:hAnsi="仿宋" w:eastAsia="仿宋" w:cs="仿宋"/>
          <w:sz w:val="24"/>
          <w:szCs w:val="24"/>
          <w:u w:val="single"/>
          <w:lang w:eastAsia="zh-CN"/>
        </w:rPr>
      </w:pPr>
      <w:r>
        <w:rPr>
          <w:rFonts w:hint="eastAsia" w:ascii="仿宋" w:hAnsi="仿宋" w:eastAsia="仿宋" w:cs="仿宋"/>
          <w:sz w:val="24"/>
          <w:szCs w:val="24"/>
          <w:lang w:eastAsia="zh-CN"/>
        </w:rPr>
        <w:t>针对合格的干部人事档案，应按照《干部人事档案数字化技术规范》标准进行档案基本信息处理、档案基本信息提取、人员建库、目录建库、档案扫描、原始图像处理、高清图像处理、数据存储、质量验收、数据备份等。具体要求包括：</w:t>
      </w:r>
    </w:p>
    <w:p w14:paraId="05AD1A0B">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sz w:val="24"/>
          <w:szCs w:val="24"/>
          <w:lang w:eastAsia="zh-CN"/>
        </w:rPr>
        <w:t>①档案领取出库</w:t>
      </w:r>
    </w:p>
    <w:p w14:paraId="5CCCCB9F">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sz w:val="24"/>
          <w:szCs w:val="24"/>
          <w:lang w:eastAsia="zh-CN"/>
        </w:rPr>
        <w:t>档案出库前，须履行出库手续，填写档案出库登记单（或交接单），逐卷清点无误后办理交接出库。</w:t>
      </w:r>
    </w:p>
    <w:p w14:paraId="37AC725F">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sz w:val="24"/>
          <w:szCs w:val="24"/>
          <w:lang w:eastAsia="zh-CN"/>
        </w:rPr>
        <w:t>②档案基本信息处理</w:t>
      </w:r>
    </w:p>
    <w:p w14:paraId="6DAC77A8">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sz w:val="24"/>
          <w:szCs w:val="24"/>
          <w:lang w:eastAsia="zh-CN"/>
        </w:rPr>
        <w:t>在对档案扫描之前，根据档案管理情况，对干部人事档案进行适当基本信息处理，并做出页码标识，做到材料分类准确、排列有序；材料类序号和页码填写准确；无损坏文字的材料，确保干部纸质档案质量。</w:t>
      </w:r>
    </w:p>
    <w:p w14:paraId="0C775D5F">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sz w:val="24"/>
          <w:szCs w:val="24"/>
          <w:lang w:eastAsia="zh-CN"/>
        </w:rPr>
        <w:t>③档案基本信息提取</w:t>
      </w:r>
    </w:p>
    <w:p w14:paraId="5A45CA5F">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sz w:val="24"/>
          <w:szCs w:val="24"/>
          <w:lang w:eastAsia="zh-CN"/>
        </w:rPr>
        <w:t>根据采购人要求，对人事档案的齐全完整性进行检查，并根据需要进行基本信息数据提取，形成基本信息完善表格交至采购人。</w:t>
      </w:r>
    </w:p>
    <w:p w14:paraId="42717594">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sz w:val="24"/>
          <w:szCs w:val="24"/>
          <w:lang w:eastAsia="zh-CN"/>
        </w:rPr>
        <w:t>a.提取的主要内容</w:t>
      </w:r>
    </w:p>
    <w:p w14:paraId="15B88B28">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sz w:val="24"/>
          <w:szCs w:val="24"/>
          <w:lang w:eastAsia="zh-CN"/>
        </w:rPr>
        <w:t>档案材料齐全、完整，档案内容客观、真实；档案材料手续完备；档案中无错装、混装的材料；档案基本信息处理符合要求。</w:t>
      </w:r>
    </w:p>
    <w:p w14:paraId="63BF2F95">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sz w:val="24"/>
          <w:szCs w:val="24"/>
          <w:lang w:eastAsia="zh-CN"/>
        </w:rPr>
        <w:t>b.重点提取的问题</w:t>
      </w:r>
    </w:p>
    <w:p w14:paraId="38914DDB">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sz w:val="24"/>
          <w:szCs w:val="24"/>
          <w:lang w:eastAsia="zh-CN"/>
        </w:rPr>
        <w:t>重点审查档案中的“单项否决”问题：一是缺少全国干部人事档案专项审核工作专用的《干部任免审批表》；二是“缺少1997年以来任副科级以上职务的《干部任免审批表》”；三是缺少《公务员登记表》或《参照公务员法管理机关（单位）工作人员登记表》；四是“装错材料”。</w:t>
      </w:r>
    </w:p>
    <w:p w14:paraId="3964A586">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sz w:val="24"/>
          <w:szCs w:val="24"/>
          <w:lang w:eastAsia="zh-CN"/>
        </w:rPr>
        <w:t>c.提取要求</w:t>
      </w:r>
    </w:p>
    <w:p w14:paraId="652ECCC9">
      <w:pPr>
        <w:shd w:val="clear" w:color="auto" w:fill="FFFFFF"/>
        <w:spacing w:line="480" w:lineRule="exact"/>
        <w:ind w:firstLine="641"/>
        <w:rPr>
          <w:rFonts w:hint="eastAsia" w:ascii="仿宋" w:hAnsi="仿宋" w:eastAsia="仿宋" w:cs="仿宋"/>
          <w:sz w:val="24"/>
          <w:szCs w:val="24"/>
          <w:u w:val="single"/>
          <w:lang w:eastAsia="zh-CN"/>
        </w:rPr>
      </w:pPr>
      <w:r>
        <w:rPr>
          <w:rFonts w:hint="eastAsia" w:ascii="仿宋" w:hAnsi="仿宋" w:eastAsia="仿宋" w:cs="仿宋"/>
          <w:sz w:val="24"/>
          <w:szCs w:val="24"/>
          <w:lang w:eastAsia="zh-CN"/>
        </w:rPr>
        <w:t>要逐页逐项的核对材料内容和有关信息，保证材料完整、齐全、真实，保证信息准确无误。对审查出的问题，逐一进行登记，特别是对档案中缺少的主要材料要详细标明。</w:t>
      </w:r>
    </w:p>
    <w:p w14:paraId="4F732352">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sz w:val="24"/>
          <w:szCs w:val="24"/>
          <w:lang w:eastAsia="zh-CN"/>
        </w:rPr>
        <w:t>④人员建库</w:t>
      </w:r>
    </w:p>
    <w:p w14:paraId="0F1ED4A3">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sz w:val="24"/>
          <w:szCs w:val="24"/>
          <w:lang w:eastAsia="zh-CN"/>
        </w:rPr>
        <w:t>参照《干部任免审批表》填写说明进行人员基本信息录入，包括：</w:t>
      </w:r>
    </w:p>
    <w:p w14:paraId="2CD02E82">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sz w:val="24"/>
          <w:szCs w:val="24"/>
          <w:lang w:eastAsia="zh-CN"/>
        </w:rPr>
        <w:t>a.“姓名”，填写户籍登记所用的姓名；</w:t>
      </w:r>
    </w:p>
    <w:p w14:paraId="4994FB08">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sz w:val="24"/>
          <w:szCs w:val="24"/>
          <w:lang w:eastAsia="zh-CN"/>
        </w:rPr>
        <w:t>b.“性别”，填写男或女；</w:t>
      </w:r>
    </w:p>
    <w:p w14:paraId="736F3885">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sz w:val="24"/>
          <w:szCs w:val="24"/>
          <w:lang w:eastAsia="zh-CN"/>
        </w:rPr>
        <w:t>c.“民族”，填写民族的全称，如汉族、维吾尔族等；</w:t>
      </w:r>
    </w:p>
    <w:p w14:paraId="0CD8459F">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sz w:val="24"/>
          <w:szCs w:val="24"/>
          <w:lang w:eastAsia="zh-CN"/>
        </w:rPr>
        <w:t>d.“出生日期”，填写出生年月；</w:t>
      </w:r>
    </w:p>
    <w:p w14:paraId="5FF3AF9D">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sz w:val="24"/>
          <w:szCs w:val="24"/>
          <w:lang w:eastAsia="zh-CN"/>
        </w:rPr>
        <w:t>e.“身份证号”，填写公安机关对（公民）居民给出的唯一的、终身不变的法定号码。</w:t>
      </w:r>
    </w:p>
    <w:p w14:paraId="22A5057C">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sz w:val="24"/>
          <w:szCs w:val="24"/>
          <w:lang w:eastAsia="zh-CN"/>
        </w:rPr>
        <w:t>⑤目录建库</w:t>
      </w:r>
    </w:p>
    <w:p w14:paraId="2FD02BA8">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sz w:val="24"/>
          <w:szCs w:val="24"/>
          <w:lang w:eastAsia="zh-CN"/>
        </w:rPr>
        <w:t>应根据统一的档案目录格式进行档案目录录入，包括：</w:t>
      </w:r>
    </w:p>
    <w:p w14:paraId="60279C0E">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sz w:val="24"/>
          <w:szCs w:val="24"/>
          <w:lang w:eastAsia="zh-CN"/>
        </w:rPr>
        <w:t>a.“类号”，填写材料类号；</w:t>
      </w:r>
    </w:p>
    <w:p w14:paraId="6A9A9E9F">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sz w:val="24"/>
          <w:szCs w:val="24"/>
          <w:lang w:eastAsia="zh-CN"/>
        </w:rPr>
        <w:t>b.“序号”，填写材料所属分类中的序号；</w:t>
      </w:r>
    </w:p>
    <w:p w14:paraId="48C43C49">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sz w:val="24"/>
          <w:szCs w:val="24"/>
          <w:lang w:eastAsia="zh-CN"/>
        </w:rPr>
        <w:t>c.“材料名称”，根据材料题目填写，无题目的材料，应拟定题目；</w:t>
      </w:r>
    </w:p>
    <w:p w14:paraId="2B49A665">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sz w:val="24"/>
          <w:szCs w:val="24"/>
          <w:lang w:eastAsia="zh-CN"/>
        </w:rPr>
        <w:t>d.“材料形成时间”，一般采用材料落款标明的最后时间，复制的档案材料，采用原材料形成时间；</w:t>
      </w:r>
    </w:p>
    <w:p w14:paraId="43813D6B">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sz w:val="24"/>
          <w:szCs w:val="24"/>
          <w:lang w:eastAsia="zh-CN"/>
        </w:rPr>
        <w:t>e.“页数”，填写每份材料的页码数；</w:t>
      </w:r>
    </w:p>
    <w:p w14:paraId="501E0BB6">
      <w:pPr>
        <w:shd w:val="clear" w:color="auto" w:fill="FFFFFF"/>
        <w:spacing w:line="480" w:lineRule="exact"/>
        <w:ind w:firstLine="641"/>
        <w:rPr>
          <w:rFonts w:hint="eastAsia" w:ascii="仿宋" w:hAnsi="仿宋" w:eastAsia="仿宋" w:cs="仿宋"/>
          <w:sz w:val="24"/>
          <w:szCs w:val="24"/>
          <w:u w:val="single"/>
          <w:lang w:eastAsia="zh-CN"/>
        </w:rPr>
      </w:pPr>
      <w:r>
        <w:rPr>
          <w:rFonts w:hint="eastAsia" w:ascii="仿宋" w:hAnsi="仿宋" w:eastAsia="仿宋" w:cs="仿宋"/>
          <w:sz w:val="24"/>
          <w:szCs w:val="24"/>
          <w:lang w:eastAsia="zh-CN"/>
        </w:rPr>
        <w:t>f.“备注”，填写需要说明的情况。</w:t>
      </w:r>
    </w:p>
    <w:p w14:paraId="2BB416CA">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sz w:val="24"/>
          <w:szCs w:val="24"/>
          <w:lang w:eastAsia="zh-CN"/>
        </w:rPr>
        <w:t>⑥档案扫描</w:t>
      </w:r>
    </w:p>
    <w:p w14:paraId="36DB1CC6">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sz w:val="24"/>
          <w:szCs w:val="24"/>
          <w:lang w:eastAsia="zh-CN"/>
        </w:rPr>
        <w:t>应根据纸质档案材料的具体情况，采用合理的扫描方式进行扫描。</w:t>
      </w:r>
    </w:p>
    <w:p w14:paraId="0EEBA628">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sz w:val="24"/>
          <w:szCs w:val="24"/>
          <w:lang w:eastAsia="zh-CN"/>
        </w:rPr>
        <w:t>a.扫描仪应符合GB/T18788-2008平板式扫描仪通用规范的规定，亮度和对比度为中值，无偏移。</w:t>
      </w:r>
    </w:p>
    <w:p w14:paraId="0152184A">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sz w:val="24"/>
          <w:szCs w:val="24"/>
          <w:lang w:eastAsia="zh-CN"/>
        </w:rPr>
        <w:t>b.扫描方式包括（但不限于）：大幅面档案宜采用大幅面扫描仪扫描，也可采用小幅面扫描后的图像拼接方式处理；纸张状况较差、容易损坏的档案，应采用平板扫描方式；对于纸张较薄的档案，若扫描时发生背页字迹透印而影响图像阅读的现象，应在背页后垫白色衬底扫描。</w:t>
      </w:r>
    </w:p>
    <w:p w14:paraId="457A747F">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sz w:val="24"/>
          <w:szCs w:val="24"/>
          <w:lang w:eastAsia="zh-CN"/>
        </w:rPr>
        <w:t>c.扫描色彩模式应采用真彩色24位RGB模式扫描。</w:t>
      </w:r>
    </w:p>
    <w:p w14:paraId="05D40D06">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sz w:val="24"/>
          <w:szCs w:val="24"/>
          <w:lang w:eastAsia="zh-CN"/>
        </w:rPr>
        <w:t>d.扫描分辨率应采用300dpi分辨率扫描。</w:t>
      </w:r>
    </w:p>
    <w:p w14:paraId="330458CD">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sz w:val="24"/>
          <w:szCs w:val="24"/>
          <w:lang w:eastAsia="zh-CN"/>
        </w:rPr>
        <w:t>⑦原始图像处理</w:t>
      </w:r>
    </w:p>
    <w:p w14:paraId="48CF7E19">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sz w:val="24"/>
          <w:szCs w:val="24"/>
          <w:lang w:eastAsia="zh-CN"/>
        </w:rPr>
        <w:t>应对扫描后的图像进行图像处理，包括：</w:t>
      </w:r>
    </w:p>
    <w:p w14:paraId="5B2565D0">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sz w:val="24"/>
          <w:szCs w:val="24"/>
          <w:lang w:eastAsia="zh-CN"/>
        </w:rPr>
        <w:t>a.纠偏处理：对偏斜度＞1°的图像应进行纠偏处理，纠偏后距离显示器25cm～40cm观看图像应没有明显偏斜。对方向不正确的图像应旋转还原，以符合阅读习惯。</w:t>
      </w:r>
    </w:p>
    <w:p w14:paraId="44BFC982">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sz w:val="24"/>
          <w:szCs w:val="24"/>
          <w:lang w:eastAsia="zh-CN"/>
        </w:rPr>
        <w:t>b.裁边处理：纠偏后的图像应进行裁边处理，去除扫描过程中产生的白边或黑边。</w:t>
      </w:r>
    </w:p>
    <w:p w14:paraId="0CA25E1D">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sz w:val="24"/>
          <w:szCs w:val="24"/>
          <w:lang w:eastAsia="zh-CN"/>
        </w:rPr>
        <w:t>c.图像拼接：对大幅面档案材料进行分区扫描形成的多幅图像，应进行拼接处理，合并为一个完整的原始图像，以保证数字档案图像的完整性。</w:t>
      </w:r>
    </w:p>
    <w:p w14:paraId="4C0148DD">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sz w:val="24"/>
          <w:szCs w:val="24"/>
          <w:lang w:eastAsia="zh-CN"/>
        </w:rPr>
        <w:t>⑧高清（优化）图像处理</w:t>
      </w:r>
    </w:p>
    <w:p w14:paraId="68552751">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sz w:val="24"/>
          <w:szCs w:val="24"/>
          <w:lang w:eastAsia="zh-CN"/>
        </w:rPr>
        <w:t>应使用计算机软件或人工方式对原始图像数据进行处理，得到优化图像数据。在图像处理过程中，应注意以下几点：</w:t>
      </w:r>
    </w:p>
    <w:p w14:paraId="25D230E2">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sz w:val="24"/>
          <w:szCs w:val="24"/>
          <w:lang w:eastAsia="zh-CN"/>
        </w:rPr>
        <w:t>a.原始图像中带有黑白、彩色照片的，应具有单独处理的功能，以使高清图像中的照片得到更佳的视觉效果或满足原始图像中的视觉效果。</w:t>
      </w:r>
    </w:p>
    <w:p w14:paraId="0BAA1B82">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sz w:val="24"/>
          <w:szCs w:val="24"/>
          <w:lang w:eastAsia="zh-CN"/>
        </w:rPr>
        <w:t>b.原始图像中带有印章的图像页应具有单独处理印章的功能，使其更加清晰可辨。</w:t>
      </w:r>
    </w:p>
    <w:p w14:paraId="17EDEFB2">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sz w:val="24"/>
          <w:szCs w:val="24"/>
          <w:lang w:eastAsia="zh-CN"/>
        </w:rPr>
        <w:t>c.带有身份证、学历证件、复印件及带有防伪技术的原始图像文件，或者内容特别不清晰的红色或紫色背景的早期麻纸材料文件，高清处理后仍不具有较好的辨识效果的情况，可直接引用原始图像数据，也可使用专业图像处理软件进行处理，应以不改变和不破坏档案信息为前提。</w:t>
      </w:r>
    </w:p>
    <w:p w14:paraId="1E112C40">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sz w:val="24"/>
          <w:szCs w:val="24"/>
          <w:lang w:eastAsia="zh-CN"/>
        </w:rPr>
        <w:t>⑨数据存储</w:t>
      </w:r>
    </w:p>
    <w:p w14:paraId="13DB49A7">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sz w:val="24"/>
          <w:szCs w:val="24"/>
          <w:lang w:eastAsia="zh-CN"/>
        </w:rPr>
        <w:t>图像数据应采用JPEG格式存储。原始图像数据存储时，应进行图像数据压缩，压缩率≥80％。优化图像数据不进行压缩。</w:t>
      </w:r>
    </w:p>
    <w:p w14:paraId="5EA53A32">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sz w:val="24"/>
          <w:szCs w:val="24"/>
          <w:lang w:eastAsia="zh-CN"/>
        </w:rPr>
        <w:t>原始图像数据和优化图像数据应分不同文件夹保存。</w:t>
      </w:r>
    </w:p>
    <w:p w14:paraId="03B688A7">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sz w:val="24"/>
          <w:szCs w:val="24"/>
          <w:lang w:eastAsia="zh-CN"/>
        </w:rPr>
        <w:t>⑩档案归还入库</w:t>
      </w:r>
    </w:p>
    <w:p w14:paraId="0CA52525">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sz w:val="24"/>
          <w:szCs w:val="24"/>
          <w:lang w:eastAsia="zh-CN"/>
        </w:rPr>
        <w:t>档案装订完毕后移交档案库房保存，入库前，须履行入库手续，填写档案入库登记单（或交接单），逐卷清点无误后办理交接入库。</w:t>
      </w:r>
    </w:p>
    <w:p w14:paraId="368EB1F1">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sz w:val="24"/>
          <w:szCs w:val="24"/>
          <w:lang w:eastAsia="zh-CN"/>
        </w:rPr>
        <w:t>⑪成果验收</w:t>
      </w:r>
    </w:p>
    <w:p w14:paraId="1B4D388E">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sz w:val="24"/>
          <w:szCs w:val="24"/>
          <w:lang w:eastAsia="zh-CN"/>
        </w:rPr>
        <w:t>应对全部档案成品进行质量验收。</w:t>
      </w:r>
    </w:p>
    <w:p w14:paraId="7C7F566E">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sz w:val="24"/>
          <w:szCs w:val="24"/>
          <w:lang w:eastAsia="zh-CN"/>
        </w:rPr>
        <w:t>a.纸质档案成果验收</w:t>
      </w:r>
    </w:p>
    <w:p w14:paraId="3C23B8AA">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sz w:val="24"/>
          <w:szCs w:val="24"/>
          <w:lang w:eastAsia="zh-CN"/>
        </w:rPr>
        <w:t>应对纸质档案处理成果进行验收，验收时要注意以下几点：目录与材料一一对应；不多页、不少页；档案材料分类、编码准确；材料名称、材料形成时间、页数和备注等栏目填写准确；基本信息提取单填写规范。</w:t>
      </w:r>
    </w:p>
    <w:p w14:paraId="41703197">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sz w:val="24"/>
          <w:szCs w:val="24"/>
          <w:lang w:eastAsia="zh-CN"/>
        </w:rPr>
        <w:t>b.数字档案成果验收</w:t>
      </w:r>
    </w:p>
    <w:p w14:paraId="082B53E9">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sz w:val="24"/>
          <w:szCs w:val="24"/>
          <w:lang w:eastAsia="zh-CN"/>
        </w:rPr>
        <w:t>根据《干部人事档案数字化技术规范》对数字档案成果进行验收，验收时要注意以下几点：</w:t>
      </w:r>
    </w:p>
    <w:p w14:paraId="013ED443">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sz w:val="24"/>
          <w:szCs w:val="24"/>
          <w:lang w:eastAsia="zh-CN"/>
        </w:rPr>
        <w:t>（a）人员建库验收标准</w:t>
      </w:r>
    </w:p>
    <w:p w14:paraId="6261ADCF">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sz w:val="24"/>
          <w:szCs w:val="24"/>
          <w:lang w:eastAsia="zh-CN"/>
        </w:rPr>
        <w:t>人员建库时录入项目会合《干部人事档案数字化技术规范》中列明的人员基本信息集数据格式要求。</w:t>
      </w:r>
    </w:p>
    <w:p w14:paraId="5855C321">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sz w:val="24"/>
          <w:szCs w:val="24"/>
          <w:lang w:eastAsia="zh-CN"/>
        </w:rPr>
        <w:t>（b）目录建库验收标准</w:t>
      </w:r>
    </w:p>
    <w:p w14:paraId="6D2BA1A0">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sz w:val="24"/>
          <w:szCs w:val="24"/>
          <w:lang w:eastAsia="zh-CN"/>
        </w:rPr>
        <w:t>目录建库时录入项目应符合《干部人事档案数字化技术规范》中所列档案目录信息集数据格式要求，材料名称、材料形成时间、页数、备注等录入内容项应规范、准确，档案目录要与纸质档案材料名称内容相符，档案目录条数要与纸质档案材料数量相符。</w:t>
      </w:r>
    </w:p>
    <w:p w14:paraId="3DE472C2">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sz w:val="24"/>
          <w:szCs w:val="24"/>
          <w:lang w:eastAsia="zh-CN"/>
        </w:rPr>
        <w:t>（c）原始图像验收标准</w:t>
      </w:r>
    </w:p>
    <w:p w14:paraId="00134B3B">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sz w:val="24"/>
          <w:szCs w:val="24"/>
          <w:lang w:eastAsia="zh-CN"/>
        </w:rPr>
        <w:t>原始图像为真彩色24位、JPEG格式、300dpi。图像清晰，亮度适中；图像页码连续；图像中档案信息与纸质档案一致，图像数量和纸质档案一致，图像的排列顺序与纸质档案排序一致，图像与目录一一对应。</w:t>
      </w:r>
    </w:p>
    <w:p w14:paraId="7F39C63C">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sz w:val="24"/>
          <w:szCs w:val="24"/>
          <w:lang w:eastAsia="zh-CN"/>
        </w:rPr>
        <w:t>（d）优化图像验收标准</w:t>
      </w:r>
    </w:p>
    <w:p w14:paraId="6676E7A7">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sz w:val="24"/>
          <w:szCs w:val="24"/>
          <w:lang w:eastAsia="zh-CN"/>
        </w:rPr>
        <w:t>高清图像应符合优化图像质量要求，与原始图像尺寸一致，无扫描产生的白边和黑边，偏斜度≤1°，方向正确。</w:t>
      </w:r>
    </w:p>
    <w:p w14:paraId="7AA1E2E2">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sz w:val="24"/>
          <w:szCs w:val="24"/>
          <w:lang w:eastAsia="zh-CN"/>
        </w:rPr>
        <w:t>（e）验收登记</w:t>
      </w:r>
    </w:p>
    <w:p w14:paraId="2F89E38D">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sz w:val="24"/>
          <w:szCs w:val="24"/>
          <w:lang w:eastAsia="zh-CN"/>
        </w:rPr>
        <w:t>根据验收标准，请用户填写验收单，对数字档案作出合格或不合格的结论。</w:t>
      </w:r>
    </w:p>
    <w:p w14:paraId="57EB5DFB">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sz w:val="24"/>
          <w:szCs w:val="24"/>
          <w:lang w:eastAsia="zh-CN"/>
        </w:rPr>
        <w:t>⑫数据备份</w:t>
      </w:r>
    </w:p>
    <w:p w14:paraId="7B814424">
      <w:pPr>
        <w:shd w:val="clear" w:color="auto" w:fill="FFFFFF"/>
        <w:spacing w:line="480" w:lineRule="exact"/>
        <w:ind w:firstLine="641"/>
        <w:rPr>
          <w:rFonts w:hint="eastAsia" w:ascii="仿宋" w:hAnsi="仿宋" w:eastAsia="仿宋" w:cs="仿宋"/>
          <w:sz w:val="24"/>
          <w:szCs w:val="24"/>
          <w:u w:val="single"/>
          <w:lang w:eastAsia="zh-CN"/>
        </w:rPr>
      </w:pPr>
      <w:r>
        <w:rPr>
          <w:rFonts w:hint="eastAsia" w:ascii="仿宋" w:hAnsi="仿宋" w:eastAsia="仿宋" w:cs="仿宋"/>
          <w:sz w:val="24"/>
          <w:szCs w:val="24"/>
          <w:lang w:eastAsia="zh-CN"/>
        </w:rPr>
        <w:t>经验收合格的人员基本信息、干部人事档案目录信息、原始图像数据、优化图像数据应及时进行备份。</w:t>
      </w:r>
    </w:p>
    <w:p w14:paraId="292010BE">
      <w:pPr>
        <w:shd w:val="clear" w:color="auto" w:fill="FFFFFF"/>
        <w:spacing w:line="480" w:lineRule="exact"/>
        <w:ind w:firstLine="641"/>
        <w:rPr>
          <w:rFonts w:hint="eastAsia" w:ascii="仿宋" w:hAnsi="仿宋" w:eastAsia="仿宋" w:cs="仿宋"/>
          <w:b/>
          <w:bCs/>
          <w:sz w:val="24"/>
          <w:szCs w:val="24"/>
          <w:lang w:eastAsia="zh-CN"/>
        </w:rPr>
      </w:pPr>
      <w:r>
        <w:rPr>
          <w:rFonts w:hint="eastAsia" w:ascii="仿宋" w:hAnsi="仿宋" w:eastAsia="仿宋" w:cs="仿宋"/>
          <w:b/>
          <w:bCs/>
          <w:sz w:val="24"/>
          <w:szCs w:val="24"/>
          <w:lang w:eastAsia="zh-CN"/>
        </w:rPr>
        <w:t>（2）配套服务</w:t>
      </w:r>
    </w:p>
    <w:p w14:paraId="4E2EFFA5">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sz w:val="24"/>
          <w:szCs w:val="24"/>
          <w:lang w:eastAsia="zh-CN"/>
        </w:rPr>
        <w:t>干部人事档案数字化制作配套服务，涵盖与档案数字化全流程相匹配的物料供给，以及数字化加工设备支持服务等内容。</w:t>
      </w:r>
    </w:p>
    <w:p w14:paraId="7C1246BD">
      <w:pPr>
        <w:shd w:val="clear" w:color="auto" w:fill="FFFFFF"/>
        <w:spacing w:line="480" w:lineRule="exact"/>
        <w:ind w:firstLine="641"/>
        <w:jc w:val="center"/>
        <w:rPr>
          <w:rFonts w:hint="eastAsia" w:ascii="仿宋" w:hAnsi="仿宋" w:eastAsia="仿宋" w:cs="仿宋"/>
          <w:b/>
          <w:bCs/>
          <w:sz w:val="24"/>
          <w:szCs w:val="24"/>
          <w:lang w:eastAsia="zh-CN"/>
        </w:rPr>
      </w:pPr>
      <w:r>
        <w:rPr>
          <w:rFonts w:hint="eastAsia" w:ascii="仿宋" w:hAnsi="仿宋" w:eastAsia="仿宋" w:cs="仿宋"/>
          <w:sz w:val="24"/>
          <w:szCs w:val="24"/>
          <w:lang w:eastAsia="zh-CN"/>
        </w:rPr>
        <w:t>供应商自备物料及耗材一览表</w:t>
      </w:r>
    </w:p>
    <w:tbl>
      <w:tblPr>
        <w:tblStyle w:val="2"/>
        <w:tblW w:w="4999"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66"/>
        <w:gridCol w:w="6654"/>
      </w:tblGrid>
      <w:tr w14:paraId="42AE28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95" w:type="pct"/>
            <w:vAlign w:val="center"/>
          </w:tcPr>
          <w:p w14:paraId="6430ACC8">
            <w:pPr>
              <w:shd w:val="clear" w:color="auto" w:fill="FFFFFF"/>
              <w:spacing w:line="480" w:lineRule="exact"/>
              <w:jc w:val="center"/>
              <w:rPr>
                <w:rFonts w:hint="eastAsia" w:ascii="仿宋" w:hAnsi="仿宋" w:eastAsia="仿宋" w:cs="仿宋"/>
                <w:sz w:val="24"/>
                <w:szCs w:val="24"/>
              </w:rPr>
            </w:pPr>
            <w:r>
              <w:rPr>
                <w:rFonts w:hint="eastAsia" w:ascii="仿宋" w:hAnsi="仿宋" w:eastAsia="仿宋" w:cs="仿宋"/>
                <w:sz w:val="24"/>
                <w:szCs w:val="24"/>
              </w:rPr>
              <w:t>品类</w:t>
            </w:r>
          </w:p>
        </w:tc>
        <w:tc>
          <w:tcPr>
            <w:tcW w:w="3904" w:type="pct"/>
            <w:vAlign w:val="center"/>
          </w:tcPr>
          <w:p w14:paraId="3A6152B1">
            <w:pPr>
              <w:shd w:val="clear" w:color="auto" w:fill="FFFFFF"/>
              <w:spacing w:line="480" w:lineRule="exact"/>
              <w:jc w:val="center"/>
              <w:rPr>
                <w:rFonts w:hint="eastAsia" w:ascii="仿宋" w:hAnsi="仿宋" w:eastAsia="仿宋" w:cs="仿宋"/>
                <w:sz w:val="24"/>
                <w:szCs w:val="24"/>
              </w:rPr>
            </w:pPr>
            <w:r>
              <w:rPr>
                <w:rFonts w:hint="eastAsia" w:ascii="仿宋" w:hAnsi="仿宋" w:eastAsia="仿宋" w:cs="仿宋"/>
                <w:sz w:val="24"/>
                <w:szCs w:val="24"/>
              </w:rPr>
              <w:t>要求</w:t>
            </w:r>
          </w:p>
        </w:tc>
      </w:tr>
      <w:tr w14:paraId="5AE99A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95" w:type="pct"/>
            <w:vAlign w:val="center"/>
          </w:tcPr>
          <w:p w14:paraId="2E571B78">
            <w:pPr>
              <w:shd w:val="clear" w:color="auto" w:fill="FFFFFF"/>
              <w:spacing w:line="480" w:lineRule="exact"/>
              <w:jc w:val="center"/>
              <w:rPr>
                <w:rFonts w:hint="eastAsia" w:ascii="仿宋" w:hAnsi="仿宋" w:eastAsia="仿宋" w:cs="仿宋"/>
                <w:sz w:val="24"/>
                <w:szCs w:val="24"/>
              </w:rPr>
            </w:pPr>
            <w:r>
              <w:rPr>
                <w:rFonts w:hint="eastAsia" w:ascii="仿宋" w:hAnsi="仿宋" w:eastAsia="仿宋" w:cs="仿宋"/>
                <w:sz w:val="24"/>
                <w:szCs w:val="24"/>
              </w:rPr>
              <w:t>实施电脑</w:t>
            </w:r>
          </w:p>
        </w:tc>
        <w:tc>
          <w:tcPr>
            <w:tcW w:w="3904" w:type="pct"/>
            <w:vAlign w:val="center"/>
          </w:tcPr>
          <w:p w14:paraId="5EC5876F">
            <w:pPr>
              <w:shd w:val="clear" w:color="auto" w:fill="FFFFFF"/>
              <w:spacing w:line="480" w:lineRule="exact"/>
              <w:jc w:val="center"/>
              <w:rPr>
                <w:rFonts w:hint="eastAsia" w:ascii="仿宋" w:hAnsi="仿宋" w:eastAsia="仿宋" w:cs="仿宋"/>
                <w:sz w:val="24"/>
                <w:szCs w:val="24"/>
              </w:rPr>
            </w:pPr>
            <w:r>
              <w:rPr>
                <w:rFonts w:hint="eastAsia" w:ascii="仿宋" w:hAnsi="仿宋" w:eastAsia="仿宋" w:cs="仿宋"/>
                <w:sz w:val="24"/>
                <w:szCs w:val="24"/>
              </w:rPr>
              <w:t>分辨率：1920*1080，</w:t>
            </w:r>
            <w:r>
              <w:rPr>
                <w:rFonts w:hint="eastAsia" w:ascii="仿宋" w:hAnsi="仿宋" w:eastAsia="仿宋" w:cs="仿宋"/>
                <w:sz w:val="24"/>
                <w:szCs w:val="24"/>
                <w:lang w:eastAsia="zh-CN"/>
              </w:rPr>
              <w:t>Windows操作系统，</w:t>
            </w:r>
            <w:r>
              <w:rPr>
                <w:rFonts w:hint="eastAsia" w:ascii="仿宋" w:hAnsi="仿宋" w:eastAsia="仿宋" w:cs="仿宋"/>
                <w:sz w:val="24"/>
                <w:szCs w:val="24"/>
              </w:rPr>
              <w:t>64位操作系统</w:t>
            </w:r>
          </w:p>
        </w:tc>
      </w:tr>
      <w:tr w14:paraId="2D12A2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95" w:type="pct"/>
            <w:vAlign w:val="center"/>
          </w:tcPr>
          <w:p w14:paraId="4EC78757">
            <w:pPr>
              <w:shd w:val="clear" w:color="auto" w:fill="FFFFFF"/>
              <w:spacing w:line="480" w:lineRule="exact"/>
              <w:jc w:val="center"/>
              <w:rPr>
                <w:rFonts w:hint="eastAsia" w:ascii="仿宋" w:hAnsi="仿宋" w:eastAsia="仿宋" w:cs="仿宋"/>
                <w:sz w:val="24"/>
                <w:szCs w:val="24"/>
              </w:rPr>
            </w:pPr>
            <w:r>
              <w:rPr>
                <w:rFonts w:hint="eastAsia" w:ascii="仿宋" w:hAnsi="仿宋" w:eastAsia="仿宋" w:cs="仿宋"/>
                <w:sz w:val="24"/>
                <w:szCs w:val="24"/>
              </w:rPr>
              <w:t>打印机</w:t>
            </w:r>
          </w:p>
        </w:tc>
        <w:tc>
          <w:tcPr>
            <w:tcW w:w="3904" w:type="pct"/>
            <w:vAlign w:val="center"/>
          </w:tcPr>
          <w:p w14:paraId="579FEB4C">
            <w:pPr>
              <w:shd w:val="clear" w:color="auto" w:fill="FFFFFF"/>
              <w:spacing w:line="480" w:lineRule="exact"/>
              <w:jc w:val="center"/>
              <w:rPr>
                <w:rFonts w:hint="eastAsia" w:ascii="仿宋" w:hAnsi="仿宋" w:eastAsia="仿宋" w:cs="仿宋"/>
                <w:sz w:val="24"/>
                <w:szCs w:val="24"/>
              </w:rPr>
            </w:pPr>
            <w:r>
              <w:rPr>
                <w:rFonts w:hint="eastAsia" w:ascii="仿宋" w:hAnsi="仿宋" w:eastAsia="仿宋" w:cs="仿宋"/>
                <w:sz w:val="24"/>
                <w:szCs w:val="24"/>
              </w:rPr>
              <w:t>1台，打印档案目录</w:t>
            </w:r>
          </w:p>
        </w:tc>
      </w:tr>
      <w:tr w14:paraId="23B282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95" w:type="pct"/>
            <w:vAlign w:val="center"/>
          </w:tcPr>
          <w:p w14:paraId="3EF18EF9">
            <w:pPr>
              <w:shd w:val="clear" w:color="auto" w:fill="FFFFFF"/>
              <w:spacing w:line="480" w:lineRule="exact"/>
              <w:jc w:val="center"/>
              <w:rPr>
                <w:rFonts w:hint="eastAsia" w:ascii="仿宋" w:hAnsi="仿宋" w:eastAsia="仿宋" w:cs="仿宋"/>
                <w:sz w:val="24"/>
                <w:szCs w:val="24"/>
              </w:rPr>
            </w:pPr>
            <w:r>
              <w:rPr>
                <w:rFonts w:hint="eastAsia" w:ascii="仿宋" w:hAnsi="仿宋" w:eastAsia="仿宋" w:cs="仿宋"/>
                <w:sz w:val="24"/>
                <w:szCs w:val="24"/>
              </w:rPr>
              <w:t>平板扫描仪</w:t>
            </w:r>
          </w:p>
        </w:tc>
        <w:tc>
          <w:tcPr>
            <w:tcW w:w="3904" w:type="pct"/>
            <w:vAlign w:val="center"/>
          </w:tcPr>
          <w:p w14:paraId="5406CB4F">
            <w:pPr>
              <w:shd w:val="clear" w:color="auto" w:fill="FFFFFF"/>
              <w:spacing w:line="480" w:lineRule="exact"/>
              <w:jc w:val="center"/>
              <w:rPr>
                <w:rFonts w:hint="eastAsia" w:ascii="仿宋" w:hAnsi="仿宋" w:eastAsia="仿宋" w:cs="仿宋"/>
                <w:sz w:val="24"/>
                <w:szCs w:val="24"/>
              </w:rPr>
            </w:pPr>
            <w:r>
              <w:rPr>
                <w:rFonts w:hint="eastAsia" w:ascii="仿宋" w:hAnsi="仿宋" w:eastAsia="仿宋" w:cs="仿宋"/>
                <w:sz w:val="24"/>
                <w:szCs w:val="24"/>
              </w:rPr>
              <w:t>A3</w:t>
            </w:r>
          </w:p>
        </w:tc>
      </w:tr>
      <w:tr w14:paraId="0F118B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95" w:type="pct"/>
            <w:vAlign w:val="center"/>
          </w:tcPr>
          <w:p w14:paraId="123C727A">
            <w:pPr>
              <w:shd w:val="clear" w:color="auto" w:fill="FFFFFF"/>
              <w:spacing w:line="480" w:lineRule="exact"/>
              <w:jc w:val="center"/>
              <w:rPr>
                <w:rFonts w:hint="eastAsia" w:ascii="仿宋" w:hAnsi="仿宋" w:eastAsia="仿宋" w:cs="仿宋"/>
                <w:sz w:val="24"/>
                <w:szCs w:val="24"/>
              </w:rPr>
            </w:pPr>
            <w:r>
              <w:rPr>
                <w:rFonts w:hint="eastAsia" w:ascii="仿宋" w:hAnsi="仿宋" w:eastAsia="仿宋" w:cs="仿宋"/>
                <w:sz w:val="24"/>
                <w:szCs w:val="24"/>
              </w:rPr>
              <w:t>办公用品</w:t>
            </w:r>
          </w:p>
        </w:tc>
        <w:tc>
          <w:tcPr>
            <w:tcW w:w="3904" w:type="pct"/>
            <w:vAlign w:val="center"/>
          </w:tcPr>
          <w:p w14:paraId="34006AE4">
            <w:pPr>
              <w:shd w:val="clear" w:color="auto" w:fill="FFFFFF"/>
              <w:spacing w:line="480" w:lineRule="exact"/>
              <w:jc w:val="center"/>
              <w:rPr>
                <w:rFonts w:hint="eastAsia" w:ascii="仿宋" w:hAnsi="仿宋" w:eastAsia="仿宋" w:cs="仿宋"/>
                <w:sz w:val="24"/>
                <w:szCs w:val="24"/>
                <w:lang w:eastAsia="zh-CN"/>
              </w:rPr>
            </w:pPr>
            <w:r>
              <w:rPr>
                <w:rFonts w:hint="eastAsia" w:ascii="仿宋" w:hAnsi="仿宋" w:eastAsia="仿宋" w:cs="仿宋"/>
                <w:sz w:val="24"/>
                <w:szCs w:val="24"/>
                <w:lang w:eastAsia="zh-CN"/>
              </w:rPr>
              <w:t>A4纸、2B铅笔、橡皮、卷笔刀 、取钉器、美工刀、尺子、剪 刀、网线、插线板等办公用品</w:t>
            </w:r>
          </w:p>
        </w:tc>
      </w:tr>
      <w:tr w14:paraId="3FD5B3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95" w:type="pct"/>
            <w:vMerge w:val="restart"/>
            <w:vAlign w:val="center"/>
          </w:tcPr>
          <w:p w14:paraId="2F34369D">
            <w:pPr>
              <w:shd w:val="clear" w:color="auto" w:fill="FFFFFF"/>
              <w:spacing w:line="480" w:lineRule="exact"/>
              <w:jc w:val="center"/>
              <w:rPr>
                <w:rFonts w:hint="eastAsia" w:ascii="仿宋" w:hAnsi="仿宋" w:eastAsia="仿宋" w:cs="仿宋"/>
                <w:sz w:val="24"/>
                <w:szCs w:val="24"/>
              </w:rPr>
            </w:pPr>
            <w:r>
              <w:rPr>
                <w:rFonts w:hint="eastAsia" w:ascii="仿宋" w:hAnsi="仿宋" w:eastAsia="仿宋" w:cs="仿宋"/>
                <w:sz w:val="24"/>
                <w:szCs w:val="24"/>
              </w:rPr>
              <w:t>档案加工物品</w:t>
            </w:r>
          </w:p>
        </w:tc>
        <w:tc>
          <w:tcPr>
            <w:tcW w:w="3904" w:type="pct"/>
            <w:vAlign w:val="center"/>
          </w:tcPr>
          <w:p w14:paraId="011FE660">
            <w:pPr>
              <w:shd w:val="clear" w:color="auto" w:fill="FFFFFF"/>
              <w:spacing w:line="480" w:lineRule="exact"/>
              <w:jc w:val="center"/>
              <w:rPr>
                <w:rFonts w:hint="eastAsia" w:ascii="仿宋" w:hAnsi="仿宋" w:eastAsia="仿宋" w:cs="仿宋"/>
                <w:sz w:val="24"/>
                <w:szCs w:val="24"/>
              </w:rPr>
            </w:pPr>
            <w:r>
              <w:rPr>
                <w:rFonts w:hint="eastAsia" w:ascii="仿宋" w:hAnsi="仿宋" w:eastAsia="仿宋" w:cs="仿宋"/>
                <w:sz w:val="24"/>
                <w:szCs w:val="24"/>
              </w:rPr>
              <w:t>四尺六开宣纸</w:t>
            </w:r>
          </w:p>
        </w:tc>
      </w:tr>
      <w:tr w14:paraId="414436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95" w:type="pct"/>
            <w:vMerge w:val="continue"/>
            <w:vAlign w:val="center"/>
          </w:tcPr>
          <w:p w14:paraId="044DC882">
            <w:pPr>
              <w:shd w:val="clear" w:color="auto" w:fill="FFFFFF"/>
              <w:spacing w:line="480" w:lineRule="exact"/>
              <w:jc w:val="center"/>
              <w:rPr>
                <w:rFonts w:hint="eastAsia" w:ascii="仿宋" w:hAnsi="仿宋" w:eastAsia="仿宋" w:cs="仿宋"/>
                <w:sz w:val="24"/>
                <w:szCs w:val="24"/>
              </w:rPr>
            </w:pPr>
          </w:p>
        </w:tc>
        <w:tc>
          <w:tcPr>
            <w:tcW w:w="3904" w:type="pct"/>
            <w:vAlign w:val="center"/>
          </w:tcPr>
          <w:p w14:paraId="3711CF23">
            <w:pPr>
              <w:shd w:val="clear" w:color="auto" w:fill="FFFFFF"/>
              <w:spacing w:line="480" w:lineRule="exact"/>
              <w:jc w:val="center"/>
              <w:rPr>
                <w:rFonts w:hint="eastAsia" w:ascii="仿宋" w:hAnsi="仿宋" w:eastAsia="仿宋" w:cs="仿宋"/>
                <w:sz w:val="24"/>
                <w:szCs w:val="24"/>
              </w:rPr>
            </w:pPr>
            <w:r>
              <w:rPr>
                <w:rFonts w:hint="eastAsia" w:ascii="仿宋" w:hAnsi="仿宋" w:eastAsia="仿宋" w:cs="仿宋"/>
                <w:sz w:val="24"/>
                <w:szCs w:val="24"/>
              </w:rPr>
              <w:t>A3型号透明加宽纸</w:t>
            </w:r>
          </w:p>
        </w:tc>
      </w:tr>
      <w:tr w14:paraId="36520B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95" w:type="pct"/>
            <w:vMerge w:val="continue"/>
            <w:vAlign w:val="center"/>
          </w:tcPr>
          <w:p w14:paraId="70DD3D3E">
            <w:pPr>
              <w:shd w:val="clear" w:color="auto" w:fill="FFFFFF"/>
              <w:spacing w:line="480" w:lineRule="exact"/>
              <w:jc w:val="center"/>
              <w:rPr>
                <w:rFonts w:hint="eastAsia" w:ascii="仿宋" w:hAnsi="仿宋" w:eastAsia="仿宋" w:cs="仿宋"/>
                <w:sz w:val="24"/>
                <w:szCs w:val="24"/>
              </w:rPr>
            </w:pPr>
          </w:p>
        </w:tc>
        <w:tc>
          <w:tcPr>
            <w:tcW w:w="3904" w:type="pct"/>
            <w:vAlign w:val="center"/>
          </w:tcPr>
          <w:p w14:paraId="728368A2">
            <w:pPr>
              <w:shd w:val="clear" w:color="auto" w:fill="FFFFFF"/>
              <w:spacing w:line="480" w:lineRule="exact"/>
              <w:jc w:val="center"/>
              <w:rPr>
                <w:rFonts w:hint="eastAsia" w:ascii="仿宋" w:hAnsi="仿宋" w:eastAsia="仿宋" w:cs="仿宋"/>
                <w:sz w:val="24"/>
                <w:szCs w:val="24"/>
              </w:rPr>
            </w:pPr>
            <w:r>
              <w:rPr>
                <w:rFonts w:hint="eastAsia" w:ascii="仿宋" w:hAnsi="仿宋" w:eastAsia="仿宋" w:cs="仿宋"/>
                <w:sz w:val="24"/>
                <w:szCs w:val="24"/>
              </w:rPr>
              <w:t>档案分类角标，6人/张</w:t>
            </w:r>
          </w:p>
        </w:tc>
      </w:tr>
      <w:tr w14:paraId="620BD7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95" w:type="pct"/>
            <w:vMerge w:val="continue"/>
            <w:vAlign w:val="center"/>
          </w:tcPr>
          <w:p w14:paraId="048E640B">
            <w:pPr>
              <w:shd w:val="clear" w:color="auto" w:fill="FFFFFF"/>
              <w:spacing w:line="480" w:lineRule="exact"/>
              <w:jc w:val="center"/>
              <w:rPr>
                <w:rFonts w:hint="eastAsia" w:ascii="仿宋" w:hAnsi="仿宋" w:eastAsia="仿宋" w:cs="仿宋"/>
                <w:sz w:val="24"/>
                <w:szCs w:val="24"/>
              </w:rPr>
            </w:pPr>
          </w:p>
        </w:tc>
        <w:tc>
          <w:tcPr>
            <w:tcW w:w="3904" w:type="pct"/>
            <w:vAlign w:val="center"/>
          </w:tcPr>
          <w:p w14:paraId="65A0B9FC">
            <w:pPr>
              <w:shd w:val="clear" w:color="auto" w:fill="FFFFFF"/>
              <w:spacing w:line="480" w:lineRule="exact"/>
              <w:jc w:val="center"/>
              <w:rPr>
                <w:rFonts w:hint="eastAsia" w:ascii="仿宋" w:hAnsi="仿宋" w:eastAsia="仿宋" w:cs="仿宋"/>
                <w:sz w:val="24"/>
                <w:szCs w:val="24"/>
              </w:rPr>
            </w:pPr>
            <w:r>
              <w:rPr>
                <w:rFonts w:hint="eastAsia" w:ascii="仿宋" w:hAnsi="仿宋" w:eastAsia="仿宋" w:cs="仿宋"/>
                <w:sz w:val="24"/>
                <w:szCs w:val="24"/>
              </w:rPr>
              <w:t>固体胶</w:t>
            </w:r>
          </w:p>
        </w:tc>
      </w:tr>
    </w:tbl>
    <w:p w14:paraId="7B45299D">
      <w:pPr>
        <w:shd w:val="clear" w:color="auto" w:fill="FFFFFF"/>
        <w:spacing w:line="480" w:lineRule="exact"/>
        <w:ind w:firstLine="641"/>
        <w:rPr>
          <w:rFonts w:hint="eastAsia" w:ascii="仿宋" w:hAnsi="仿宋" w:eastAsia="仿宋" w:cs="仿宋"/>
          <w:b/>
          <w:bCs/>
          <w:sz w:val="24"/>
          <w:szCs w:val="24"/>
          <w:lang w:eastAsia="zh-CN"/>
        </w:rPr>
      </w:pPr>
      <w:r>
        <w:rPr>
          <w:rFonts w:hint="eastAsia" w:ascii="仿宋" w:hAnsi="仿宋" w:eastAsia="仿宋" w:cs="仿宋"/>
          <w:sz w:val="24"/>
          <w:szCs w:val="24"/>
          <w:lang w:eastAsia="zh-CN"/>
        </w:rPr>
        <w:t>注：以上表格内供应商自备的电脑、打印机、扫描仪，服务完成后由供应商自行带回；各类物料、耗材（办公用品、档案加工物品）均由供应商自行配备，供应商须足额提供，保障现场服务工作正常开展，不得因物资短缺影响作业进度。</w:t>
      </w:r>
    </w:p>
    <w:p w14:paraId="275A78D4">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b/>
          <w:bCs/>
          <w:sz w:val="24"/>
          <w:szCs w:val="24"/>
          <w:lang w:eastAsia="zh-CN"/>
        </w:rPr>
        <w:t>（3）干部人事档案管理一体机</w:t>
      </w:r>
    </w:p>
    <w:p w14:paraId="54DA1C2E">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sz w:val="24"/>
          <w:szCs w:val="24"/>
          <w:lang w:eastAsia="zh-CN"/>
        </w:rPr>
        <w:t>①内置干部人事档案管理软件、数据库、操作系统、WPS等。须搭配两台CPU，板载双口千兆RJ45网卡，不少于2个散热片，600W单电源、配备不少于3个接口（DVD刻录光驱、键盘、鼠标等），不低于150cm国标电源线。</w:t>
      </w:r>
    </w:p>
    <w:p w14:paraId="4E77EF45">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sz w:val="24"/>
          <w:szCs w:val="24"/>
          <w:lang w:eastAsia="zh-CN"/>
        </w:rPr>
        <w:t>②内存：不低于DDR4、3200MHZ，配备2套不低于16G的内存条；</w:t>
      </w:r>
    </w:p>
    <w:p w14:paraId="6A230CBF">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sz w:val="24"/>
          <w:szCs w:val="24"/>
          <w:lang w:eastAsia="zh-CN"/>
        </w:rPr>
        <w:t>③硬盘：配备两套不低于480GB固态硬盘+不低于4T机械硬盘；</w:t>
      </w:r>
    </w:p>
    <w:p w14:paraId="5DACDDB1">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sz w:val="24"/>
          <w:szCs w:val="24"/>
          <w:lang w:eastAsia="zh-CN"/>
        </w:rPr>
        <w:t>④显示器尺寸不小于24英寸。</w:t>
      </w:r>
    </w:p>
    <w:p w14:paraId="4BC1B521">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sz w:val="24"/>
          <w:szCs w:val="24"/>
          <w:lang w:eastAsia="zh-CN"/>
        </w:rPr>
        <w:t>⑤配备人事档案管理一体化平台所具备的功能：</w:t>
      </w:r>
    </w:p>
    <w:p w14:paraId="614E870E">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sz w:val="24"/>
          <w:szCs w:val="24"/>
          <w:lang w:eastAsia="zh-CN"/>
        </w:rPr>
        <w:t>干部人事档案管理信息系统，须具有干部人员管理、干部数字档案、干部档案检索、档案材料管理、档案日常管理、档案统计分析、档案查借阅、系统维护、系统安全等功能，可实现人事档案资料的收、管、存、用业务。</w:t>
      </w:r>
    </w:p>
    <w:p w14:paraId="1CA01CA6">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sz w:val="24"/>
          <w:szCs w:val="24"/>
          <w:lang w:eastAsia="zh-CN"/>
        </w:rPr>
        <w:t>系统能够针对干部数字档案进行信息添加、删除、保存、人员信息采集、数字档案管理等操作。能够针对档案名册进行管理，可以进行静态名册、动态名册的操作，并可以进行添加、删除等操作。能够进行检索操作，并且可以进行收藏、导出等操作。能够通过档案接收、档案传递、档案在线预审等，完成档案日常管理功能。维护能够通过机构人员调整、组织机构管理、管档范围设置、数据授权等子功能完成档案日常管理功能。</w:t>
      </w:r>
    </w:p>
    <w:p w14:paraId="4577C9BF">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sz w:val="24"/>
          <w:szCs w:val="24"/>
          <w:lang w:eastAsia="zh-CN"/>
        </w:rPr>
        <w:t>(a)干部人员管理模块应具备干部基本信息、干部职务变动、组织机构管理、回收站等功能；</w:t>
      </w:r>
    </w:p>
    <w:p w14:paraId="1F837C21">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sz w:val="24"/>
          <w:szCs w:val="24"/>
          <w:lang w:eastAsia="zh-CN"/>
        </w:rPr>
        <w:t>(b)干部数字档案模块应具备干部数字档案、目录信息、档案扫描、图像处理、优化处理、整卷浏览、数据处理等功能；</w:t>
      </w:r>
    </w:p>
    <w:p w14:paraId="123DCC5E">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sz w:val="24"/>
          <w:szCs w:val="24"/>
          <w:lang w:eastAsia="zh-CN"/>
        </w:rPr>
        <w:t>(c)干部档案检索模块应具备档案人员检索、档案目录检索等功能；</w:t>
      </w:r>
    </w:p>
    <w:p w14:paraId="67D5E579">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sz w:val="24"/>
          <w:szCs w:val="24"/>
          <w:lang w:eastAsia="zh-CN"/>
        </w:rPr>
        <w:t>(d)档案材料管理模块应具备材料接收、材料审核、材料归档、材料转递、台账管理等功能；</w:t>
      </w:r>
    </w:p>
    <w:p w14:paraId="13D13D0F">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sz w:val="24"/>
          <w:szCs w:val="24"/>
          <w:lang w:eastAsia="zh-CN"/>
        </w:rPr>
        <w:t>(e)档案统计分析模块应具备数据概览、档案库存情况、档案业务分析、档案更新统计等功能；</w:t>
      </w:r>
    </w:p>
    <w:p w14:paraId="5D2023B7">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sz w:val="24"/>
          <w:szCs w:val="24"/>
          <w:lang w:eastAsia="zh-CN"/>
        </w:rPr>
        <w:t>(f)档案查借阅模块应具备纸质档案查阅登记、纸质档案借阅登记、纸质档案查借阅管理等功能；</w:t>
      </w:r>
    </w:p>
    <w:p w14:paraId="35071752">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sz w:val="24"/>
          <w:szCs w:val="24"/>
          <w:lang w:eastAsia="zh-CN"/>
        </w:rPr>
        <w:t>(g)系统维护模块应具备工作台管理、系统参数设置、IP白名单、系统用户管理等功能；</w:t>
      </w:r>
    </w:p>
    <w:p w14:paraId="6C167795">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sz w:val="24"/>
          <w:szCs w:val="24"/>
          <w:lang w:eastAsia="zh-CN"/>
        </w:rPr>
        <w:t>(h)系统安全模块应具备图像文件加密技术、特定计算机绑定技术、UMSP文件加密传输技术、分区域授权、电子文件阅读服务、数字水印技术（水印可定制）等功能。</w:t>
      </w:r>
    </w:p>
    <w:p w14:paraId="34F68451">
      <w:pPr>
        <w:shd w:val="clear" w:color="auto" w:fill="FFFFFF"/>
        <w:spacing w:line="480" w:lineRule="exact"/>
        <w:ind w:firstLine="641"/>
        <w:rPr>
          <w:rFonts w:hint="eastAsia" w:ascii="仿宋" w:hAnsi="仿宋" w:eastAsia="仿宋" w:cs="仿宋"/>
          <w:b/>
          <w:bCs/>
          <w:sz w:val="24"/>
          <w:szCs w:val="24"/>
          <w:lang w:eastAsia="zh-CN"/>
        </w:rPr>
      </w:pPr>
      <w:r>
        <w:rPr>
          <w:rFonts w:hint="eastAsia" w:ascii="仿宋" w:hAnsi="仿宋" w:eastAsia="仿宋" w:cs="仿宋"/>
          <w:b/>
          <w:bCs/>
          <w:sz w:val="24"/>
          <w:szCs w:val="24"/>
          <w:lang w:eastAsia="zh-CN"/>
        </w:rPr>
        <w:t>（4）文档数字化设备（2台）</w:t>
      </w:r>
    </w:p>
    <w:p w14:paraId="703EF48F">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sz w:val="24"/>
          <w:szCs w:val="24"/>
          <w:lang w:eastAsia="zh-CN"/>
        </w:rPr>
        <w:t>①具有A3平板扫描功能；</w:t>
      </w:r>
    </w:p>
    <w:p w14:paraId="3A3909AF">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sz w:val="24"/>
          <w:szCs w:val="24"/>
          <w:lang w:eastAsia="zh-CN"/>
        </w:rPr>
        <w:t>②支持国产操作系统；</w:t>
      </w:r>
    </w:p>
    <w:p w14:paraId="3935629B">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sz w:val="24"/>
          <w:szCs w:val="24"/>
          <w:lang w:eastAsia="zh-CN"/>
        </w:rPr>
        <w:t>③内存：512MB以上；</w:t>
      </w:r>
    </w:p>
    <w:p w14:paraId="50149A97">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sz w:val="24"/>
          <w:szCs w:val="24"/>
          <w:lang w:eastAsia="zh-CN"/>
        </w:rPr>
        <w:t>④最大扫描区域＞300*430mm。</w:t>
      </w:r>
    </w:p>
    <w:p w14:paraId="417B7B3B">
      <w:pPr>
        <w:shd w:val="clear" w:color="auto" w:fill="FFFFFF"/>
        <w:spacing w:line="480" w:lineRule="exact"/>
        <w:ind w:firstLine="641"/>
        <w:rPr>
          <w:rFonts w:hint="eastAsia" w:ascii="仿宋" w:hAnsi="仿宋" w:eastAsia="仿宋" w:cs="仿宋"/>
          <w:b/>
          <w:bCs/>
          <w:sz w:val="24"/>
          <w:szCs w:val="24"/>
          <w:lang w:eastAsia="zh-CN"/>
        </w:rPr>
      </w:pPr>
      <w:r>
        <w:rPr>
          <w:rFonts w:hint="eastAsia" w:ascii="仿宋" w:hAnsi="仿宋" w:eastAsia="仿宋" w:cs="仿宋"/>
          <w:b/>
          <w:bCs/>
          <w:sz w:val="24"/>
          <w:szCs w:val="24"/>
          <w:lang w:eastAsia="zh-CN"/>
        </w:rPr>
        <w:t>（5）移动硬盘</w:t>
      </w:r>
    </w:p>
    <w:p w14:paraId="3933613F">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sz w:val="24"/>
          <w:szCs w:val="24"/>
          <w:lang w:eastAsia="zh-CN"/>
        </w:rPr>
        <w:t xml:space="preserve">①内存：不低于4TB； </w:t>
      </w:r>
    </w:p>
    <w:p w14:paraId="03268D6D">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sz w:val="24"/>
          <w:szCs w:val="24"/>
          <w:lang w:eastAsia="zh-CN"/>
        </w:rPr>
        <w:t>②USB3.0 移动硬盘。</w:t>
      </w:r>
    </w:p>
    <w:p w14:paraId="790C3269">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b/>
          <w:bCs/>
          <w:sz w:val="24"/>
          <w:szCs w:val="24"/>
          <w:lang w:eastAsia="zh-CN"/>
        </w:rPr>
        <w:t>（6）打孔机（2台）</w:t>
      </w:r>
    </w:p>
    <w:p w14:paraId="63F6DF9B">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sz w:val="24"/>
          <w:szCs w:val="24"/>
          <w:lang w:eastAsia="zh-CN"/>
        </w:rPr>
        <w:t>①打孔能力：不低于150张70g的A4纸；</w:t>
      </w:r>
    </w:p>
    <w:p w14:paraId="10ED18A6">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sz w:val="24"/>
          <w:szCs w:val="24"/>
          <w:lang w:eastAsia="zh-CN"/>
        </w:rPr>
        <w:t>②孔距：83mm；</w:t>
      </w:r>
    </w:p>
    <w:p w14:paraId="72D75BE3">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sz w:val="24"/>
          <w:szCs w:val="24"/>
          <w:lang w:eastAsia="zh-CN"/>
        </w:rPr>
        <w:t>③孔径：5mm；</w:t>
      </w:r>
    </w:p>
    <w:p w14:paraId="4AED0D86">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sz w:val="24"/>
          <w:szCs w:val="24"/>
          <w:lang w:eastAsia="zh-CN"/>
        </w:rPr>
        <w:t>④加装切纸刀。</w:t>
      </w:r>
    </w:p>
    <w:p w14:paraId="032CA37A">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b/>
          <w:bCs/>
          <w:sz w:val="24"/>
          <w:szCs w:val="24"/>
          <w:lang w:eastAsia="zh-CN"/>
        </w:rPr>
        <w:t>（7）文件销毁设备</w:t>
      </w:r>
    </w:p>
    <w:p w14:paraId="628831F8">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sz w:val="24"/>
          <w:szCs w:val="24"/>
          <w:lang w:eastAsia="zh-CN"/>
        </w:rPr>
        <w:t>①持续工作时间不低于60分钟；</w:t>
      </w:r>
    </w:p>
    <w:p w14:paraId="1DF1EF35">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sz w:val="24"/>
          <w:szCs w:val="24"/>
          <w:lang w:eastAsia="zh-CN"/>
        </w:rPr>
        <w:t>②单次入纸不低于18张；</w:t>
      </w:r>
    </w:p>
    <w:p w14:paraId="65729540">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sz w:val="24"/>
          <w:szCs w:val="24"/>
          <w:lang w:eastAsia="zh-CN"/>
        </w:rPr>
        <w:t>③容量不低于30L。</w:t>
      </w:r>
    </w:p>
    <w:p w14:paraId="77D49FA6">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sz w:val="24"/>
          <w:szCs w:val="24"/>
          <w:lang w:eastAsia="zh-CN"/>
        </w:rPr>
        <w:t>④可碎介质包含：A4纸、光盘、回形针等。</w:t>
      </w:r>
    </w:p>
    <w:p w14:paraId="32FD969F">
      <w:pPr>
        <w:shd w:val="clear" w:color="auto" w:fill="FFFFFF"/>
        <w:spacing w:line="480" w:lineRule="exact"/>
        <w:ind w:firstLine="641"/>
        <w:rPr>
          <w:rFonts w:hint="eastAsia" w:ascii="仿宋" w:hAnsi="仿宋" w:eastAsia="仿宋" w:cs="仿宋"/>
          <w:b/>
          <w:bCs/>
          <w:sz w:val="24"/>
          <w:szCs w:val="24"/>
          <w:lang w:eastAsia="zh-CN"/>
        </w:rPr>
      </w:pPr>
      <w:r>
        <w:rPr>
          <w:rFonts w:hint="eastAsia" w:ascii="仿宋" w:hAnsi="仿宋" w:eastAsia="仿宋" w:cs="仿宋"/>
          <w:b/>
          <w:bCs/>
          <w:sz w:val="24"/>
          <w:szCs w:val="24"/>
          <w:lang w:eastAsia="zh-CN"/>
        </w:rPr>
        <w:t>注：以上（3）-（7）项设备均须提供国产设备，项目履约完毕后设备产权归属采购人。</w:t>
      </w:r>
    </w:p>
    <w:p w14:paraId="45881A38">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b/>
          <w:bCs/>
          <w:sz w:val="24"/>
          <w:szCs w:val="24"/>
          <w:lang w:eastAsia="zh-CN"/>
        </w:rPr>
        <w:t>（8）LED及回转柜维修服务要求</w:t>
      </w:r>
    </w:p>
    <w:p w14:paraId="1162A2A0">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sz w:val="24"/>
          <w:szCs w:val="24"/>
          <w:lang w:eastAsia="zh-CN"/>
        </w:rPr>
        <w:t>①供应商负责对采购人档室上方的LED显示屏进行故障排查、维修及必要的部件更换，确保显示屏恢复正常显示功能。具体工作包括但不限于：委托当地维修人员检测电源、控制卡、单元板、排线等硬件故障，修复或更换损坏组件，并清理内部灰尘、整理线路。维修完成后，乙方需保证显示屏能够稳定、清晰、连续正常运行，满足甲方查档室日常信息发布及指示需求。</w:t>
      </w:r>
    </w:p>
    <w:p w14:paraId="10058428">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sz w:val="24"/>
          <w:szCs w:val="24"/>
          <w:lang w:eastAsia="zh-CN"/>
        </w:rPr>
        <w:t>②更换灯条6个，加维护保养10组回转柜</w:t>
      </w:r>
    </w:p>
    <w:p w14:paraId="3EABB691">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sz w:val="24"/>
          <w:szCs w:val="24"/>
          <w:lang w:eastAsia="zh-CN"/>
        </w:rPr>
        <w:t>③维护保养项目：传动机构润滑处理、已磨损较严重滚轮的更换、传动链条的松紧度调节、紧固件连接的检查、控制系统的线路检修等。</w:t>
      </w:r>
    </w:p>
    <w:p w14:paraId="5C87AFD1">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sz w:val="24"/>
          <w:szCs w:val="24"/>
          <w:lang w:eastAsia="zh-CN"/>
        </w:rPr>
        <w:t>④供应商承诺所有维修更换的配件均为原厂或同等质量合格配件，整屏维修后提供自验收合格之日起不少于6个月的免费质保期。质保期内因维修质量或更换配件本身问题导致的同一故障，供应商应在接到通知后24小时内免费返修。</w:t>
      </w:r>
    </w:p>
    <w:p w14:paraId="5C70C847">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sz w:val="24"/>
          <w:szCs w:val="24"/>
          <w:lang w:eastAsia="zh-CN"/>
        </w:rPr>
        <w:t>⑤档案回转柜灯带因尺寸、电压、安装结构与柜体不匹配无法使用的，供应商无偿重新定制供货、拆除重做。</w:t>
      </w:r>
    </w:p>
    <w:p w14:paraId="6DC04673">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sz w:val="24"/>
          <w:szCs w:val="24"/>
          <w:lang w:eastAsia="zh-CN"/>
        </w:rPr>
        <w:t>⑥维修完成后由采购人现场验收，签字确认后视为交付。质保期内若显示屏出现非采购人人为造成的显示异常、黑屏、闪烁等问题，需免费维修。</w:t>
      </w:r>
    </w:p>
    <w:p w14:paraId="045B90E2">
      <w:pPr>
        <w:shd w:val="clear" w:color="auto" w:fill="FFFFFF"/>
        <w:spacing w:line="480" w:lineRule="exact"/>
        <w:ind w:firstLine="641"/>
        <w:rPr>
          <w:rFonts w:hint="eastAsia" w:ascii="仿宋" w:hAnsi="仿宋" w:eastAsia="仿宋" w:cs="仿宋"/>
          <w:b/>
          <w:bCs/>
          <w:sz w:val="24"/>
          <w:szCs w:val="24"/>
          <w:lang w:eastAsia="zh-CN"/>
        </w:rPr>
      </w:pPr>
      <w:r>
        <w:rPr>
          <w:rFonts w:hint="eastAsia" w:ascii="仿宋" w:hAnsi="仿宋" w:eastAsia="仿宋" w:cs="仿宋"/>
          <w:b/>
          <w:bCs/>
          <w:sz w:val="24"/>
          <w:szCs w:val="24"/>
          <w:lang w:eastAsia="zh-CN"/>
        </w:rPr>
        <w:t>（9）数据对接要求</w:t>
      </w:r>
    </w:p>
    <w:p w14:paraId="47D1DF2E">
      <w:pPr>
        <w:shd w:val="clear" w:color="auto" w:fill="FFFFFF"/>
        <w:spacing w:line="480" w:lineRule="exact"/>
        <w:ind w:firstLine="641"/>
        <w:rPr>
          <w:rFonts w:hint="eastAsia" w:ascii="仿宋" w:hAnsi="仿宋" w:eastAsia="仿宋" w:cs="仿宋"/>
          <w:sz w:val="24"/>
          <w:szCs w:val="24"/>
          <w:u w:val="single"/>
          <w:lang w:eastAsia="zh-CN"/>
        </w:rPr>
      </w:pPr>
      <w:r>
        <w:rPr>
          <w:rFonts w:hint="eastAsia" w:ascii="仿宋" w:hAnsi="仿宋" w:eastAsia="仿宋" w:cs="仿宋"/>
          <w:sz w:val="24"/>
          <w:szCs w:val="24"/>
          <w:lang w:eastAsia="zh-CN"/>
        </w:rPr>
        <w:t>供应商所加工的干部人事档案数据产品，须严格遵循上级管理部门人事档案管理软件的技术规范、数据元标准，实现无缝集成。数据产品须100%适配省委组织部干部人事档案管理系统的数据结构并导入省委组织部干部人事档案管理系统内。因数据集成、系统对接产生的全部费用，均由成交供应商承担（包括但不限于上级系统接口开发调试费、第三方技术适配服务费、数据加密传输采购费、对接过程中的测试验证费等）。若供应商出现无法对接且逾期30个工作日仍无法处理的，采购人有权单方解除项目合同，收回已支付的项目款项，并要求成交供应商赔偿采购人因项目停滞产生的全部损失。【</w:t>
      </w:r>
      <w:r>
        <w:rPr>
          <w:rFonts w:hint="eastAsia" w:ascii="仿宋" w:hAnsi="仿宋" w:eastAsia="仿宋" w:cs="仿宋"/>
          <w:b/>
          <w:bCs/>
          <w:sz w:val="24"/>
          <w:szCs w:val="24"/>
          <w:lang w:eastAsia="zh-CN"/>
        </w:rPr>
        <w:t>供应商须提供此项（数据对接要求）承诺函（格式自拟），未提供或提供内容不符合要求的，作无效响应处理。</w:t>
      </w:r>
      <w:r>
        <w:rPr>
          <w:rFonts w:hint="eastAsia" w:ascii="仿宋" w:hAnsi="仿宋" w:eastAsia="仿宋" w:cs="仿宋"/>
          <w:sz w:val="24"/>
          <w:szCs w:val="24"/>
          <w:lang w:eastAsia="zh-CN"/>
        </w:rPr>
        <w:t>】</w:t>
      </w:r>
    </w:p>
    <w:p w14:paraId="596BC093">
      <w:pPr>
        <w:shd w:val="clear" w:color="auto" w:fill="FFFFFF"/>
        <w:spacing w:line="620" w:lineRule="exact"/>
        <w:ind w:firstLine="641"/>
        <w:rPr>
          <w:rFonts w:hint="eastAsia" w:ascii="仿宋" w:hAnsi="仿宋" w:eastAsia="仿宋" w:cs="仿宋"/>
          <w:sz w:val="24"/>
          <w:szCs w:val="24"/>
          <w:lang w:eastAsia="zh-CN"/>
        </w:rPr>
      </w:pPr>
      <w:r>
        <w:rPr>
          <w:rFonts w:hint="eastAsia" w:ascii="仿宋" w:hAnsi="仿宋" w:eastAsia="仿宋" w:cs="仿宋"/>
          <w:b/>
          <w:bCs/>
          <w:sz w:val="24"/>
          <w:szCs w:val="24"/>
          <w:lang w:eastAsia="zh-CN"/>
        </w:rPr>
        <w:t>（10）项目保密要求</w:t>
      </w:r>
    </w:p>
    <w:p w14:paraId="15C7B194">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sz w:val="24"/>
          <w:szCs w:val="24"/>
          <w:lang w:eastAsia="zh-CN"/>
        </w:rPr>
        <w:t>供应商严格遵守中央组织部、国家保密局下发的《组织工作中国家秘密及其密级具体范围的规定》（中组发[2001]14号），不得擅自扩散和公布。为保证保密安全零风险，保障国家秘密不泄露，特要求响应供应商做好保密工作。</w:t>
      </w:r>
    </w:p>
    <w:p w14:paraId="28F43D01">
      <w:pPr>
        <w:shd w:val="clear" w:color="auto" w:fill="FFFFFF"/>
        <w:spacing w:line="620" w:lineRule="exact"/>
        <w:ind w:firstLine="641"/>
        <w:rPr>
          <w:rFonts w:hint="eastAsia" w:ascii="仿宋" w:hAnsi="仿宋" w:eastAsia="仿宋" w:cs="仿宋"/>
          <w:b/>
          <w:bCs/>
          <w:sz w:val="24"/>
          <w:szCs w:val="24"/>
          <w:lang w:eastAsia="zh-CN"/>
        </w:rPr>
      </w:pPr>
      <w:r>
        <w:rPr>
          <w:rFonts w:hint="eastAsia" w:ascii="仿宋" w:hAnsi="仿宋" w:eastAsia="仿宋" w:cs="仿宋"/>
          <w:b/>
          <w:bCs/>
          <w:sz w:val="24"/>
          <w:szCs w:val="24"/>
          <w:lang w:eastAsia="zh-CN"/>
        </w:rPr>
        <w:t>（11）团队人员</w:t>
      </w:r>
    </w:p>
    <w:p w14:paraId="3CD518B8">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sz w:val="24"/>
          <w:szCs w:val="24"/>
          <w:lang w:eastAsia="zh-CN"/>
        </w:rPr>
        <w:t>①供应商须为本项目专项组建固定专职服务团队，派驻现场服务总人数不得少于4人，所有派驻人员均为供应商本单位在职在岗人员，不得临时外聘、临时抽调非专职人员顶岗。</w:t>
      </w:r>
    </w:p>
    <w:p w14:paraId="56221E03">
      <w:pPr>
        <w:shd w:val="clear" w:color="auto" w:fill="FFFFFF"/>
        <w:spacing w:line="480" w:lineRule="exact"/>
        <w:ind w:firstLine="641"/>
        <w:rPr>
          <w:rFonts w:hint="eastAsia" w:ascii="仿宋" w:hAnsi="仿宋" w:eastAsia="仿宋" w:cs="仿宋"/>
          <w:sz w:val="24"/>
          <w:szCs w:val="24"/>
          <w:lang w:eastAsia="zh-CN"/>
        </w:rPr>
      </w:pPr>
      <w:r>
        <w:rPr>
          <w:rFonts w:hint="eastAsia" w:ascii="仿宋" w:hAnsi="仿宋" w:eastAsia="仿宋" w:cs="仿宋"/>
          <w:sz w:val="24"/>
          <w:szCs w:val="24"/>
          <w:lang w:eastAsia="zh-CN"/>
        </w:rPr>
        <w:t>②全体驻场人员须熟悉干部人事档案管理政策、档案整理规范、数字化扫描标准、图像质检要求与涉密场所作业纪律，熟练掌握档案拆订、分类排序、页面规整、高清扫描、图像处理、条目著录、数据校对、档案复原装订等全流程实操业务。</w:t>
      </w:r>
    </w:p>
    <w:p w14:paraId="75E64AC1">
      <w:pPr>
        <w:shd w:val="clear" w:color="auto" w:fill="FFFFFF"/>
        <w:spacing w:line="480" w:lineRule="exact"/>
        <w:ind w:firstLine="641"/>
        <w:rPr>
          <w:rFonts w:hint="eastAsia" w:ascii="仿宋" w:hAnsi="仿宋" w:eastAsia="仿宋" w:cs="仿宋"/>
          <w:b/>
          <w:bCs/>
          <w:spacing w:val="-2"/>
          <w:sz w:val="24"/>
          <w:szCs w:val="24"/>
          <w:lang w:eastAsia="zh-CN"/>
        </w:rPr>
      </w:pPr>
      <w:r>
        <w:rPr>
          <w:rFonts w:hint="eastAsia" w:ascii="仿宋" w:hAnsi="仿宋" w:eastAsia="仿宋" w:cs="仿宋"/>
          <w:sz w:val="24"/>
          <w:szCs w:val="24"/>
          <w:lang w:eastAsia="zh-CN"/>
        </w:rPr>
        <w:t>③团队人员需严格遵守采购人内部管理规定、涉密场所管理要求及保密工作纪律，严格落实档案实体与涉密数据双重保密管控，严禁私自翻拍、外传、拷贝档案资料及相关涉密数据，认真做好档案交接登记、作业台账记录、质量自查整改等工作。服务期间服从采购人现场工作统筹与进度安排，按时按量完成档案清点整理、数字化加工、质量复核、成果归集交付等全部服务内容，全力保障项目实施质量、作业效率与涉密安全，确保最终数字化成果符合验收标准及日常档案管理使用要求。</w:t>
      </w:r>
    </w:p>
    <w:p w14:paraId="1ECEBD02">
      <w:pPr>
        <w:shd w:val="clear" w:color="auto" w:fill="FFFFFF"/>
        <w:spacing w:line="480" w:lineRule="exact"/>
        <w:ind w:firstLine="641"/>
        <w:rPr>
          <w:rFonts w:hint="eastAsia" w:ascii="仿宋" w:hAnsi="仿宋" w:eastAsia="仿宋" w:cs="仿宋"/>
          <w:b/>
          <w:bCs/>
          <w:sz w:val="24"/>
          <w:szCs w:val="24"/>
          <w:lang w:eastAsia="zh-CN"/>
        </w:rPr>
      </w:pPr>
    </w:p>
    <w:p w14:paraId="4E530E44">
      <w:pPr>
        <w:shd w:val="clear" w:color="auto" w:fill="FFFFFF"/>
        <w:spacing w:line="480" w:lineRule="exact"/>
        <w:ind w:firstLine="641"/>
      </w:pPr>
      <w:r>
        <w:rPr>
          <w:rFonts w:hint="eastAsia" w:ascii="仿宋" w:hAnsi="仿宋" w:eastAsia="仿宋" w:cs="仿宋"/>
          <w:b/>
          <w:bCs/>
          <w:sz w:val="24"/>
          <w:szCs w:val="24"/>
          <w:lang w:eastAsia="zh-CN"/>
        </w:rPr>
        <w:t>注：以上服务要求供应商必须完全响应，否则作无效响应处理。</w:t>
      </w:r>
      <w:bookmarkStart w:id="1" w:name="_GoBack"/>
      <w:bookmarkEnd w:id="1"/>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MS PGothic">
    <w:panose1 w:val="020B0600070205080204"/>
    <w:charset w:val="80"/>
    <w:family w:val="auto"/>
    <w:pitch w:val="default"/>
    <w:sig w:usb0="E00002FF" w:usb1="6AC7FDFB" w:usb2="08000012" w:usb3="00000000" w:csb0="4002009F" w:csb1="DFD7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E855A4F"/>
    <w:rsid w:val="1CC349CD"/>
    <w:rsid w:val="6E855A4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Arial" w:hAnsi="Arial" w:eastAsia="Arial" w:cs="Arial"/>
      <w:snapToGrid w:val="0"/>
      <w:color w:val="000000"/>
      <w:sz w:val="21"/>
      <w:szCs w:val="21"/>
      <w:lang w:val="en-US" w:eastAsia="en-US"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9</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2026-06-05T08:26:00Z</dcterms:created>
  <dc:creator>liyufan</dc:creator>
  <cp:lastModifiedBy>liyufan</cp:lastModifiedBy>
  <dcterms:modified xsi:type="dcterms:W3CDTF">2026-06-05T08:27:08Z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1DEBB28117C741C690E75DA56421A38D_11</vt:lpwstr>
  </property>
  <property fmtid="{D5CDD505-2E9C-101B-9397-08002B2CF9AE}" pid="4" name="KSOTemplateDocerSaveRecord">
    <vt:lpwstr>eyJoZGlkIjoiOGQ1NWRhZjUyM2M4ZDU5YWM1MjEzNTFiMjU1MGMyNGEiLCJ1c2VySWQiOiI2ODgwMDAxNDEifQ==</vt:lpwstr>
  </property>
</Properties>
</file>