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97A3F4">
      <w:pPr>
        <w:widowControl w:val="0"/>
        <w:spacing w:before="63" w:line="224" w:lineRule="auto"/>
        <w:jc w:val="center"/>
        <w:rPr>
          <w:rFonts w:hint="eastAsia" w:ascii="宋体" w:hAnsi="宋体" w:eastAsia="宋体" w:cs="宋体"/>
          <w:color w:val="auto"/>
          <w:sz w:val="31"/>
          <w:szCs w:val="31"/>
          <w:highlight w:val="none"/>
          <w:lang w:eastAsia="zh-CN"/>
        </w:rPr>
      </w:pPr>
      <w:bookmarkStart w:id="7" w:name="_GoBack"/>
      <w:bookmarkEnd w:id="7"/>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476B8C8F">
      <w:pPr>
        <w:widowControl w:val="0"/>
        <w:spacing w:before="78" w:line="220" w:lineRule="auto"/>
        <w:outlineLvl w:val="1"/>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pPr>
    </w:p>
    <w:p w14:paraId="6BBCF70D">
      <w:pPr>
        <w:widowControl w:val="0"/>
        <w:spacing w:before="78" w:after="240" w:afterLines="100" w:line="220" w:lineRule="auto"/>
        <w:jc w:val="center"/>
        <w:outlineLvl w:val="1"/>
        <w:rPr>
          <w:color w:val="auto"/>
          <w:highlight w:val="none"/>
        </w:rPr>
      </w:pP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5"/>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44C95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5DB5C5C7">
            <w:pPr>
              <w:spacing w:line="360" w:lineRule="auto"/>
              <w:ind w:firstLine="465"/>
              <w:rPr>
                <w:rFonts w:hint="eastAsia" w:asciiTheme="minorEastAsia" w:hAnsiTheme="minorEastAsia" w:eastAsiaTheme="minorEastAsia" w:cstheme="minorEastAsia"/>
                <w:color w:val="auto"/>
                <w:sz w:val="24"/>
                <w:highlight w:val="none"/>
              </w:rPr>
            </w:pPr>
          </w:p>
          <w:p w14:paraId="49810CCF">
            <w:pPr>
              <w:spacing w:line="360" w:lineRule="auto"/>
              <w:ind w:firstLine="1300" w:firstLineChars="542"/>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4E8355A0">
            <w:pPr>
              <w:spacing w:line="360" w:lineRule="auto"/>
              <w:ind w:firstLine="465"/>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0D55809A">
            <w:pPr>
              <w:spacing w:line="900" w:lineRule="exact"/>
              <w:ind w:firstLine="1440" w:firstLineChars="600"/>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详见“第一章谈判邀请”</w:t>
            </w:r>
          </w:p>
        </w:tc>
      </w:tr>
      <w:tr w14:paraId="3CE43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F5DE23E">
            <w:pPr>
              <w:spacing w:line="900" w:lineRule="exact"/>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D5439AE">
            <w:pPr>
              <w:spacing w:line="900" w:lineRule="exact"/>
              <w:jc w:val="center"/>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详见第五章中的“采购要求”</w:t>
            </w:r>
          </w:p>
        </w:tc>
      </w:tr>
      <w:tr w14:paraId="72CE1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34E2AA66">
            <w:pPr>
              <w:spacing w:line="900" w:lineRule="exact"/>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工期</w:t>
            </w:r>
          </w:p>
        </w:tc>
        <w:tc>
          <w:tcPr>
            <w:tcW w:w="6368" w:type="dxa"/>
            <w:tcBorders>
              <w:right w:val="single" w:color="auto" w:sz="4" w:space="0"/>
            </w:tcBorders>
            <w:vAlign w:val="center"/>
          </w:tcPr>
          <w:p w14:paraId="5AAD6DBF">
            <w:pPr>
              <w:spacing w:line="900" w:lineRule="exact"/>
              <w:jc w:val="center"/>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详见第五章中的“商务条款”</w:t>
            </w:r>
          </w:p>
        </w:tc>
      </w:tr>
      <w:tr w14:paraId="4A10D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1994DD33">
            <w:pPr>
              <w:spacing w:line="900" w:lineRule="exact"/>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eastAsia="zh-CN"/>
              </w:rPr>
              <w:t>工程</w:t>
            </w:r>
            <w:r>
              <w:rPr>
                <w:rFonts w:hint="eastAsia" w:asciiTheme="minorEastAsia" w:hAnsiTheme="minorEastAsia" w:eastAsiaTheme="minorEastAsia" w:cstheme="minorEastAsia"/>
                <w:color w:val="auto"/>
                <w:sz w:val="24"/>
                <w:highlight w:val="none"/>
              </w:rPr>
              <w:t>地点</w:t>
            </w:r>
          </w:p>
        </w:tc>
        <w:tc>
          <w:tcPr>
            <w:tcW w:w="6368" w:type="dxa"/>
            <w:tcBorders>
              <w:right w:val="single" w:color="auto" w:sz="4" w:space="0"/>
            </w:tcBorders>
            <w:vAlign w:val="center"/>
          </w:tcPr>
          <w:p w14:paraId="5AA03282">
            <w:pPr>
              <w:spacing w:line="440" w:lineRule="exact"/>
              <w:ind w:left="480" w:hanging="480" w:hangingChars="200"/>
              <w:jc w:val="center"/>
              <w:rPr>
                <w:rFonts w:hint="eastAsia" w:asciiTheme="minorEastAsia" w:hAnsiTheme="minorEastAsia" w:eastAsiaTheme="minorEastAsia" w:cstheme="minorEastAsia"/>
                <w:bCs/>
                <w:color w:val="auto"/>
                <w:sz w:val="24"/>
                <w:szCs w:val="24"/>
                <w:highlight w:val="none"/>
                <w:lang w:eastAsia="zh-CN"/>
              </w:rPr>
            </w:pPr>
            <w:r>
              <w:rPr>
                <w:rFonts w:hint="eastAsia" w:asciiTheme="minorEastAsia" w:hAnsiTheme="minorEastAsia" w:eastAsiaTheme="minorEastAsia" w:cstheme="minorEastAsia"/>
                <w:color w:val="auto"/>
                <w:sz w:val="24"/>
                <w:highlight w:val="none"/>
                <w:lang w:eastAsia="zh-CN"/>
              </w:rPr>
              <w:t>详见第五章中的“商务条款”</w:t>
            </w:r>
          </w:p>
        </w:tc>
      </w:tr>
      <w:tr w14:paraId="3FF86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27F014B4">
            <w:pPr>
              <w:spacing w:line="900" w:lineRule="exact"/>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1AEDEFEC">
            <w:pPr>
              <w:spacing w:line="440" w:lineRule="exact"/>
              <w:jc w:val="center"/>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color w:val="auto"/>
                <w:sz w:val="24"/>
                <w:highlight w:val="none"/>
                <w:lang w:eastAsia="zh-CN"/>
              </w:rPr>
              <w:t>谈判报价包含谈判文件所约定的范围内全部内容价格体现的“交钥匙工程”。谈判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56E81A52">
      <w:pPr>
        <w:jc w:val="center"/>
        <w:rPr>
          <w:rFonts w:hint="eastAsia" w:asciiTheme="minorEastAsia" w:hAnsiTheme="minorEastAsia" w:eastAsiaTheme="minorEastAsia" w:cstheme="minorEastAsia"/>
          <w:color w:val="auto"/>
          <w:spacing w:val="-6"/>
          <w:sz w:val="52"/>
          <w:highlight w:val="none"/>
          <w:lang w:eastAsia="zh-CN"/>
        </w:rPr>
      </w:pPr>
    </w:p>
    <w:p w14:paraId="5034FA99">
      <w:pPr>
        <w:pStyle w:val="3"/>
        <w:rPr>
          <w:color w:val="auto"/>
          <w:highlight w:val="none"/>
          <w:lang w:eastAsia="zh-CN"/>
        </w:rPr>
      </w:pPr>
    </w:p>
    <w:p w14:paraId="4774BF35">
      <w:pPr>
        <w:jc w:val="center"/>
        <w:rPr>
          <w:rFonts w:hint="eastAsia" w:asciiTheme="minorEastAsia" w:hAnsiTheme="minorEastAsia" w:eastAsiaTheme="minorEastAsia" w:cstheme="minorEastAsia"/>
          <w:color w:val="auto"/>
          <w:spacing w:val="-6"/>
          <w:sz w:val="52"/>
          <w:highlight w:val="none"/>
          <w:lang w:eastAsia="zh-CN"/>
        </w:rPr>
        <w:sectPr>
          <w:footerReference r:id="rId3" w:type="default"/>
          <w:pgSz w:w="11906" w:h="16838"/>
          <w:pgMar w:top="1440" w:right="1028" w:bottom="1440" w:left="1418" w:header="851" w:footer="851" w:gutter="0"/>
          <w:cols w:space="425" w:num="1"/>
          <w:docGrid w:linePitch="312" w:charSpace="0"/>
        </w:sectPr>
      </w:pPr>
    </w:p>
    <w:p w14:paraId="4A3A2B1C">
      <w:pPr>
        <w:widowControl w:val="0"/>
        <w:spacing w:before="47" w:after="482" w:afterLines="201" w:line="219" w:lineRule="auto"/>
        <w:ind w:left="3805"/>
        <w:outlineLvl w:val="1"/>
        <w:rPr>
          <w:color w:val="auto"/>
          <w:highlight w:val="none"/>
          <w:lang w:eastAsia="zh-CN"/>
        </w:rPr>
      </w:pPr>
      <w:bookmarkStart w:id="0" w:name="_Toc507597381"/>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二、采购要求</w:t>
      </w:r>
      <w:bookmarkEnd w:id="0"/>
    </w:p>
    <w:p w14:paraId="3BC9FD0B">
      <w:pPr>
        <w:spacing w:line="360" w:lineRule="auto"/>
        <w:jc w:val="both"/>
        <w:rPr>
          <w:b/>
          <w:bCs/>
          <w:color w:val="auto"/>
          <w:sz w:val="24"/>
          <w:szCs w:val="24"/>
          <w:highlight w:val="none"/>
          <w:lang w:eastAsia="zh-CN"/>
        </w:rPr>
      </w:pPr>
      <w:bookmarkStart w:id="1" w:name="bookmark82"/>
      <w:bookmarkEnd w:id="1"/>
      <w:r>
        <w:rPr>
          <w:rFonts w:hint="eastAsia"/>
          <w:b/>
          <w:bCs/>
          <w:color w:val="auto"/>
          <w:sz w:val="24"/>
          <w:szCs w:val="24"/>
          <w:highlight w:val="none"/>
          <w:lang w:eastAsia="zh-CN"/>
        </w:rPr>
        <w:t>（一）技术规格（工程需求）</w:t>
      </w:r>
    </w:p>
    <w:p w14:paraId="6807C14B">
      <w:pPr>
        <w:spacing w:line="360" w:lineRule="auto"/>
        <w:jc w:val="both"/>
        <w:rPr>
          <w:rFonts w:ascii="宋体" w:hAnsi="宋体"/>
          <w:color w:val="auto"/>
          <w:sz w:val="24"/>
          <w:szCs w:val="24"/>
          <w:highlight w:val="none"/>
          <w:lang w:eastAsia="zh-CN"/>
        </w:rPr>
      </w:pPr>
      <w:bookmarkStart w:id="2" w:name="OLE_LINK20"/>
      <w:r>
        <w:rPr>
          <w:rFonts w:hint="eastAsia" w:ascii="宋体" w:hAnsi="宋体"/>
          <w:color w:val="auto"/>
          <w:sz w:val="24"/>
          <w:szCs w:val="24"/>
          <w:highlight w:val="none"/>
          <w:lang w:eastAsia="zh-CN"/>
        </w:rPr>
        <w:t>1、工程量清单（含编制说明）</w:t>
      </w:r>
    </w:p>
    <w:p w14:paraId="5B0FFF55">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1.1</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lang w:eastAsia="zh-CN"/>
        </w:rPr>
        <w:t>工程量清单</w:t>
      </w:r>
    </w:p>
    <w:p w14:paraId="76354C32">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以附件形式上传，供应商须自行在系统内进行下载。</w:t>
      </w:r>
    </w:p>
    <w:p w14:paraId="51ED2E8A">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1.2</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lang w:eastAsia="zh-CN"/>
        </w:rPr>
        <w:t>编制依据</w:t>
      </w:r>
    </w:p>
    <w:p w14:paraId="6A44A6E4">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（1）建设工程工程量清单计价规范 GB/T50500-2024；</w:t>
      </w:r>
    </w:p>
    <w:p w14:paraId="053C1B9B">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（2）《江西省房屋建筑与装饰工程消耗量定额及统一基价表》（2017 年版）；</w:t>
      </w:r>
    </w:p>
    <w:p w14:paraId="6B88BF40">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（3）《江西省市政工程消耗量定额及统一基价表》（2017 年版）；</w:t>
      </w:r>
    </w:p>
    <w:p w14:paraId="469BB003">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（4）《江西省通用安装工程消耗量定额及统一基价表》（2017 年版）；</w:t>
      </w:r>
    </w:p>
    <w:p w14:paraId="66C88B96">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（5）税金执行赣建价[2019]1号文税金按 9%记取，执行赣财综[2016]36号不计取上级行业管理费；</w:t>
      </w:r>
    </w:p>
    <w:p w14:paraId="30D8EED4">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（6）人工单价调整按国家、省、市有关工程建设项目造价调整的政策性文件执行人工工日按赣建价[2020]5号文调整；</w:t>
      </w:r>
    </w:p>
    <w:p w14:paraId="1D446B72">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（7）信息价采用江西省（南昌市）造价管理部门发布的2025年第2期信息价，南昌市信息价缺项材料价格参照江西其它城市信息价，江西其它城市信息价缺项部分，按市场价询价调整。</w:t>
      </w:r>
    </w:p>
    <w:p w14:paraId="5786DED9">
      <w:pPr>
        <w:spacing w:line="360" w:lineRule="auto"/>
        <w:jc w:val="both"/>
        <w:rPr>
          <w:color w:val="auto"/>
          <w:sz w:val="24"/>
          <w:szCs w:val="24"/>
          <w:highlight w:val="none"/>
          <w:lang w:eastAsia="zh-CN"/>
        </w:rPr>
      </w:pPr>
      <w:r>
        <w:rPr>
          <w:rFonts w:hint="eastAsia" w:ascii="宋体" w:hAnsi="宋体"/>
          <w:color w:val="auto"/>
          <w:sz w:val="24"/>
          <w:szCs w:val="24"/>
          <w:highlight w:val="none"/>
          <w:lang w:eastAsia="zh-CN"/>
        </w:rPr>
        <w:t>2、</w:t>
      </w:r>
      <w:r>
        <w:rPr>
          <w:rFonts w:hint="eastAsia"/>
          <w:color w:val="auto"/>
          <w:sz w:val="24"/>
          <w:szCs w:val="24"/>
          <w:highlight w:val="none"/>
          <w:lang w:eastAsia="zh-CN"/>
        </w:rPr>
        <w:t>工程要求</w:t>
      </w:r>
    </w:p>
    <w:p w14:paraId="52DF8D0C">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eastAsia="zh-CN"/>
        </w:rPr>
        <w:t>2.1、</w:t>
      </w:r>
      <w:r>
        <w:rPr>
          <w:rFonts w:hint="eastAsia" w:ascii="宋体" w:hAnsi="宋体"/>
          <w:color w:val="auto"/>
          <w:sz w:val="24"/>
          <w:szCs w:val="24"/>
          <w:highlight w:val="none"/>
          <w:lang w:val="en-US" w:eastAsia="zh-CN"/>
        </w:rPr>
        <w:t>采购范围及工程内容：本工程为交钥匙工程，包含但不限于以下全部内容：</w:t>
      </w:r>
    </w:p>
    <w:p w14:paraId="559A1765">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（1）志敏大道校区工程</w:t>
      </w:r>
    </w:p>
    <w:p w14:paraId="0AFC36E4">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14# 楼前广场道路修正：</w:t>
      </w:r>
    </w:p>
    <w:p w14:paraId="18D05843">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原地面清理、路床整形、20cm 厚水泥稳定碎石基层、沥青混凝土面层（AC-20+AC-13）</w:t>
      </w:r>
    </w:p>
    <w:p w14:paraId="2A20C8A4">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排水沟加高、盖板更换、玻璃钢阳光房制作安装</w:t>
      </w:r>
    </w:p>
    <w:p w14:paraId="61230EC5">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1/2/3/6# 学生宿舍外立面：</w:t>
      </w:r>
    </w:p>
    <w:p w14:paraId="29B5FFE0">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原涂料铲除、墙面抹灰、外墙真石漆、防水处理、外脚手架、空调滴水引流改造</w:t>
      </w:r>
    </w:p>
    <w:p w14:paraId="04CEE4EE">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1# 教学楼外立面：</w:t>
      </w:r>
    </w:p>
    <w:p w14:paraId="60338E99">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墙面铲除、抹灰、真石漆喷涂、防水、脚手架、线路改造</w:t>
      </w:r>
    </w:p>
    <w:p w14:paraId="17D0CEB5">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4# 楼外立面：</w:t>
      </w:r>
    </w:p>
    <w:p w14:paraId="01841415">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基层处理、防水涂膜、抗裂砂浆、真石漆、网格布、脚手架</w:t>
      </w:r>
    </w:p>
    <w:p w14:paraId="625B7682">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（2）庐山大道校区工程</w:t>
      </w:r>
    </w:p>
    <w:p w14:paraId="5C7E32F5">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一号教学楼修缮：</w:t>
      </w:r>
    </w:p>
    <w:p w14:paraId="108E25C5">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外墙清洗、门窗更换、内外墙抹灰刷漆、线路改造、脚手架</w:t>
      </w:r>
    </w:p>
    <w:p w14:paraId="4002CDDC">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音乐楼修缮：</w:t>
      </w:r>
    </w:p>
    <w:p w14:paraId="5803A07A">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外墙清洗、断桥门窗、隔音板、复合地板、窗帘、吊顶风扇安装</w:t>
      </w:r>
    </w:p>
    <w:p w14:paraId="118E6C4B">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综合楼修缮：</w:t>
      </w:r>
    </w:p>
    <w:p w14:paraId="10E812C8">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外墙清洗、地弹簧门、卫生间改造、墙地砖、洁具、铝扣板吊顶、防水、灯具更换。</w:t>
      </w:r>
    </w:p>
    <w:p w14:paraId="7EA81727">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2.2、主要材料及技术标准要求：（1） 道路与广场工程：:水泥稳定碎石：5% 水泥含量，20cm 厚，压实度≥96%，7 天无侧限抗压强度≥3.5MPa。沥青面层：6cm 中粒式 + 4cm 细粒式，SBS 改性沥青，压实度≥98%。玻璃钢阳光房：轻钢结构 + 钢化玻璃顶，按图纸施工</w:t>
      </w:r>
    </w:p>
    <w:p w14:paraId="30312258">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（2）外立面真石漆工程：:基层：界面剂 + 抗碱底漆 + 腻子三遍。真石漆：天然彩砂含量≥80%，耐候≥1500h，罩面漆一遍。抹灰：20–30mm 厚 1:3 水泥砂浆，分遍成活，空鼓率≤1%</w:t>
      </w:r>
    </w:p>
    <w:p w14:paraId="49FD0178">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（3）防水工程（外墙 + 屋面）：:聚氨酯防水：固含量≥98%，厚度 2mm，分遍涂刷。SBS 卷材：4mm 厚聚酯胎，热熔施工，附加层每边≥250mm。闭水 / 淋水试验合格，无渗漏。</w:t>
      </w:r>
    </w:p>
    <w:p w14:paraId="45231451">
      <w:pPr>
        <w:spacing w:line="360" w:lineRule="auto"/>
        <w:jc w:val="both"/>
        <w:rPr>
          <w:color w:val="auto"/>
          <w:sz w:val="24"/>
          <w:szCs w:val="24"/>
          <w:highlight w:val="none"/>
          <w:lang w:eastAsia="zh-CN"/>
        </w:rPr>
      </w:pPr>
      <w:r>
        <w:rPr>
          <w:rFonts w:hint="eastAsia" w:ascii="宋体" w:hAnsi="宋体"/>
          <w:color w:val="auto"/>
          <w:sz w:val="24"/>
          <w:szCs w:val="24"/>
          <w:highlight w:val="none"/>
          <w:lang w:val="en-US" w:eastAsia="zh-CN"/>
        </w:rPr>
        <w:t>2.3、</w:t>
      </w:r>
      <w:r>
        <w:rPr>
          <w:rFonts w:hint="eastAsia" w:hAnsi="宋体" w:eastAsia="宋体"/>
          <w:bCs/>
          <w:color w:val="auto"/>
          <w:sz w:val="24"/>
          <w:szCs w:val="24"/>
          <w:highlight w:val="none"/>
          <w:lang w:eastAsia="zh-CN"/>
        </w:rPr>
        <w:t>谈判</w:t>
      </w:r>
      <w:r>
        <w:rPr>
          <w:rFonts w:hint="eastAsia" w:hAnsi="宋体"/>
          <w:bCs/>
          <w:color w:val="auto"/>
          <w:sz w:val="24"/>
          <w:szCs w:val="24"/>
          <w:highlight w:val="none"/>
          <w:lang w:eastAsia="zh-CN"/>
        </w:rPr>
        <w:t>文件工程量清单中的安全文明施工费、规费、暂估价、暂列金额均属于不可竞争费，不得让利，</w:t>
      </w:r>
      <w:r>
        <w:rPr>
          <w:rFonts w:hint="eastAsia" w:hAnsi="宋体"/>
          <w:b/>
          <w:color w:val="auto"/>
          <w:sz w:val="24"/>
          <w:szCs w:val="24"/>
          <w:highlight w:val="none"/>
          <w:lang w:eastAsia="zh-CN"/>
        </w:rPr>
        <w:t>否则视为无效响应</w:t>
      </w:r>
      <w:r>
        <w:rPr>
          <w:rFonts w:hint="eastAsia"/>
          <w:b/>
          <w:bCs/>
          <w:color w:val="auto"/>
          <w:sz w:val="24"/>
          <w:szCs w:val="24"/>
          <w:highlight w:val="none"/>
          <w:lang w:eastAsia="zh-CN"/>
        </w:rPr>
        <w:t>。</w:t>
      </w:r>
    </w:p>
    <w:p w14:paraId="40A0C93C">
      <w:pPr>
        <w:spacing w:line="360" w:lineRule="auto"/>
        <w:jc w:val="both"/>
        <w:rPr>
          <w:color w:val="auto"/>
          <w:sz w:val="24"/>
          <w:szCs w:val="24"/>
          <w:highlight w:val="none"/>
          <w:lang w:eastAsia="zh-CN"/>
        </w:rPr>
      </w:pPr>
      <w:r>
        <w:rPr>
          <w:rFonts w:hint="eastAsia" w:ascii="宋体" w:hAnsi="宋体"/>
          <w:color w:val="auto"/>
          <w:sz w:val="24"/>
          <w:szCs w:val="24"/>
          <w:highlight w:val="none"/>
          <w:lang w:eastAsia="zh-CN"/>
        </w:rPr>
        <w:t>2.2</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lang w:eastAsia="zh-CN"/>
        </w:rPr>
        <w:t>、</w:t>
      </w:r>
      <w:r>
        <w:rPr>
          <w:rFonts w:hint="eastAsia" w:hAnsi="宋体"/>
          <w:color w:val="auto"/>
          <w:sz w:val="24"/>
          <w:szCs w:val="24"/>
          <w:highlight w:val="none"/>
          <w:lang w:eastAsia="zh-CN"/>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lang w:eastAsia="zh-CN"/>
        </w:rPr>
        <w:t>。</w:t>
      </w:r>
    </w:p>
    <w:p w14:paraId="719733BC">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2.</w:t>
      </w:r>
      <w:r>
        <w:rPr>
          <w:rFonts w:hint="eastAsia" w:ascii="宋体" w:hAnsi="宋体"/>
          <w:color w:val="auto"/>
          <w:sz w:val="24"/>
          <w:szCs w:val="24"/>
          <w:highlight w:val="none"/>
          <w:lang w:val="en-US" w:eastAsia="zh-CN"/>
        </w:rPr>
        <w:t>5</w:t>
      </w:r>
      <w:r>
        <w:rPr>
          <w:rFonts w:hint="eastAsia" w:ascii="宋体" w:hAnsi="宋体"/>
          <w:color w:val="auto"/>
          <w:sz w:val="24"/>
          <w:szCs w:val="24"/>
          <w:highlight w:val="none"/>
          <w:lang w:eastAsia="zh-CN"/>
        </w:rPr>
        <w:t>、供应商应按照本文件中提供的工程量清单，根据项目特征描述的内容及有关要求实施合同工程，直到项目被改变为止。</w:t>
      </w:r>
    </w:p>
    <w:p w14:paraId="6BCFAF5C">
      <w:pPr>
        <w:spacing w:line="360" w:lineRule="auto"/>
        <w:jc w:val="both"/>
        <w:rPr>
          <w:rFonts w:hAnsi="宋体"/>
          <w:color w:val="auto"/>
          <w:sz w:val="24"/>
          <w:szCs w:val="24"/>
          <w:highlight w:val="none"/>
          <w:lang w:eastAsia="zh-CN"/>
        </w:rPr>
      </w:pPr>
      <w:r>
        <w:rPr>
          <w:rFonts w:hint="eastAsia" w:ascii="宋体" w:hAnsi="宋体"/>
          <w:color w:val="auto"/>
          <w:sz w:val="24"/>
          <w:szCs w:val="24"/>
          <w:highlight w:val="none"/>
          <w:lang w:eastAsia="zh-CN"/>
        </w:rPr>
        <w:t>2.</w:t>
      </w:r>
      <w:r>
        <w:rPr>
          <w:rFonts w:hint="eastAsia" w:ascii="宋体" w:hAnsi="宋体" w:eastAsia="宋体"/>
          <w:color w:val="auto"/>
          <w:sz w:val="24"/>
          <w:szCs w:val="24"/>
          <w:highlight w:val="none"/>
          <w:lang w:val="en-US" w:eastAsia="zh-CN"/>
        </w:rPr>
        <w:t>6</w:t>
      </w:r>
      <w:r>
        <w:rPr>
          <w:rFonts w:hint="eastAsia" w:ascii="宋体" w:hAnsi="宋体"/>
          <w:color w:val="auto"/>
          <w:sz w:val="24"/>
          <w:szCs w:val="24"/>
          <w:highlight w:val="none"/>
          <w:lang w:eastAsia="zh-CN"/>
        </w:rPr>
        <w:t>、</w:t>
      </w:r>
      <w:r>
        <w:rPr>
          <w:rFonts w:hint="eastAsia" w:ascii="宋体" w:hAnsi="宋体"/>
          <w:b/>
          <w:color w:val="auto"/>
          <w:sz w:val="24"/>
          <w:szCs w:val="24"/>
          <w:highlight w:val="none"/>
          <w:lang w:eastAsia="zh-CN"/>
        </w:rPr>
        <w:t xml:space="preserve">响应文件中提供本项目的施工方案, </w:t>
      </w:r>
      <w:r>
        <w:rPr>
          <w:rFonts w:hint="eastAsia" w:hAnsi="宋体"/>
          <w:b/>
          <w:color w:val="auto"/>
          <w:sz w:val="24"/>
          <w:szCs w:val="24"/>
          <w:highlight w:val="none"/>
          <w:lang w:eastAsia="zh-CN"/>
        </w:rPr>
        <w:t>内容须包含</w:t>
      </w:r>
      <w:r>
        <w:rPr>
          <w:rFonts w:hint="eastAsia" w:hAnsi="宋体"/>
          <w:color w:val="auto"/>
          <w:sz w:val="24"/>
          <w:szCs w:val="24"/>
          <w:highlight w:val="none"/>
          <w:lang w:eastAsia="zh-CN"/>
        </w:rPr>
        <w:t>：</w:t>
      </w:r>
    </w:p>
    <w:p w14:paraId="3CDC6849">
      <w:pPr>
        <w:spacing w:line="360" w:lineRule="auto"/>
        <w:jc w:val="both"/>
        <w:rPr>
          <w:rFonts w:hAnsi="宋体"/>
          <w:color w:val="auto"/>
          <w:sz w:val="24"/>
          <w:szCs w:val="24"/>
          <w:highlight w:val="none"/>
          <w:lang w:eastAsia="zh-CN"/>
        </w:rPr>
      </w:pPr>
      <w:r>
        <w:rPr>
          <w:rFonts w:hint="eastAsia" w:ascii="宋体" w:hAnsi="宋体"/>
          <w:color w:val="auto"/>
          <w:sz w:val="24"/>
          <w:szCs w:val="24"/>
          <w:highlight w:val="none"/>
          <w:lang w:eastAsia="zh-CN"/>
        </w:rPr>
        <w:t>（1）</w:t>
      </w:r>
      <w:r>
        <w:rPr>
          <w:color w:val="auto"/>
          <w:sz w:val="24"/>
          <w:szCs w:val="24"/>
          <w:highlight w:val="none"/>
          <w:lang w:eastAsia="zh-CN"/>
        </w:rPr>
        <w:t>施工组织部署</w:t>
      </w:r>
    </w:p>
    <w:p w14:paraId="32BBC702">
      <w:pPr>
        <w:spacing w:line="360" w:lineRule="auto"/>
        <w:jc w:val="both"/>
        <w:rPr>
          <w:rFonts w:hAnsi="宋体"/>
          <w:color w:val="auto"/>
          <w:sz w:val="24"/>
          <w:szCs w:val="24"/>
          <w:highlight w:val="none"/>
          <w:lang w:eastAsia="zh-CN"/>
        </w:rPr>
      </w:pPr>
      <w:r>
        <w:rPr>
          <w:rFonts w:hint="eastAsia" w:ascii="宋体" w:hAnsi="宋体"/>
          <w:color w:val="auto"/>
          <w:sz w:val="24"/>
          <w:szCs w:val="24"/>
          <w:highlight w:val="none"/>
          <w:lang w:eastAsia="zh-CN"/>
        </w:rPr>
        <w:t>（2）</w:t>
      </w:r>
      <w:r>
        <w:rPr>
          <w:color w:val="auto"/>
          <w:sz w:val="24"/>
          <w:szCs w:val="24"/>
          <w:highlight w:val="none"/>
          <w:lang w:eastAsia="zh-CN"/>
        </w:rPr>
        <w:t>施工进度计划及工期保证措施</w:t>
      </w:r>
    </w:p>
    <w:p w14:paraId="7E0B1581">
      <w:pPr>
        <w:spacing w:line="360" w:lineRule="auto"/>
        <w:jc w:val="both"/>
        <w:rPr>
          <w:rFonts w:hAnsi="宋体"/>
          <w:color w:val="auto"/>
          <w:sz w:val="24"/>
          <w:szCs w:val="24"/>
          <w:highlight w:val="none"/>
          <w:lang w:eastAsia="zh-CN"/>
        </w:rPr>
      </w:pPr>
      <w:r>
        <w:rPr>
          <w:rFonts w:hint="eastAsia" w:ascii="宋体" w:hAnsi="宋体"/>
          <w:color w:val="auto"/>
          <w:sz w:val="24"/>
          <w:szCs w:val="24"/>
          <w:highlight w:val="none"/>
          <w:lang w:eastAsia="zh-CN"/>
        </w:rPr>
        <w:t>（3）</w:t>
      </w:r>
      <w:r>
        <w:rPr>
          <w:rFonts w:hint="eastAsia" w:hAnsi="宋体"/>
          <w:color w:val="auto"/>
          <w:sz w:val="24"/>
          <w:szCs w:val="24"/>
          <w:highlight w:val="none"/>
          <w:lang w:eastAsia="zh-CN"/>
        </w:rPr>
        <w:t>工程质量保证措施</w:t>
      </w:r>
    </w:p>
    <w:p w14:paraId="6907EFCE">
      <w:pPr>
        <w:spacing w:line="360" w:lineRule="auto"/>
        <w:jc w:val="both"/>
        <w:rPr>
          <w:rFonts w:hAnsi="宋体"/>
          <w:color w:val="auto"/>
          <w:sz w:val="24"/>
          <w:szCs w:val="24"/>
          <w:highlight w:val="none"/>
          <w:lang w:eastAsia="zh-CN"/>
        </w:rPr>
      </w:pPr>
      <w:r>
        <w:rPr>
          <w:rFonts w:hint="eastAsia" w:ascii="宋体" w:hAnsi="宋体"/>
          <w:color w:val="auto"/>
          <w:sz w:val="24"/>
          <w:szCs w:val="24"/>
          <w:highlight w:val="none"/>
          <w:lang w:eastAsia="zh-CN"/>
        </w:rPr>
        <w:t>（4）</w:t>
      </w:r>
      <w:r>
        <w:rPr>
          <w:color w:val="auto"/>
          <w:sz w:val="24"/>
          <w:szCs w:val="24"/>
          <w:highlight w:val="none"/>
          <w:lang w:eastAsia="zh-CN"/>
        </w:rPr>
        <w:t>施工技术措施</w:t>
      </w:r>
      <w:r>
        <w:rPr>
          <w:rFonts w:hint="eastAsia"/>
          <w:color w:val="auto"/>
          <w:sz w:val="24"/>
          <w:szCs w:val="24"/>
          <w:highlight w:val="none"/>
          <w:lang w:eastAsia="zh-CN"/>
        </w:rPr>
        <w:t>（含主要工序施工工艺）</w:t>
      </w:r>
    </w:p>
    <w:p w14:paraId="0EE435EF">
      <w:pPr>
        <w:spacing w:line="360" w:lineRule="auto"/>
        <w:jc w:val="both"/>
        <w:rPr>
          <w:rFonts w:hAnsi="宋体"/>
          <w:color w:val="auto"/>
          <w:sz w:val="24"/>
          <w:szCs w:val="24"/>
          <w:highlight w:val="none"/>
        </w:rPr>
      </w:pPr>
      <w:r>
        <w:rPr>
          <w:rFonts w:hint="eastAsia" w:ascii="宋体" w:hAnsi="宋体"/>
          <w:color w:val="auto"/>
          <w:sz w:val="24"/>
          <w:szCs w:val="24"/>
          <w:highlight w:val="none"/>
        </w:rPr>
        <w:t>（5）</w:t>
      </w:r>
      <w:r>
        <w:rPr>
          <w:rFonts w:hint="eastAsia" w:hAnsi="宋体"/>
          <w:color w:val="auto"/>
          <w:sz w:val="24"/>
          <w:szCs w:val="24"/>
          <w:highlight w:val="none"/>
        </w:rPr>
        <w:t>安全、文明施工措施</w:t>
      </w:r>
      <w:bookmarkEnd w:id="2"/>
    </w:p>
    <w:p w14:paraId="59444303">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3、工程质量</w:t>
      </w:r>
    </w:p>
    <w:p w14:paraId="7532A1D4">
      <w:pPr>
        <w:spacing w:line="360" w:lineRule="auto"/>
        <w:jc w:val="both"/>
        <w:rPr>
          <w:rFonts w:ascii="宋体" w:hAnsi="宋体"/>
          <w:color w:val="auto"/>
          <w:sz w:val="24"/>
          <w:szCs w:val="24"/>
          <w:highlight w:val="none"/>
          <w:lang w:eastAsia="zh-CN"/>
        </w:rPr>
      </w:pPr>
      <w:r>
        <w:rPr>
          <w:rFonts w:hint="eastAsia" w:ascii="宋体" w:hAnsi="宋体"/>
          <w:color w:val="auto"/>
          <w:sz w:val="24"/>
          <w:szCs w:val="24"/>
          <w:highlight w:val="none"/>
          <w:lang w:eastAsia="zh-CN"/>
        </w:rPr>
        <w:t>3.1、</w:t>
      </w:r>
      <w:r>
        <w:rPr>
          <w:rFonts w:ascii="宋体" w:hAnsi="宋体"/>
          <w:color w:val="auto"/>
          <w:sz w:val="24"/>
          <w:szCs w:val="24"/>
          <w:highlight w:val="none"/>
          <w:lang w:eastAsia="zh-CN"/>
        </w:rPr>
        <w:t>本项目的工程质量应符合国家工程质量验收标准合格及以上要求；因成交供应商原因，如工程质量达不到约定条件的部分，一经发现，可要求成交供应商返工，由成交供应商在15天内完成整改，由此产生的一切费用均由成交供应商承担。如整改后工程质量依旧不合格，工程仍然不能通过竣工验收的，采购人有权解除合同，成交供应商应将已经收取的所有工程款全额退还给采购人，并承担合同总价</w:t>
      </w:r>
      <w:r>
        <w:rPr>
          <w:rFonts w:hint="eastAsia" w:ascii="宋体" w:hAnsi="宋体" w:eastAsiaTheme="minorEastAsia"/>
          <w:color w:val="auto"/>
          <w:sz w:val="24"/>
          <w:szCs w:val="24"/>
          <w:highlight w:val="none"/>
          <w:lang w:eastAsia="zh-CN"/>
        </w:rPr>
        <w:t>20</w:t>
      </w:r>
      <w:r>
        <w:rPr>
          <w:rFonts w:ascii="宋体" w:hAnsi="宋体"/>
          <w:color w:val="auto"/>
          <w:sz w:val="24"/>
          <w:szCs w:val="24"/>
          <w:highlight w:val="none"/>
          <w:lang w:eastAsia="zh-CN"/>
        </w:rPr>
        <w:t>%金额的违约金。</w:t>
      </w:r>
    </w:p>
    <w:p w14:paraId="5806E7D8">
      <w:pPr>
        <w:spacing w:line="360" w:lineRule="auto"/>
        <w:jc w:val="both"/>
        <w:rPr>
          <w:color w:val="auto"/>
          <w:sz w:val="24"/>
          <w:szCs w:val="24"/>
          <w:highlight w:val="none"/>
          <w:lang w:eastAsia="zh-CN"/>
        </w:rPr>
      </w:pPr>
    </w:p>
    <w:p w14:paraId="52935037">
      <w:pPr>
        <w:numPr>
          <w:ilvl w:val="0"/>
          <w:numId w:val="1"/>
        </w:numPr>
        <w:spacing w:line="360" w:lineRule="auto"/>
        <w:jc w:val="both"/>
        <w:rPr>
          <w:b/>
          <w:bCs/>
          <w:color w:val="auto"/>
          <w:sz w:val="24"/>
          <w:szCs w:val="24"/>
          <w:highlight w:val="none"/>
        </w:rPr>
      </w:pPr>
      <w:r>
        <w:rPr>
          <w:rFonts w:hint="eastAsia"/>
          <w:b/>
          <w:bCs/>
          <w:color w:val="auto"/>
          <w:sz w:val="24"/>
          <w:szCs w:val="24"/>
          <w:highlight w:val="none"/>
        </w:rPr>
        <w:t>商务条款</w:t>
      </w:r>
    </w:p>
    <w:p w14:paraId="265833C4">
      <w:pPr>
        <w:spacing w:line="360" w:lineRule="auto"/>
        <w:jc w:val="both"/>
        <w:rPr>
          <w:rFonts w:ascii="宋体" w:hAnsi="宋体"/>
          <w:b/>
          <w:bCs/>
          <w:color w:val="auto"/>
          <w:sz w:val="24"/>
          <w:szCs w:val="24"/>
          <w:highlight w:val="none"/>
          <w:lang w:eastAsia="zh-CN"/>
        </w:rPr>
      </w:pPr>
      <w:r>
        <w:rPr>
          <w:rFonts w:hint="eastAsia" w:ascii="宋体" w:hAnsi="宋体"/>
          <w:b/>
          <w:bCs/>
          <w:color w:val="auto"/>
          <w:sz w:val="24"/>
          <w:szCs w:val="24"/>
          <w:highlight w:val="none"/>
          <w:lang w:eastAsia="zh-CN"/>
        </w:rPr>
        <w:t>1、履约保证金及付款方式</w:t>
      </w:r>
    </w:p>
    <w:p w14:paraId="2EBA48B1">
      <w:pPr>
        <w:spacing w:line="360" w:lineRule="auto"/>
        <w:jc w:val="both"/>
        <w:rPr>
          <w:rFonts w:ascii="宋体" w:hAnsi="宋体"/>
          <w:color w:val="auto"/>
          <w:sz w:val="24"/>
          <w:szCs w:val="24"/>
          <w:highlight w:val="none"/>
          <w:lang w:eastAsia="zh-CN"/>
        </w:rPr>
      </w:pPr>
      <w:bookmarkStart w:id="3" w:name="OLE_LINK15"/>
      <w:r>
        <w:rPr>
          <w:rFonts w:hint="eastAsia" w:ascii="宋体" w:hAnsi="宋体" w:eastAsia="宋体"/>
          <w:b/>
          <w:bCs/>
          <w:color w:val="auto"/>
          <w:sz w:val="24"/>
          <w:szCs w:val="24"/>
          <w:highlight w:val="none"/>
          <w:lang w:eastAsia="zh-CN"/>
        </w:rPr>
        <w:t>1.1、履约保证金：</w:t>
      </w:r>
      <w:r>
        <w:rPr>
          <w:rFonts w:hint="eastAsia" w:ascii="宋体" w:hAnsi="宋体"/>
          <w:color w:val="auto"/>
          <w:sz w:val="24"/>
          <w:szCs w:val="24"/>
          <w:highlight w:val="none"/>
          <w:lang w:eastAsia="zh-CN"/>
        </w:rPr>
        <w:t>签订合同</w:t>
      </w:r>
      <w:r>
        <w:rPr>
          <w:rFonts w:hint="eastAsia" w:ascii="宋体" w:hAnsi="宋体"/>
          <w:color w:val="auto"/>
          <w:sz w:val="24"/>
          <w:szCs w:val="24"/>
          <w:highlight w:val="none"/>
          <w:lang w:val="en-US" w:eastAsia="zh-CN"/>
        </w:rPr>
        <w:t>后</w:t>
      </w:r>
      <w:r>
        <w:rPr>
          <w:rFonts w:hint="eastAsia" w:ascii="宋体" w:hAnsi="宋体"/>
          <w:color w:val="auto"/>
          <w:sz w:val="24"/>
          <w:szCs w:val="24"/>
          <w:highlight w:val="none"/>
          <w:lang w:eastAsia="zh-CN"/>
        </w:rPr>
        <w:t>，成交供应商应当以支票、汇票、本票或者金融机构、担保机构出具的保函等非现金形式向采购人指定帐户缴纳合同金额</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lang w:eastAsia="zh-CN"/>
        </w:rPr>
        <w:t>%作为履约保证金，待所有项目竣工验收</w:t>
      </w:r>
      <w:r>
        <w:rPr>
          <w:rFonts w:hint="eastAsia" w:ascii="宋体" w:hAnsi="宋体" w:eastAsia="宋体" w:cs="宋体"/>
          <w:color w:val="auto"/>
          <w:sz w:val="24"/>
          <w:szCs w:val="24"/>
          <w:highlight w:val="none"/>
          <w:lang w:eastAsia="zh-CN"/>
        </w:rPr>
        <w:t>合格</w:t>
      </w:r>
      <w:r>
        <w:rPr>
          <w:rFonts w:hint="eastAsia" w:ascii="宋体" w:hAnsi="宋体"/>
          <w:color w:val="auto"/>
          <w:sz w:val="24"/>
          <w:szCs w:val="24"/>
          <w:highlight w:val="none"/>
          <w:lang w:eastAsia="zh-CN"/>
        </w:rPr>
        <w:t>后一次性无息退还；同时，成交供应商需向采购人缴纳合同总价3%的质量保证金，待缺陷责任期结束后一次性无息退还。</w:t>
      </w:r>
    </w:p>
    <w:p w14:paraId="00A41234">
      <w:pPr>
        <w:spacing w:line="360" w:lineRule="auto"/>
        <w:jc w:val="both"/>
        <w:rPr>
          <w:rFonts w:ascii="宋体" w:hAnsi="宋体"/>
          <w:color w:val="auto"/>
          <w:sz w:val="24"/>
          <w:szCs w:val="24"/>
          <w:highlight w:val="none"/>
          <w:lang w:eastAsia="zh-CN"/>
        </w:rPr>
      </w:pPr>
      <w:r>
        <w:rPr>
          <w:rFonts w:hint="eastAsia" w:ascii="宋体" w:hAnsi="宋体" w:eastAsia="宋体"/>
          <w:b/>
          <w:bCs/>
          <w:color w:val="auto"/>
          <w:sz w:val="24"/>
          <w:szCs w:val="24"/>
          <w:highlight w:val="none"/>
          <w:lang w:eastAsia="zh-CN"/>
        </w:rPr>
        <w:t>1.2、</w:t>
      </w:r>
      <w:r>
        <w:rPr>
          <w:rFonts w:hint="eastAsia" w:ascii="宋体" w:hAnsi="宋体"/>
          <w:b/>
          <w:bCs/>
          <w:color w:val="auto"/>
          <w:sz w:val="24"/>
          <w:szCs w:val="24"/>
          <w:highlight w:val="none"/>
          <w:lang w:eastAsia="zh-CN"/>
        </w:rPr>
        <w:t>付款方式：</w:t>
      </w:r>
      <w:bookmarkStart w:id="4" w:name="OLE_LINK23"/>
      <w:r>
        <w:rPr>
          <w:rFonts w:hint="eastAsia" w:ascii="宋体" w:hAnsi="宋体"/>
          <w:color w:val="auto"/>
          <w:sz w:val="24"/>
          <w:szCs w:val="24"/>
          <w:highlight w:val="none"/>
          <w:lang w:eastAsia="zh-CN"/>
        </w:rPr>
        <w:t>所有合同下项目施工完毕，并经监理、</w:t>
      </w:r>
      <w:r>
        <w:rPr>
          <w:rFonts w:hint="eastAsia" w:ascii="宋体" w:hAnsi="宋体" w:eastAsia="宋体"/>
          <w:color w:val="auto"/>
          <w:sz w:val="24"/>
          <w:szCs w:val="24"/>
          <w:highlight w:val="none"/>
          <w:lang w:eastAsia="zh-CN"/>
        </w:rPr>
        <w:t>发包人</w:t>
      </w:r>
      <w:r>
        <w:rPr>
          <w:rFonts w:hint="eastAsia" w:ascii="宋体" w:hAnsi="宋体"/>
          <w:color w:val="auto"/>
          <w:sz w:val="24"/>
          <w:szCs w:val="24"/>
          <w:highlight w:val="none"/>
          <w:lang w:eastAsia="zh-CN"/>
        </w:rPr>
        <w:t>验收合格后，成交供应商在向</w:t>
      </w:r>
      <w:r>
        <w:rPr>
          <w:rFonts w:hint="eastAsia" w:ascii="宋体" w:hAnsi="宋体" w:eastAsia="宋体"/>
          <w:color w:val="auto"/>
          <w:sz w:val="24"/>
          <w:szCs w:val="24"/>
          <w:highlight w:val="none"/>
          <w:lang w:eastAsia="zh-CN"/>
        </w:rPr>
        <w:t>发包人</w:t>
      </w:r>
      <w:r>
        <w:rPr>
          <w:rFonts w:hint="eastAsia" w:ascii="宋体" w:hAnsi="宋体"/>
          <w:color w:val="auto"/>
          <w:sz w:val="24"/>
          <w:szCs w:val="24"/>
          <w:highlight w:val="none"/>
          <w:lang w:eastAsia="zh-CN"/>
        </w:rPr>
        <w:t>申请付款前，向</w:t>
      </w:r>
      <w:bookmarkStart w:id="5" w:name="OLE_LINK11"/>
      <w:r>
        <w:rPr>
          <w:rFonts w:hint="eastAsia" w:ascii="宋体" w:hAnsi="宋体" w:eastAsia="宋体"/>
          <w:color w:val="auto"/>
          <w:sz w:val="24"/>
          <w:szCs w:val="24"/>
          <w:highlight w:val="none"/>
          <w:lang w:eastAsia="zh-CN"/>
        </w:rPr>
        <w:t>发包人</w:t>
      </w:r>
      <w:bookmarkEnd w:id="5"/>
      <w:r>
        <w:rPr>
          <w:rFonts w:hint="eastAsia" w:ascii="宋体" w:hAnsi="宋体"/>
          <w:color w:val="auto"/>
          <w:sz w:val="24"/>
          <w:szCs w:val="24"/>
          <w:highlight w:val="none"/>
          <w:lang w:eastAsia="zh-CN"/>
        </w:rPr>
        <w:t>提供与付款金额等额且合规的增值税普通发票，发票抬头为江西艺术职业学院，</w:t>
      </w:r>
      <w:r>
        <w:rPr>
          <w:rFonts w:hint="eastAsia" w:ascii="宋体" w:hAnsi="宋体" w:eastAsia="宋体"/>
          <w:color w:val="auto"/>
          <w:sz w:val="24"/>
          <w:szCs w:val="24"/>
          <w:highlight w:val="none"/>
          <w:lang w:eastAsia="zh-CN"/>
        </w:rPr>
        <w:t>发包人</w:t>
      </w:r>
      <w:r>
        <w:rPr>
          <w:rFonts w:hint="eastAsia" w:ascii="宋体" w:hAnsi="宋体"/>
          <w:color w:val="auto"/>
          <w:sz w:val="24"/>
          <w:szCs w:val="24"/>
          <w:highlight w:val="none"/>
          <w:lang w:eastAsia="zh-CN"/>
        </w:rPr>
        <w:t>支付合同总价(具体以实际施工项目为准)的85%</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lang w:eastAsia="zh-CN"/>
        </w:rPr>
        <w:t>本工程经结算审定后，</w:t>
      </w:r>
      <w:bookmarkEnd w:id="4"/>
      <w:r>
        <w:rPr>
          <w:rFonts w:hint="eastAsia" w:ascii="宋体" w:hAnsi="宋体"/>
          <w:color w:val="auto"/>
          <w:sz w:val="24"/>
          <w:szCs w:val="24"/>
          <w:highlight w:val="none"/>
          <w:lang w:eastAsia="zh-CN"/>
        </w:rPr>
        <w:t>支付至结算审定价的</w:t>
      </w:r>
      <w:r>
        <w:rPr>
          <w:rFonts w:hint="eastAsia" w:ascii="宋体" w:hAnsi="宋体"/>
          <w:color w:val="auto"/>
          <w:sz w:val="24"/>
          <w:szCs w:val="24"/>
          <w:highlight w:val="none"/>
          <w:lang w:val="en-US" w:eastAsia="zh-CN"/>
        </w:rPr>
        <w:t>100</w:t>
      </w:r>
      <w:r>
        <w:rPr>
          <w:rFonts w:hint="eastAsia" w:ascii="宋体" w:hAnsi="宋体"/>
          <w:color w:val="auto"/>
          <w:sz w:val="24"/>
          <w:szCs w:val="24"/>
          <w:highlight w:val="none"/>
          <w:lang w:eastAsia="zh-CN"/>
        </w:rPr>
        <w:t>%。</w:t>
      </w:r>
    </w:p>
    <w:p w14:paraId="0DB5377C">
      <w:pPr>
        <w:spacing w:line="360" w:lineRule="auto"/>
        <w:jc w:val="both"/>
        <w:rPr>
          <w:rFonts w:ascii="宋体" w:hAnsi="宋体"/>
          <w:color w:val="auto"/>
          <w:sz w:val="24"/>
          <w:szCs w:val="24"/>
          <w:highlight w:val="none"/>
          <w:lang w:eastAsia="zh-CN"/>
        </w:rPr>
      </w:pPr>
      <w:r>
        <w:rPr>
          <w:rFonts w:hint="eastAsia" w:ascii="宋体" w:hAnsi="宋体"/>
          <w:b/>
          <w:bCs/>
          <w:color w:val="auto"/>
          <w:sz w:val="24"/>
          <w:szCs w:val="24"/>
          <w:highlight w:val="none"/>
          <w:lang w:eastAsia="zh-CN"/>
        </w:rPr>
        <w:t>2、缺陷责任期：</w:t>
      </w:r>
      <w:r>
        <w:rPr>
          <w:rFonts w:hint="eastAsia" w:ascii="宋体" w:hAnsi="宋体"/>
          <w:b w:val="0"/>
          <w:bCs w:val="0"/>
          <w:color w:val="auto"/>
          <w:sz w:val="24"/>
          <w:szCs w:val="24"/>
          <w:highlight w:val="none"/>
          <w:lang w:eastAsia="zh-CN"/>
        </w:rPr>
        <w:t>本项目下所有工程自验收合格之日起计算，缺陷责任期为3年（其中防水工程质保期为5年）。在缺陷责任期、质保期内，成交供应商提供7*24小时即时响应服务，所有服务方式均为成交供应商上门服务；成交供应商接到采购人通知后，必须在24小时内对用户所提出的要求做出实质性响应，48小时内到达现场并解决问题（节假日照常服务）；如有需要返工或修复的情况，必须在采购人规定的时间内完成，由此产生的一切费用均由成交供应商承担，不再向采购人收取任何费用。如现场三天内不能解决问题,则视为成交供应商违约，违约金为成交价的5%，采购人将自行采取必要的措施，由此产生的风险和费用全部由成交供应商承担（包括但不限于由第三方代为履行合同义务所支付的一切费用，如涉诉则包括但不限于律师代理费、诉讼费、保全费、执行费、交通费、评估费、鉴定费、审计费等系列费用）。在缺陷责任期、质保期内，本项目出现的所有问题，所需的工时费和材料由成交供应商承担</w:t>
      </w:r>
      <w:r>
        <w:rPr>
          <w:rFonts w:hint="eastAsia" w:ascii="宋体" w:hAnsi="宋体"/>
          <w:color w:val="auto"/>
          <w:sz w:val="24"/>
          <w:szCs w:val="24"/>
          <w:highlight w:val="none"/>
          <w:lang w:eastAsia="zh-CN"/>
        </w:rPr>
        <w:t>。</w:t>
      </w:r>
    </w:p>
    <w:p w14:paraId="3BC32EFE">
      <w:pPr>
        <w:spacing w:line="360" w:lineRule="auto"/>
        <w:jc w:val="both"/>
        <w:rPr>
          <w:rFonts w:ascii="宋体" w:hAnsi="宋体"/>
          <w:color w:val="auto"/>
          <w:sz w:val="24"/>
          <w:szCs w:val="24"/>
          <w:highlight w:val="none"/>
          <w:lang w:eastAsia="zh-CN"/>
        </w:rPr>
      </w:pPr>
      <w:r>
        <w:rPr>
          <w:rFonts w:hint="eastAsia" w:ascii="宋体" w:hAnsi="宋体"/>
          <w:b/>
          <w:bCs/>
          <w:color w:val="auto"/>
          <w:sz w:val="24"/>
          <w:szCs w:val="24"/>
          <w:highlight w:val="none"/>
          <w:lang w:eastAsia="zh-CN"/>
        </w:rPr>
        <w:t>3、工期：合同签订生效后</w:t>
      </w:r>
      <w:r>
        <w:rPr>
          <w:rFonts w:hint="eastAsia" w:ascii="宋体" w:hAnsi="宋体"/>
          <w:b/>
          <w:bCs/>
          <w:color w:val="auto"/>
          <w:sz w:val="24"/>
          <w:szCs w:val="24"/>
          <w:highlight w:val="none"/>
          <w:lang w:val="en-US" w:eastAsia="zh-CN"/>
        </w:rPr>
        <w:t>30天内</w:t>
      </w:r>
      <w:r>
        <w:rPr>
          <w:rFonts w:hint="eastAsia" w:ascii="宋体" w:hAnsi="宋体"/>
          <w:b/>
          <w:bCs/>
          <w:color w:val="auto"/>
          <w:sz w:val="24"/>
          <w:szCs w:val="24"/>
          <w:highlight w:val="none"/>
          <w:lang w:eastAsia="zh-CN"/>
        </w:rPr>
        <w:t>完成全部维修内容</w:t>
      </w:r>
      <w:r>
        <w:rPr>
          <w:rFonts w:hint="eastAsia" w:ascii="宋体" w:hAnsi="宋体"/>
          <w:color w:val="auto"/>
          <w:sz w:val="24"/>
          <w:szCs w:val="24"/>
          <w:highlight w:val="none"/>
          <w:lang w:eastAsia="zh-CN"/>
        </w:rPr>
        <w:t>。</w:t>
      </w:r>
    </w:p>
    <w:p w14:paraId="61353CB8">
      <w:pPr>
        <w:spacing w:line="360" w:lineRule="auto"/>
        <w:jc w:val="both"/>
        <w:rPr>
          <w:rFonts w:hint="eastAsia" w:ascii="宋体" w:hAnsi="宋体" w:eastAsiaTheme="minorEastAsia"/>
          <w:color w:val="auto"/>
          <w:sz w:val="24"/>
          <w:szCs w:val="24"/>
          <w:highlight w:val="none"/>
          <w:lang w:eastAsia="zh-CN"/>
        </w:rPr>
      </w:pPr>
      <w:r>
        <w:rPr>
          <w:rFonts w:hint="eastAsia" w:ascii="宋体" w:hAnsi="宋体"/>
          <w:b/>
          <w:bCs/>
          <w:color w:val="auto"/>
          <w:sz w:val="24"/>
          <w:szCs w:val="24"/>
          <w:highlight w:val="none"/>
          <w:lang w:eastAsia="zh-CN"/>
        </w:rPr>
        <w:t>4、工期延误：</w:t>
      </w:r>
      <w:r>
        <w:rPr>
          <w:rFonts w:hint="eastAsia" w:ascii="宋体" w:hAnsi="宋体"/>
          <w:color w:val="auto"/>
          <w:sz w:val="24"/>
          <w:szCs w:val="24"/>
          <w:highlight w:val="none"/>
          <w:lang w:eastAsia="zh-CN"/>
        </w:rPr>
        <w:t>因供应商原因造成的工期延误，由工期延误后而发生（增加）的费用，由承包人承担，在发包人未拖欠承包人工程进度款的情况下，承包人超过合同工期，每逾期一日，按照合同金额的千分之一收取违约金，如逾期超过 10天（含10天），发包人有权单方解除本合同，由此造成的一切损失均由承包人承担。因承包人原因造成工期延误，逾期竣工违约金的上限为合同金额的1%，并且发包人有权单方解除本合同，承包人应赔偿发包人由此引起的一切损失</w:t>
      </w:r>
      <w:r>
        <w:rPr>
          <w:rFonts w:hint="eastAsia" w:ascii="宋体" w:hAnsi="宋体" w:eastAsiaTheme="minorEastAsia"/>
          <w:color w:val="auto"/>
          <w:sz w:val="24"/>
          <w:szCs w:val="24"/>
          <w:highlight w:val="none"/>
          <w:lang w:eastAsia="zh-CN"/>
        </w:rPr>
        <w:t>。</w:t>
      </w:r>
    </w:p>
    <w:p w14:paraId="2EAD3B66">
      <w:pPr>
        <w:spacing w:line="360" w:lineRule="auto"/>
        <w:jc w:val="both"/>
        <w:rPr>
          <w:rFonts w:hint="eastAsia" w:ascii="宋体" w:hAnsi="宋体" w:eastAsia="宋体"/>
          <w:color w:val="auto"/>
          <w:sz w:val="24"/>
          <w:szCs w:val="24"/>
          <w:highlight w:val="none"/>
          <w:lang w:eastAsia="zh-CN"/>
        </w:rPr>
      </w:pPr>
      <w:r>
        <w:rPr>
          <w:rFonts w:hint="eastAsia" w:ascii="宋体" w:hAnsi="宋体"/>
          <w:b/>
          <w:bCs/>
          <w:color w:val="auto"/>
          <w:sz w:val="24"/>
          <w:szCs w:val="24"/>
          <w:highlight w:val="none"/>
          <w:lang w:eastAsia="zh-CN"/>
        </w:rPr>
        <w:t>5、施工地点：</w:t>
      </w:r>
      <w:bookmarkStart w:id="6" w:name="OLE_LINK22"/>
      <w:r>
        <w:rPr>
          <w:rFonts w:hint="eastAsia" w:ascii="宋体" w:hAnsi="宋体" w:eastAsia="宋体"/>
          <w:color w:val="auto"/>
          <w:sz w:val="24"/>
          <w:szCs w:val="24"/>
          <w:highlight w:val="none"/>
          <w:lang w:eastAsia="zh-CN"/>
        </w:rPr>
        <w:t>采购人指定地点</w:t>
      </w:r>
      <w:bookmarkEnd w:id="6"/>
      <w:r>
        <w:rPr>
          <w:rFonts w:hint="eastAsia" w:ascii="宋体" w:hAnsi="宋体" w:eastAsia="宋体"/>
          <w:color w:val="auto"/>
          <w:sz w:val="24"/>
          <w:szCs w:val="24"/>
          <w:highlight w:val="none"/>
          <w:lang w:eastAsia="zh-CN"/>
        </w:rPr>
        <w:t>。</w:t>
      </w:r>
    </w:p>
    <w:p w14:paraId="6952BDC1">
      <w:pPr>
        <w:spacing w:line="360" w:lineRule="auto"/>
        <w:jc w:val="both"/>
        <w:rPr>
          <w:rFonts w:hint="eastAsia" w:ascii="宋体" w:hAnsi="宋体" w:eastAsia="宋体"/>
          <w:b/>
          <w:bCs/>
          <w:color w:val="auto"/>
          <w:sz w:val="24"/>
          <w:szCs w:val="24"/>
          <w:highlight w:val="none"/>
          <w:lang w:eastAsia="zh-CN"/>
        </w:rPr>
      </w:pPr>
      <w:r>
        <w:rPr>
          <w:rFonts w:hint="eastAsia" w:ascii="宋体" w:hAnsi="宋体" w:eastAsia="宋体"/>
          <w:b/>
          <w:bCs/>
          <w:color w:val="auto"/>
          <w:sz w:val="24"/>
          <w:szCs w:val="24"/>
          <w:highlight w:val="none"/>
          <w:lang w:eastAsia="zh-CN"/>
        </w:rPr>
        <w:t>6、验收要求：</w:t>
      </w:r>
    </w:p>
    <w:p w14:paraId="6F745F14">
      <w:pPr>
        <w:spacing w:line="360" w:lineRule="auto"/>
        <w:jc w:val="both"/>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6.1、本项目施工完成且合格后，由成交供应商书面通知发包人进行验收。发包人在收到验收通知书后7个工作日内组织验收小组验收（成交供应商参与）。</w:t>
      </w:r>
    </w:p>
    <w:p w14:paraId="14304D6E">
      <w:pPr>
        <w:spacing w:line="360" w:lineRule="auto"/>
        <w:jc w:val="both"/>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6.2、交付验收标准：必须符合国家有关技术规范和质量标准、环保标准或行业标准，验收不合格、存在质量问题，成交供应商必须返工，产生的一切经济损失由成交供应商承担。</w:t>
      </w:r>
    </w:p>
    <w:p w14:paraId="0F99721C">
      <w:pPr>
        <w:spacing w:line="360" w:lineRule="auto"/>
        <w:jc w:val="both"/>
        <w:rPr>
          <w:rFonts w:hint="eastAsia" w:ascii="宋体" w:hAnsi="宋体" w:eastAsia="宋体"/>
          <w:color w:val="auto"/>
          <w:sz w:val="24"/>
          <w:szCs w:val="24"/>
          <w:highlight w:val="none"/>
          <w:lang w:eastAsia="zh-CN"/>
        </w:rPr>
      </w:pPr>
      <w:r>
        <w:rPr>
          <w:rFonts w:hint="eastAsia" w:ascii="宋体" w:hAnsi="宋体"/>
          <w:b/>
          <w:bCs/>
          <w:color w:val="auto"/>
          <w:sz w:val="24"/>
          <w:szCs w:val="24"/>
          <w:highlight w:val="none"/>
          <w:lang w:eastAsia="zh-CN"/>
        </w:rPr>
        <w:t>7、工程质量</w:t>
      </w:r>
      <w:r>
        <w:rPr>
          <w:rFonts w:hint="eastAsia" w:ascii="宋体" w:hAnsi="宋体" w:eastAsia="宋体"/>
          <w:b/>
          <w:bCs/>
          <w:color w:val="auto"/>
          <w:sz w:val="24"/>
          <w:szCs w:val="24"/>
          <w:highlight w:val="none"/>
          <w:lang w:eastAsia="zh-CN"/>
        </w:rPr>
        <w:t>标准</w:t>
      </w:r>
      <w:r>
        <w:rPr>
          <w:rFonts w:hint="eastAsia" w:ascii="宋体" w:hAnsi="宋体"/>
          <w:b/>
          <w:bCs/>
          <w:color w:val="auto"/>
          <w:sz w:val="24"/>
          <w:szCs w:val="24"/>
          <w:highlight w:val="none"/>
          <w:lang w:eastAsia="zh-CN"/>
        </w:rPr>
        <w:t>：</w:t>
      </w:r>
      <w:r>
        <w:rPr>
          <w:rFonts w:hint="eastAsia" w:ascii="宋体" w:hAnsi="宋体" w:eastAsia="宋体"/>
          <w:color w:val="auto"/>
          <w:sz w:val="24"/>
          <w:szCs w:val="24"/>
          <w:highlight w:val="none"/>
          <w:lang w:eastAsia="zh-CN"/>
        </w:rPr>
        <w:t>合格。</w:t>
      </w:r>
    </w:p>
    <w:p w14:paraId="1C2B3FB6">
      <w:pPr>
        <w:spacing w:line="360" w:lineRule="auto"/>
        <w:jc w:val="both"/>
        <w:rPr>
          <w:rFonts w:hint="eastAsia" w:ascii="宋体" w:hAnsi="宋体" w:eastAsia="宋体"/>
          <w:color w:val="auto"/>
          <w:sz w:val="24"/>
          <w:szCs w:val="24"/>
          <w:highlight w:val="none"/>
          <w:lang w:eastAsia="zh-CN"/>
        </w:rPr>
      </w:pPr>
    </w:p>
    <w:bookmarkEnd w:id="3"/>
    <w:p w14:paraId="74599E8A">
      <w:pPr>
        <w:spacing w:line="360" w:lineRule="auto"/>
        <w:jc w:val="both"/>
        <w:rPr>
          <w:b/>
          <w:color w:val="auto"/>
          <w:sz w:val="24"/>
          <w:szCs w:val="24"/>
          <w:highlight w:val="none"/>
          <w:lang w:eastAsia="zh-CN"/>
        </w:rPr>
      </w:pPr>
      <w:r>
        <w:rPr>
          <w:rFonts w:hint="eastAsia"/>
          <w:b/>
          <w:color w:val="auto"/>
          <w:sz w:val="24"/>
          <w:szCs w:val="24"/>
          <w:highlight w:val="none"/>
          <w:lang w:eastAsia="zh-CN"/>
        </w:rPr>
        <w:t>（三）其他要求</w:t>
      </w:r>
    </w:p>
    <w:p w14:paraId="27A439E6">
      <w:pPr>
        <w:spacing w:line="360" w:lineRule="auto"/>
        <w:jc w:val="both"/>
        <w:rPr>
          <w:rFonts w:hint="eastAsia" w:ascii="宋体" w:hAnsi="宋体"/>
          <w:color w:val="auto"/>
          <w:sz w:val="24"/>
          <w:szCs w:val="24"/>
          <w:highlight w:val="none"/>
          <w:lang w:eastAsia="zh-CN"/>
        </w:rPr>
      </w:pPr>
      <w:r>
        <w:rPr>
          <w:rFonts w:hint="eastAsia" w:ascii="宋体" w:hAnsi="宋体"/>
          <w:color w:val="auto"/>
          <w:sz w:val="24"/>
          <w:szCs w:val="24"/>
          <w:highlight w:val="none"/>
          <w:lang w:val="en-US" w:eastAsia="zh-CN"/>
        </w:rPr>
        <w:t>1</w:t>
      </w:r>
      <w:r>
        <w:rPr>
          <w:rFonts w:hint="eastAsia" w:ascii="宋体" w:hAnsi="宋体"/>
          <w:color w:val="auto"/>
          <w:sz w:val="24"/>
          <w:szCs w:val="24"/>
          <w:highlight w:val="none"/>
          <w:lang w:eastAsia="zh-CN"/>
        </w:rPr>
        <w:t>、本项目未经采购人同意不允许转包、分包，否则采购人有权没收履约保证金，情节严重的将终止合同。</w:t>
      </w:r>
    </w:p>
    <w:p w14:paraId="5D7E3927">
      <w:pPr>
        <w:spacing w:line="360" w:lineRule="auto"/>
        <w:jc w:val="both"/>
        <w:rPr>
          <w:rFonts w:hint="eastAsia" w:ascii="宋体" w:hAnsi="宋体"/>
          <w:color w:val="auto"/>
          <w:sz w:val="24"/>
          <w:szCs w:val="24"/>
          <w:highlight w:val="none"/>
          <w:lang w:eastAsia="zh-CN"/>
        </w:rPr>
      </w:pPr>
      <w:r>
        <w:rPr>
          <w:rFonts w:hint="eastAsia" w:ascii="宋体" w:hAnsi="宋体"/>
          <w:color w:val="auto"/>
          <w:sz w:val="24"/>
          <w:szCs w:val="24"/>
          <w:highlight w:val="none"/>
          <w:lang w:val="en-US" w:eastAsia="zh-CN"/>
        </w:rPr>
        <w:t>2</w:t>
      </w:r>
      <w:r>
        <w:rPr>
          <w:rFonts w:hint="eastAsia" w:ascii="宋体" w:hAnsi="宋体"/>
          <w:color w:val="auto"/>
          <w:sz w:val="24"/>
          <w:szCs w:val="24"/>
          <w:highlight w:val="none"/>
          <w:lang w:eastAsia="zh-CN"/>
        </w:rPr>
        <w:t>、在项目施工过程中，项目负责人每星期至少5天在工地现场（到采购人指定地点签到），如有特殊情况无法到达工地现场，须提前向采购人申请，并获采购人同意；项目经理每缺岗一天从承包人交的履约保证金中扣除6000元；其他管理人员每缺岗一天从承包人交的履约保证金中扣除3000元，累计天数（含旷工、请假等）超过合同工期1/10 的，采购人将对成交供应商进行处罚，限额为合同价格的2%，并终止合同，且履约保证金不予退还。</w:t>
      </w:r>
    </w:p>
    <w:p w14:paraId="41C2CACA">
      <w:pPr>
        <w:spacing w:line="360" w:lineRule="auto"/>
        <w:jc w:val="both"/>
        <w:rPr>
          <w:rFonts w:hint="eastAsia" w:ascii="宋体" w:hAnsi="宋体"/>
          <w:color w:val="auto"/>
          <w:sz w:val="24"/>
          <w:szCs w:val="24"/>
          <w:highlight w:val="none"/>
          <w:lang w:eastAsia="zh-CN"/>
        </w:rPr>
      </w:pPr>
      <w:r>
        <w:rPr>
          <w:rFonts w:hint="eastAsia" w:ascii="宋体" w:hAnsi="宋体"/>
          <w:color w:val="auto"/>
          <w:sz w:val="24"/>
          <w:szCs w:val="24"/>
          <w:highlight w:val="none"/>
          <w:lang w:val="en-US" w:eastAsia="zh-CN"/>
        </w:rPr>
        <w:t>3</w:t>
      </w:r>
      <w:r>
        <w:rPr>
          <w:rFonts w:hint="eastAsia" w:ascii="宋体" w:hAnsi="宋体"/>
          <w:color w:val="auto"/>
          <w:sz w:val="24"/>
          <w:szCs w:val="24"/>
          <w:highlight w:val="none"/>
          <w:lang w:eastAsia="zh-CN"/>
        </w:rPr>
        <w:t>、供应商在成交后，需将加盖单位公章与本单位造价人员印鉴的完整工程量清单作为最后报价的附件于签合同之前提交给采购人，否则，视为无效响应。若最后报价与响应文件中报价一致的，</w:t>
      </w:r>
      <w:r>
        <w:rPr>
          <w:rFonts w:hint="eastAsia" w:ascii="宋体" w:hAnsi="宋体"/>
          <w:color w:val="auto"/>
          <w:sz w:val="24"/>
          <w:szCs w:val="24"/>
          <w:highlight w:val="none"/>
          <w:lang w:val="en-US" w:eastAsia="zh-CN"/>
        </w:rPr>
        <w:t>提供承诺函，否则视为无效响应</w:t>
      </w:r>
      <w:r>
        <w:rPr>
          <w:rFonts w:hint="eastAsia" w:ascii="宋体" w:hAnsi="宋体"/>
          <w:color w:val="auto"/>
          <w:sz w:val="24"/>
          <w:szCs w:val="24"/>
          <w:highlight w:val="none"/>
          <w:lang w:eastAsia="zh-CN"/>
        </w:rPr>
        <w:t>，可不提供附件。</w:t>
      </w:r>
    </w:p>
    <w:p w14:paraId="5B91E062">
      <w:r>
        <w:rPr>
          <w:rFonts w:hint="eastAsia" w:ascii="宋体" w:hAnsi="宋体"/>
          <w:color w:val="auto"/>
          <w:sz w:val="24"/>
          <w:szCs w:val="24"/>
          <w:highlight w:val="none"/>
          <w:lang w:val="en-US" w:eastAsia="zh-CN"/>
        </w:rPr>
        <w:t>4</w:t>
      </w:r>
      <w:r>
        <w:rPr>
          <w:rFonts w:hint="eastAsia" w:ascii="宋体" w:hAnsi="宋体"/>
          <w:color w:val="auto"/>
          <w:sz w:val="24"/>
          <w:szCs w:val="24"/>
          <w:highlight w:val="none"/>
          <w:lang w:eastAsia="zh-CN"/>
        </w:rPr>
        <w:t>、供应商在施工期间须将施工区域用围挡封闭遮挡，确保施工区域与其他公共区域隔离,由此产生的费用由供应商自行承担。</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ADA0BF">
    <w:pPr>
      <w:pStyle w:val="4"/>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42</w:t>
    </w:r>
    <w:r>
      <w:rPr>
        <w:rStyle w:val="7"/>
      </w:rPr>
      <w:fldChar w:fldCharType="end"/>
    </w:r>
  </w:p>
  <w:p w14:paraId="7D97D010">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F509A7"/>
    <w:multiLevelType w:val="singleLevel"/>
    <w:tmpl w:val="91F509A7"/>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383068"/>
    <w:rsid w:val="273830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Plain Text"/>
    <w:basedOn w:val="1"/>
    <w:next w:val="1"/>
    <w:qFormat/>
    <w:uiPriority w:val="0"/>
    <w:rPr>
      <w:rFonts w:ascii="宋体" w:hAnsi="Courier New"/>
      <w:sz w:val="20"/>
    </w:rPr>
  </w:style>
  <w:style w:type="paragraph" w:styleId="4">
    <w:name w:val="footer"/>
    <w:basedOn w:val="1"/>
    <w:qFormat/>
    <w:uiPriority w:val="0"/>
    <w:pPr>
      <w:tabs>
        <w:tab w:val="center" w:pos="4153"/>
        <w:tab w:val="right" w:pos="8306"/>
      </w:tabs>
    </w:pPr>
    <w:rPr>
      <w:sz w:val="18"/>
    </w:rPr>
  </w:style>
  <w:style w:type="character" w:styleId="7">
    <w:name w:val="page number"/>
    <w:basedOn w:val="6"/>
    <w:qFormat/>
    <w:uiPriority w:val="99"/>
    <w:rPr>
      <w:rFonts w:cs="Times New Roma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2026-06-05T03:36:00Z</dcterms:created>
  <dc:creator>大毛</dc:creator>
  <cp:lastModifiedBy>大毛</cp:lastModifiedBy>
  <dcterms:modified xsi:type="dcterms:W3CDTF">2026-06-05T03:36:41Z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72E51607C5264FA18B2CB7A3E1B72852_11</vt:lpwstr>
  </property>
  <property fmtid="{D5CDD505-2E9C-101B-9397-08002B2CF9AE}" pid="4" name="KSOTemplateDocerSaveRecord">
    <vt:lpwstr>eyJoZGlkIjoiZWYyYjI5MjIzYjkwNjliNWU4OWRiZWNmNWIzMmUyZWIiLCJ1c2VySWQiOiI0MDE4MDE0MzQifQ==</vt:lpwstr>
  </property>
</Properties>
</file>